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F2C28" w14:textId="77777777" w:rsidR="001A4A1C" w:rsidRPr="00B907A3" w:rsidRDefault="001A4A1C" w:rsidP="0053420A">
      <w:pPr>
        <w:spacing w:after="0"/>
        <w:ind w:firstLine="284"/>
        <w:contextualSpacing/>
        <w:jc w:val="center"/>
        <w:rPr>
          <w:rFonts w:ascii="Garamond" w:hAnsi="Garamond"/>
          <w:b/>
          <w:sz w:val="24"/>
        </w:rPr>
      </w:pPr>
      <w:r w:rsidRPr="00B907A3">
        <w:rPr>
          <w:rFonts w:ascii="Garamond" w:hAnsi="Garamond"/>
          <w:b/>
          <w:sz w:val="24"/>
        </w:rPr>
        <w:t>VENDIM</w:t>
      </w:r>
    </w:p>
    <w:p w14:paraId="78ADEE5E" w14:textId="77777777" w:rsidR="001A4A1C" w:rsidRPr="00B907A3" w:rsidRDefault="001A4A1C" w:rsidP="0053420A">
      <w:pPr>
        <w:spacing w:after="0"/>
        <w:ind w:firstLine="284"/>
        <w:contextualSpacing/>
        <w:jc w:val="center"/>
        <w:rPr>
          <w:rFonts w:ascii="Garamond" w:hAnsi="Garamond"/>
          <w:b/>
          <w:sz w:val="24"/>
        </w:rPr>
      </w:pPr>
      <w:r w:rsidRPr="00B907A3">
        <w:rPr>
          <w:rFonts w:ascii="Garamond" w:hAnsi="Garamond"/>
          <w:b/>
          <w:sz w:val="24"/>
        </w:rPr>
        <w:t>Nr. 586, datë 22.7.2026</w:t>
      </w:r>
    </w:p>
    <w:p w14:paraId="439E854F" w14:textId="77777777" w:rsidR="001A4A1C" w:rsidRPr="00B907A3" w:rsidRDefault="001A4A1C" w:rsidP="0053420A">
      <w:pPr>
        <w:pStyle w:val="BodyText"/>
        <w:spacing w:after="0"/>
        <w:ind w:firstLine="284"/>
        <w:contextualSpacing/>
        <w:jc w:val="center"/>
        <w:rPr>
          <w:rFonts w:ascii="Garamond" w:hAnsi="Garamond"/>
          <w:b/>
          <w:lang w:val="sq-AL"/>
        </w:rPr>
      </w:pPr>
    </w:p>
    <w:p w14:paraId="336CF69A" w14:textId="20CD0ED6" w:rsidR="001A4A1C" w:rsidRPr="00B907A3" w:rsidRDefault="001A4A1C" w:rsidP="0053420A">
      <w:pPr>
        <w:pStyle w:val="BodyText"/>
        <w:spacing w:after="0"/>
        <w:ind w:firstLine="284"/>
        <w:contextualSpacing/>
        <w:jc w:val="center"/>
        <w:rPr>
          <w:rFonts w:ascii="Garamond" w:hAnsi="Garamond"/>
          <w:b/>
          <w:lang w:val="sq-AL"/>
        </w:rPr>
      </w:pPr>
      <w:r w:rsidRPr="00B907A3">
        <w:rPr>
          <w:rFonts w:ascii="Garamond" w:hAnsi="Garamond"/>
          <w:b/>
          <w:lang w:val="sq-AL"/>
        </w:rPr>
        <w:t>PËR</w:t>
      </w:r>
      <w:bookmarkStart w:id="0" w:name="_Hlk203736964"/>
      <w:r w:rsidRPr="00B907A3">
        <w:rPr>
          <w:rFonts w:ascii="Garamond" w:hAnsi="Garamond"/>
          <w:b/>
          <w:lang w:val="sq-AL"/>
        </w:rPr>
        <w:t xml:space="preserve"> MIRATIMIN E STRATEGJISË KOMB</w:t>
      </w:r>
      <w:r w:rsidR="00B907A3" w:rsidRPr="00B907A3">
        <w:rPr>
          <w:rFonts w:ascii="Garamond" w:hAnsi="Garamond"/>
          <w:b/>
          <w:lang w:val="sq-AL"/>
        </w:rPr>
        <w:t>ËTARE PËR SIGURINË RRUGORE 2026–</w:t>
      </w:r>
      <w:r w:rsidRPr="00B907A3">
        <w:rPr>
          <w:rFonts w:ascii="Garamond" w:hAnsi="Garamond"/>
          <w:b/>
          <w:lang w:val="sq-AL"/>
        </w:rPr>
        <w:t xml:space="preserve">2030 </w:t>
      </w:r>
      <w:r w:rsidRPr="00B907A3">
        <w:rPr>
          <w:rFonts w:ascii="Garamond" w:hAnsi="Garamond"/>
          <w:b/>
          <w:bCs/>
          <w:lang w:val="sq-AL"/>
        </w:rPr>
        <w:t xml:space="preserve">DHE TË PLANIT TË VEPRIMIT </w:t>
      </w:r>
      <w:r w:rsidR="00B907A3" w:rsidRPr="00B907A3">
        <w:rPr>
          <w:rFonts w:ascii="Garamond" w:hAnsi="Garamond"/>
          <w:b/>
          <w:lang w:val="sq-AL"/>
        </w:rPr>
        <w:t>2027–</w:t>
      </w:r>
      <w:r w:rsidRPr="00B907A3">
        <w:rPr>
          <w:rFonts w:ascii="Garamond" w:hAnsi="Garamond"/>
          <w:b/>
          <w:lang w:val="sq-AL"/>
        </w:rPr>
        <w:t>2029</w:t>
      </w:r>
    </w:p>
    <w:p w14:paraId="763D2FAF" w14:textId="77777777" w:rsidR="001A4A1C" w:rsidRPr="00B907A3" w:rsidRDefault="001A4A1C" w:rsidP="0053420A">
      <w:pPr>
        <w:pStyle w:val="BodyText"/>
        <w:spacing w:after="0"/>
        <w:ind w:firstLine="284"/>
        <w:contextualSpacing/>
        <w:rPr>
          <w:rFonts w:ascii="Garamond" w:hAnsi="Garamond"/>
          <w:b/>
          <w:vertAlign w:val="superscript"/>
          <w:lang w:val="sq-AL"/>
        </w:rPr>
      </w:pPr>
    </w:p>
    <w:bookmarkEnd w:id="0"/>
    <w:p w14:paraId="245B4031" w14:textId="77777777" w:rsidR="001A4A1C" w:rsidRPr="00B907A3" w:rsidRDefault="001A4A1C" w:rsidP="0053420A">
      <w:pPr>
        <w:pStyle w:val="BodyText"/>
        <w:spacing w:after="0"/>
        <w:ind w:firstLine="284"/>
        <w:contextualSpacing/>
        <w:rPr>
          <w:rFonts w:ascii="Garamond" w:hAnsi="Garamond"/>
          <w:lang w:val="sq-AL"/>
        </w:rPr>
      </w:pPr>
      <w:r w:rsidRPr="00B907A3">
        <w:rPr>
          <w:rFonts w:ascii="Garamond" w:hAnsi="Garamond"/>
          <w:lang w:val="sq-AL"/>
        </w:rPr>
        <w:t>Në mbështetje të nenit 100 të Kushtetutës, me propozimin e ministrit të Infrastrukturës dhe Energjisë, Këshilli i Ministrave</w:t>
      </w:r>
    </w:p>
    <w:p w14:paraId="5BBA55C4" w14:textId="77777777" w:rsidR="001A4A1C" w:rsidRPr="00B907A3" w:rsidRDefault="001A4A1C" w:rsidP="0053420A">
      <w:pPr>
        <w:pStyle w:val="BodyText"/>
        <w:spacing w:after="0"/>
        <w:ind w:firstLine="284"/>
        <w:contextualSpacing/>
        <w:rPr>
          <w:rFonts w:ascii="Garamond" w:hAnsi="Garamond"/>
          <w:b/>
          <w:lang w:val="sq-AL"/>
        </w:rPr>
      </w:pPr>
    </w:p>
    <w:p w14:paraId="1679225D" w14:textId="77777777" w:rsidR="001A4A1C" w:rsidRPr="00B907A3" w:rsidRDefault="001A4A1C" w:rsidP="0053420A">
      <w:pPr>
        <w:pStyle w:val="BodyText"/>
        <w:spacing w:after="0"/>
        <w:ind w:firstLine="284"/>
        <w:contextualSpacing/>
        <w:jc w:val="center"/>
        <w:rPr>
          <w:rFonts w:ascii="Garamond" w:hAnsi="Garamond"/>
          <w:bCs/>
          <w:lang w:val="sq-AL"/>
        </w:rPr>
      </w:pPr>
      <w:r w:rsidRPr="00B907A3">
        <w:rPr>
          <w:rFonts w:ascii="Garamond" w:hAnsi="Garamond"/>
          <w:bCs/>
          <w:lang w:val="sq-AL"/>
        </w:rPr>
        <w:t>VENDOSI:</w:t>
      </w:r>
    </w:p>
    <w:p w14:paraId="4027FB50" w14:textId="77777777" w:rsidR="001A4A1C" w:rsidRPr="00B907A3" w:rsidRDefault="001A4A1C" w:rsidP="0053420A">
      <w:pPr>
        <w:pStyle w:val="BodyText"/>
        <w:spacing w:after="0"/>
        <w:ind w:firstLine="284"/>
        <w:contextualSpacing/>
        <w:rPr>
          <w:rFonts w:ascii="Garamond" w:hAnsi="Garamond"/>
          <w:b/>
          <w:lang w:val="sq-AL"/>
        </w:rPr>
      </w:pPr>
    </w:p>
    <w:p w14:paraId="58E1085F" w14:textId="2A928978" w:rsidR="001A4A1C" w:rsidRPr="00B907A3" w:rsidRDefault="001A4A1C" w:rsidP="0053420A">
      <w:pPr>
        <w:pStyle w:val="BodyText"/>
        <w:spacing w:after="0"/>
        <w:ind w:firstLine="284"/>
        <w:contextualSpacing/>
        <w:rPr>
          <w:rFonts w:ascii="Garamond" w:hAnsi="Garamond"/>
          <w:lang w:val="sq-AL"/>
        </w:rPr>
      </w:pPr>
      <w:r w:rsidRPr="00B907A3">
        <w:rPr>
          <w:rFonts w:ascii="Garamond" w:hAnsi="Garamond"/>
          <w:lang w:val="sq-AL"/>
        </w:rPr>
        <w:t xml:space="preserve">1. Miratimin e </w:t>
      </w:r>
      <w:bookmarkStart w:id="1" w:name="_Hlk206152463"/>
      <w:r w:rsidRPr="00B907A3">
        <w:rPr>
          <w:rFonts w:ascii="Garamond" w:hAnsi="Garamond"/>
          <w:lang w:val="sq-AL"/>
        </w:rPr>
        <w:t>Strategjisë Komb</w:t>
      </w:r>
      <w:r w:rsidR="00B907A3" w:rsidRPr="00B907A3">
        <w:rPr>
          <w:rFonts w:ascii="Garamond" w:hAnsi="Garamond"/>
          <w:lang w:val="sq-AL"/>
        </w:rPr>
        <w:t>ëtare për Sigurinë Rrugore 2026–</w:t>
      </w:r>
      <w:r w:rsidRPr="00B907A3">
        <w:rPr>
          <w:rFonts w:ascii="Garamond" w:hAnsi="Garamond"/>
          <w:lang w:val="sq-AL"/>
        </w:rPr>
        <w:t xml:space="preserve">2030 dhe të planit të veprimit 2027 </w:t>
      </w:r>
      <w:r w:rsidR="00B907A3" w:rsidRPr="00B907A3">
        <w:rPr>
          <w:rFonts w:ascii="Garamond" w:hAnsi="Garamond"/>
          <w:lang w:val="sq-AL"/>
        </w:rPr>
        <w:t>–</w:t>
      </w:r>
      <w:r w:rsidRPr="00B907A3">
        <w:rPr>
          <w:rFonts w:ascii="Garamond" w:hAnsi="Garamond"/>
          <w:lang w:val="sq-AL"/>
        </w:rPr>
        <w:t>2029</w:t>
      </w:r>
      <w:bookmarkEnd w:id="1"/>
      <w:r w:rsidRPr="00B907A3">
        <w:rPr>
          <w:rFonts w:ascii="Garamond" w:hAnsi="Garamond"/>
          <w:lang w:val="sq-AL"/>
        </w:rPr>
        <w:t>, sipas teksteve që i bashkëlidhen këtij vendimi.</w:t>
      </w:r>
    </w:p>
    <w:p w14:paraId="4C0B1C52" w14:textId="77777777" w:rsidR="001A4A1C" w:rsidRPr="00B907A3" w:rsidRDefault="001A4A1C" w:rsidP="0053420A">
      <w:pPr>
        <w:pStyle w:val="BodyText"/>
        <w:spacing w:after="0"/>
        <w:ind w:firstLine="284"/>
        <w:contextualSpacing/>
        <w:rPr>
          <w:rFonts w:ascii="Garamond" w:hAnsi="Garamond"/>
          <w:lang w:val="sq-AL"/>
        </w:rPr>
      </w:pPr>
      <w:r w:rsidRPr="00B907A3">
        <w:rPr>
          <w:rFonts w:ascii="Garamond" w:hAnsi="Garamond"/>
          <w:lang w:val="sq-AL"/>
        </w:rPr>
        <w:t>2. Ngarkohen ministritë dhe institucionet e tjera përgjegjëse të përcaktuara në strategji dhe në planin e veprimit për zbatimin e këtij vendimi.</w:t>
      </w:r>
    </w:p>
    <w:p w14:paraId="614A60A3" w14:textId="77777777" w:rsidR="001A4A1C" w:rsidRPr="00B907A3" w:rsidRDefault="001A4A1C" w:rsidP="0053420A">
      <w:pPr>
        <w:pStyle w:val="BodyText"/>
        <w:spacing w:after="0"/>
        <w:ind w:firstLine="284"/>
        <w:contextualSpacing/>
        <w:rPr>
          <w:rFonts w:ascii="Garamond" w:hAnsi="Garamond"/>
          <w:lang w:val="sq-AL"/>
        </w:rPr>
      </w:pPr>
      <w:r w:rsidRPr="00B907A3">
        <w:rPr>
          <w:rFonts w:ascii="Garamond" w:hAnsi="Garamond"/>
          <w:lang w:val="sq-AL"/>
        </w:rPr>
        <w:t>Ky vendim hyn në fuqi pas botimit në Fletoren Zyrtare.</w:t>
      </w:r>
    </w:p>
    <w:p w14:paraId="7D6A27CD" w14:textId="77777777" w:rsidR="001A4A1C" w:rsidRPr="00B907A3" w:rsidRDefault="001A4A1C" w:rsidP="0053420A">
      <w:pPr>
        <w:pStyle w:val="BodyText"/>
        <w:spacing w:after="0"/>
        <w:ind w:firstLine="284"/>
        <w:contextualSpacing/>
        <w:rPr>
          <w:rFonts w:ascii="Garamond" w:hAnsi="Garamond"/>
          <w:lang w:val="sq-AL"/>
        </w:rPr>
      </w:pPr>
    </w:p>
    <w:p w14:paraId="6C85D476" w14:textId="77777777" w:rsidR="001A4A1C" w:rsidRPr="00B907A3" w:rsidRDefault="001A4A1C" w:rsidP="0053420A">
      <w:pPr>
        <w:spacing w:after="0"/>
        <w:ind w:firstLine="284"/>
        <w:jc w:val="right"/>
        <w:rPr>
          <w:rFonts w:ascii="Garamond" w:hAnsi="Garamond"/>
          <w:b/>
          <w:bCs/>
          <w:sz w:val="24"/>
          <w:lang w:bidi="en-US"/>
        </w:rPr>
      </w:pPr>
      <w:r w:rsidRPr="00B907A3">
        <w:rPr>
          <w:rFonts w:ascii="Garamond" w:hAnsi="Garamond"/>
          <w:bCs/>
          <w:sz w:val="24"/>
          <w:lang w:bidi="en-US"/>
        </w:rPr>
        <w:t>ZËVENDËSKRYEMINISTËR</w:t>
      </w:r>
    </w:p>
    <w:p w14:paraId="6534AFC5" w14:textId="77777777" w:rsidR="001A4A1C" w:rsidRPr="00B907A3" w:rsidRDefault="001A4A1C" w:rsidP="0053420A">
      <w:pPr>
        <w:spacing w:after="0"/>
        <w:ind w:firstLine="284"/>
        <w:jc w:val="right"/>
        <w:rPr>
          <w:rFonts w:ascii="Garamond" w:hAnsi="Garamond"/>
          <w:b/>
          <w:sz w:val="24"/>
        </w:rPr>
      </w:pPr>
      <w:r w:rsidRPr="00B907A3">
        <w:rPr>
          <w:rFonts w:ascii="Garamond" w:hAnsi="Garamond"/>
          <w:b/>
          <w:sz w:val="24"/>
        </w:rPr>
        <w:t>Albana Koçiu</w:t>
      </w:r>
    </w:p>
    <w:p w14:paraId="2C8A290C" w14:textId="615F12DA" w:rsidR="00016E7F" w:rsidRPr="00B907A3" w:rsidRDefault="00016E7F" w:rsidP="008C4E07">
      <w:pPr>
        <w:spacing w:after="0"/>
        <w:ind w:firstLine="284"/>
        <w:jc w:val="center"/>
        <w:rPr>
          <w:rFonts w:ascii="Garamond" w:hAnsi="Garamond" w:cs="Arial"/>
          <w:b/>
          <w:sz w:val="24"/>
        </w:rPr>
      </w:pPr>
    </w:p>
    <w:p w14:paraId="33467AF1" w14:textId="77777777" w:rsidR="001A4A1C" w:rsidRPr="00B907A3" w:rsidRDefault="001A4A1C" w:rsidP="008C4E07">
      <w:pPr>
        <w:spacing w:after="0"/>
        <w:ind w:firstLine="284"/>
        <w:jc w:val="center"/>
        <w:rPr>
          <w:rFonts w:ascii="Garamond" w:hAnsi="Garamond"/>
          <w:b/>
          <w:i/>
          <w:sz w:val="24"/>
        </w:rPr>
      </w:pPr>
      <w:bookmarkStart w:id="2" w:name="_Hlk204611608"/>
      <w:bookmarkEnd w:id="2"/>
    </w:p>
    <w:p w14:paraId="0F8483B0" w14:textId="77777777" w:rsidR="001A4A1C" w:rsidRPr="00B907A3" w:rsidRDefault="001A4A1C" w:rsidP="008C4E07">
      <w:pPr>
        <w:spacing w:after="0"/>
        <w:ind w:firstLine="284"/>
        <w:jc w:val="center"/>
        <w:rPr>
          <w:rFonts w:ascii="Garamond" w:hAnsi="Garamond"/>
          <w:b/>
          <w:i/>
          <w:sz w:val="24"/>
        </w:rPr>
      </w:pPr>
    </w:p>
    <w:p w14:paraId="3C7F9664" w14:textId="05B952F9" w:rsidR="00016E7F" w:rsidRPr="00B907A3" w:rsidRDefault="00016E7F" w:rsidP="008C4E07">
      <w:pPr>
        <w:spacing w:after="0"/>
        <w:ind w:firstLine="284"/>
        <w:jc w:val="center"/>
        <w:rPr>
          <w:rFonts w:ascii="Garamond" w:hAnsi="Garamond"/>
          <w:b/>
          <w:sz w:val="24"/>
        </w:rPr>
      </w:pPr>
    </w:p>
    <w:p w14:paraId="6B397532" w14:textId="7ABF04BA" w:rsidR="00016E7F" w:rsidRPr="00B907A3" w:rsidRDefault="00AB7D50" w:rsidP="008C4E07">
      <w:pPr>
        <w:spacing w:after="0"/>
        <w:ind w:firstLine="284"/>
        <w:jc w:val="center"/>
        <w:rPr>
          <w:rFonts w:ascii="Garamond" w:hAnsi="Garamond"/>
          <w:b/>
          <w:sz w:val="24"/>
        </w:rPr>
      </w:pPr>
      <w:r w:rsidRPr="00B907A3">
        <w:rPr>
          <w:rFonts w:ascii="Garamond" w:hAnsi="Garamond"/>
          <w:b/>
          <w:sz w:val="24"/>
        </w:rPr>
        <w:t xml:space="preserve">Strategjia Kombëtare </w:t>
      </w:r>
      <w:r w:rsidR="00042F15" w:rsidRPr="00B907A3">
        <w:rPr>
          <w:rFonts w:ascii="Garamond" w:hAnsi="Garamond"/>
          <w:b/>
          <w:sz w:val="24"/>
        </w:rPr>
        <w:t xml:space="preserve">për Sigurinë </w:t>
      </w:r>
      <w:r w:rsidRPr="00B907A3">
        <w:rPr>
          <w:rFonts w:ascii="Garamond" w:hAnsi="Garamond"/>
          <w:b/>
          <w:sz w:val="24"/>
        </w:rPr>
        <w:t>Rrugore 2026</w:t>
      </w:r>
      <w:r w:rsidR="00B907A3" w:rsidRPr="00B907A3">
        <w:rPr>
          <w:rFonts w:ascii="Garamond" w:hAnsi="Garamond"/>
          <w:b/>
          <w:sz w:val="24"/>
        </w:rPr>
        <w:t>–</w:t>
      </w:r>
      <w:r w:rsidRPr="00B907A3">
        <w:rPr>
          <w:rFonts w:ascii="Garamond" w:hAnsi="Garamond"/>
          <w:b/>
          <w:sz w:val="24"/>
        </w:rPr>
        <w:t>2030</w:t>
      </w:r>
    </w:p>
    <w:p w14:paraId="3468E41D" w14:textId="77777777" w:rsidR="00AD513C" w:rsidRPr="00B907A3" w:rsidRDefault="00AD513C" w:rsidP="008C4E07">
      <w:pPr>
        <w:spacing w:after="0"/>
        <w:ind w:firstLine="284"/>
        <w:jc w:val="center"/>
        <w:rPr>
          <w:rFonts w:ascii="Garamond" w:hAnsi="Garamond" w:cs="Arial"/>
          <w:b/>
          <w:sz w:val="24"/>
        </w:rPr>
      </w:pPr>
    </w:p>
    <w:p w14:paraId="5A11BB6C" w14:textId="6987C1A5" w:rsidR="00AE729E" w:rsidRPr="00B907A3" w:rsidRDefault="00AE729E" w:rsidP="008C4E07">
      <w:pPr>
        <w:spacing w:after="0"/>
        <w:ind w:firstLine="284"/>
        <w:jc w:val="left"/>
        <w:rPr>
          <w:rFonts w:ascii="Garamond" w:hAnsi="Garamond"/>
          <w:b/>
          <w:sz w:val="24"/>
        </w:rPr>
      </w:pPr>
      <w:r w:rsidRPr="00B907A3">
        <w:rPr>
          <w:rFonts w:ascii="Garamond" w:hAnsi="Garamond"/>
          <w:b/>
          <w:sz w:val="24"/>
        </w:rPr>
        <w:t>T</w:t>
      </w:r>
      <w:r w:rsidR="00BD7502" w:rsidRPr="00B907A3">
        <w:rPr>
          <w:rFonts w:ascii="Garamond" w:hAnsi="Garamond"/>
          <w:b/>
          <w:sz w:val="24"/>
        </w:rPr>
        <w:t>abela e përmbajtjes</w:t>
      </w:r>
    </w:p>
    <w:p w14:paraId="59B40581" w14:textId="113C4B6C"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1. Hyrje</w:t>
      </w:r>
    </w:p>
    <w:p w14:paraId="6A440D69" w14:textId="1B870188"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1.1</w:t>
      </w:r>
      <w:r w:rsidR="0002090B" w:rsidRPr="00B907A3">
        <w:rPr>
          <w:rFonts w:ascii="Garamond" w:hAnsi="Garamond"/>
          <w:bCs/>
          <w:sz w:val="24"/>
        </w:rPr>
        <w:t xml:space="preserve"> </w:t>
      </w:r>
      <w:r w:rsidRPr="00B907A3">
        <w:rPr>
          <w:rFonts w:ascii="Garamond" w:hAnsi="Garamond"/>
          <w:bCs/>
          <w:sz w:val="24"/>
        </w:rPr>
        <w:t>Kostot e aksidenteve rrugore</w:t>
      </w:r>
    </w:p>
    <w:p w14:paraId="4FC37665" w14:textId="25527ABA"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1.2</w:t>
      </w:r>
      <w:r w:rsidR="0002090B" w:rsidRPr="00B907A3">
        <w:rPr>
          <w:rFonts w:ascii="Garamond" w:hAnsi="Garamond"/>
          <w:bCs/>
          <w:sz w:val="24"/>
        </w:rPr>
        <w:t xml:space="preserve"> </w:t>
      </w:r>
      <w:r w:rsidRPr="00B907A3">
        <w:rPr>
          <w:rFonts w:ascii="Garamond" w:hAnsi="Garamond"/>
          <w:bCs/>
          <w:sz w:val="24"/>
        </w:rPr>
        <w:t>Mësimet e nxjerra nga Strategjia e parë e Sigurisë Rrugore e Shqipërisë</w:t>
      </w:r>
    </w:p>
    <w:p w14:paraId="18A1E732" w14:textId="31A3B46E"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1.3</w:t>
      </w:r>
      <w:r w:rsidR="0002090B" w:rsidRPr="00B907A3">
        <w:rPr>
          <w:rFonts w:ascii="Garamond" w:hAnsi="Garamond"/>
          <w:bCs/>
          <w:sz w:val="24"/>
        </w:rPr>
        <w:t xml:space="preserve"> </w:t>
      </w:r>
      <w:r w:rsidRPr="00B907A3">
        <w:rPr>
          <w:rFonts w:ascii="Garamond" w:hAnsi="Garamond"/>
          <w:bCs/>
          <w:sz w:val="24"/>
        </w:rPr>
        <w:t>Mësime të nxjerra nga vendet m</w:t>
      </w:r>
      <w:r w:rsidR="007951BD">
        <w:rPr>
          <w:rFonts w:ascii="Garamond" w:hAnsi="Garamond"/>
          <w:bCs/>
          <w:sz w:val="24"/>
        </w:rPr>
        <w:t>e performancën më të mirë në BE</w:t>
      </w:r>
      <w:r w:rsidRPr="00B907A3">
        <w:rPr>
          <w:rFonts w:ascii="Garamond" w:hAnsi="Garamond"/>
          <w:bCs/>
          <w:sz w:val="24"/>
        </w:rPr>
        <w:t>; hapat e mundshëm përpara të Shqipërisë</w:t>
      </w:r>
    </w:p>
    <w:p w14:paraId="162F2F3A" w14:textId="37B6A06B"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1.4</w:t>
      </w:r>
      <w:r w:rsidR="0002090B" w:rsidRPr="00B907A3">
        <w:rPr>
          <w:rFonts w:ascii="Garamond" w:hAnsi="Garamond"/>
          <w:bCs/>
          <w:sz w:val="24"/>
        </w:rPr>
        <w:t xml:space="preserve"> </w:t>
      </w:r>
      <w:r w:rsidRPr="00B907A3">
        <w:rPr>
          <w:rFonts w:ascii="Garamond" w:hAnsi="Garamond"/>
          <w:bCs/>
          <w:sz w:val="24"/>
        </w:rPr>
        <w:t>Procesi i zhvillimit të Strategjisë së dytë të Sigurisë Rrugore</w:t>
      </w:r>
    </w:p>
    <w:p w14:paraId="2B33712E" w14:textId="0CF362CF"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2</w:t>
      </w:r>
      <w:r w:rsidR="007951BD">
        <w:rPr>
          <w:rFonts w:ascii="Garamond" w:hAnsi="Garamond"/>
          <w:bCs/>
          <w:sz w:val="24"/>
        </w:rPr>
        <w:t>.</w:t>
      </w:r>
      <w:r w:rsidR="0002090B" w:rsidRPr="00B907A3">
        <w:rPr>
          <w:rFonts w:ascii="Garamond" w:hAnsi="Garamond"/>
          <w:bCs/>
          <w:sz w:val="24"/>
        </w:rPr>
        <w:t xml:space="preserve"> </w:t>
      </w:r>
      <w:r w:rsidRPr="00B907A3">
        <w:rPr>
          <w:rFonts w:ascii="Garamond" w:hAnsi="Garamond"/>
          <w:bCs/>
          <w:sz w:val="24"/>
        </w:rPr>
        <w:t>GJETJET KRYESORE NGA ANALIZA E HENDEKUT PËR SIGURINË RRUGORE NË LIDHJE ME ZBATIMIN E STRATEGJISË</w:t>
      </w:r>
    </w:p>
    <w:p w14:paraId="6F89B285" w14:textId="50AEE88C"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2.1</w:t>
      </w:r>
      <w:r w:rsidR="0002090B" w:rsidRPr="00B907A3">
        <w:rPr>
          <w:rFonts w:ascii="Garamond" w:hAnsi="Garamond"/>
          <w:bCs/>
          <w:sz w:val="24"/>
        </w:rPr>
        <w:t xml:space="preserve"> </w:t>
      </w:r>
      <w:r w:rsidRPr="00B907A3">
        <w:rPr>
          <w:rFonts w:ascii="Garamond" w:hAnsi="Garamond"/>
          <w:bCs/>
          <w:sz w:val="24"/>
        </w:rPr>
        <w:t>Rishikimi i kapacitetit institucional të sigurisë rrugore dhe qeverisja e MSRr</w:t>
      </w:r>
      <w:r w:rsidR="007951BD">
        <w:rPr>
          <w:rFonts w:ascii="Garamond" w:hAnsi="Garamond"/>
          <w:bCs/>
          <w:sz w:val="24"/>
        </w:rPr>
        <w:t>-së</w:t>
      </w:r>
    </w:p>
    <w:p w14:paraId="10929D18" w14:textId="1F10324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2.2</w:t>
      </w:r>
      <w:r w:rsidR="0002090B" w:rsidRPr="00B907A3">
        <w:rPr>
          <w:rFonts w:ascii="Garamond" w:hAnsi="Garamond"/>
          <w:bCs/>
          <w:sz w:val="24"/>
        </w:rPr>
        <w:t xml:space="preserve"> </w:t>
      </w:r>
      <w:r w:rsidRPr="00B907A3">
        <w:rPr>
          <w:rFonts w:ascii="Garamond" w:hAnsi="Garamond"/>
          <w:bCs/>
          <w:sz w:val="24"/>
        </w:rPr>
        <w:t>Analiza Hendekut e praktikës aktuale të sigurisë rrugore brenda pesë shtyllave të OKB-së për sigurinë rrugore</w:t>
      </w:r>
    </w:p>
    <w:p w14:paraId="63A15019" w14:textId="4B65396A"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2.3</w:t>
      </w:r>
      <w:r w:rsidR="0002090B" w:rsidRPr="00B907A3">
        <w:rPr>
          <w:rFonts w:ascii="Garamond" w:hAnsi="Garamond"/>
          <w:bCs/>
          <w:sz w:val="24"/>
        </w:rPr>
        <w:t xml:space="preserve"> </w:t>
      </w:r>
      <w:r w:rsidRPr="00B907A3">
        <w:rPr>
          <w:rFonts w:ascii="Garamond" w:hAnsi="Garamond"/>
          <w:bCs/>
          <w:sz w:val="24"/>
        </w:rPr>
        <w:t>Boshllëqet e identifikuara në sistemet mbështetëse për monitorim/vlerësim të suksesshëm të sigurisë rrugore të bazuar në të dhëna</w:t>
      </w:r>
    </w:p>
    <w:p w14:paraId="3E8AB9A1" w14:textId="611C123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3</w:t>
      </w:r>
      <w:r w:rsidR="007951BD">
        <w:rPr>
          <w:rFonts w:ascii="Garamond" w:hAnsi="Garamond"/>
          <w:bCs/>
          <w:sz w:val="24"/>
        </w:rPr>
        <w:t>.</w:t>
      </w:r>
      <w:r w:rsidR="0002090B" w:rsidRPr="00B907A3">
        <w:rPr>
          <w:rFonts w:ascii="Garamond" w:hAnsi="Garamond"/>
          <w:bCs/>
          <w:sz w:val="24"/>
        </w:rPr>
        <w:t xml:space="preserve"> </w:t>
      </w:r>
      <w:r w:rsidRPr="00B907A3">
        <w:rPr>
          <w:rFonts w:ascii="Garamond" w:hAnsi="Garamond"/>
          <w:bCs/>
          <w:sz w:val="24"/>
        </w:rPr>
        <w:t>NJË PANORAMË E GJENDJES SË SIGURISË RRUGORE NË SHQIPËRI</w:t>
      </w:r>
    </w:p>
    <w:p w14:paraId="6B003A90" w14:textId="2AAB4FE8"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3.1</w:t>
      </w:r>
      <w:r w:rsidR="0002090B" w:rsidRPr="00B907A3">
        <w:rPr>
          <w:rFonts w:ascii="Garamond" w:hAnsi="Garamond"/>
          <w:bCs/>
          <w:sz w:val="24"/>
        </w:rPr>
        <w:t xml:space="preserve"> </w:t>
      </w:r>
      <w:r w:rsidRPr="00B907A3">
        <w:rPr>
          <w:rFonts w:ascii="Garamond" w:hAnsi="Garamond"/>
          <w:bCs/>
          <w:sz w:val="24"/>
        </w:rPr>
        <w:t>Performanca e sigurisë rrugore në Shqipëri</w:t>
      </w:r>
    </w:p>
    <w:p w14:paraId="02D3A7CB" w14:textId="09253780"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3.2</w:t>
      </w:r>
      <w:r w:rsidR="0002090B" w:rsidRPr="00B907A3">
        <w:rPr>
          <w:rFonts w:ascii="Garamond" w:hAnsi="Garamond"/>
          <w:bCs/>
          <w:sz w:val="24"/>
        </w:rPr>
        <w:t xml:space="preserve"> </w:t>
      </w:r>
      <w:r w:rsidRPr="00B907A3">
        <w:rPr>
          <w:rFonts w:ascii="Garamond" w:hAnsi="Garamond"/>
          <w:bCs/>
          <w:sz w:val="24"/>
        </w:rPr>
        <w:t>Sfidat kryesore të identifikuara</w:t>
      </w:r>
    </w:p>
    <w:p w14:paraId="0CD8C56E" w14:textId="73CED029"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3.2.1</w:t>
      </w:r>
      <w:r w:rsidR="0002090B" w:rsidRPr="00B907A3">
        <w:rPr>
          <w:rFonts w:ascii="Garamond" w:hAnsi="Garamond"/>
          <w:bCs/>
          <w:sz w:val="24"/>
        </w:rPr>
        <w:t xml:space="preserve"> </w:t>
      </w:r>
      <w:r w:rsidRPr="00B907A3">
        <w:rPr>
          <w:rFonts w:ascii="Garamond" w:hAnsi="Garamond"/>
          <w:bCs/>
          <w:sz w:val="24"/>
        </w:rPr>
        <w:t>Grupet e Rrezikuara të Përdoruesve të Rrugës</w:t>
      </w:r>
    </w:p>
    <w:p w14:paraId="731AC6A8" w14:textId="6014AA9B"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lastRenderedPageBreak/>
        <w:t>3.2.2</w:t>
      </w:r>
      <w:r w:rsidR="0002090B" w:rsidRPr="00B907A3">
        <w:rPr>
          <w:rFonts w:ascii="Garamond" w:hAnsi="Garamond"/>
          <w:bCs/>
          <w:sz w:val="24"/>
        </w:rPr>
        <w:t xml:space="preserve"> </w:t>
      </w:r>
      <w:r w:rsidRPr="00B907A3">
        <w:rPr>
          <w:rFonts w:ascii="Garamond" w:hAnsi="Garamond"/>
          <w:bCs/>
          <w:sz w:val="24"/>
        </w:rPr>
        <w:t>Sjellje të rrezikshme</w:t>
      </w:r>
    </w:p>
    <w:p w14:paraId="6544069E" w14:textId="6C889006"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4</w:t>
      </w:r>
      <w:r w:rsidR="007951BD">
        <w:rPr>
          <w:rFonts w:ascii="Garamond" w:hAnsi="Garamond"/>
          <w:bCs/>
          <w:sz w:val="24"/>
        </w:rPr>
        <w:t>.</w:t>
      </w:r>
      <w:r w:rsidR="0002090B" w:rsidRPr="00B907A3">
        <w:rPr>
          <w:rFonts w:ascii="Garamond" w:hAnsi="Garamond"/>
          <w:bCs/>
          <w:sz w:val="24"/>
        </w:rPr>
        <w:t xml:space="preserve"> </w:t>
      </w:r>
      <w:r w:rsidRPr="00B907A3">
        <w:rPr>
          <w:rFonts w:ascii="Garamond" w:hAnsi="Garamond"/>
          <w:bCs/>
          <w:sz w:val="24"/>
        </w:rPr>
        <w:t>NJË QASJE, KUADË</w:t>
      </w:r>
      <w:r w:rsidR="00DB76F6">
        <w:rPr>
          <w:rFonts w:ascii="Garamond" w:hAnsi="Garamond"/>
          <w:bCs/>
          <w:sz w:val="24"/>
        </w:rPr>
        <w:t>R DHE VISION/QËLLIM/OBJEKTIVA/</w:t>
      </w:r>
      <w:r w:rsidRPr="00DB76F6">
        <w:rPr>
          <w:rFonts w:ascii="Garamond" w:hAnsi="Garamond"/>
          <w:bCs/>
          <w:sz w:val="24"/>
        </w:rPr>
        <w:t>TARGETE STRAT</w:t>
      </w:r>
      <w:r w:rsidR="00DB76F6" w:rsidRPr="00DB76F6">
        <w:rPr>
          <w:rFonts w:ascii="Garamond" w:hAnsi="Garamond"/>
          <w:bCs/>
          <w:sz w:val="24"/>
        </w:rPr>
        <w:t>EGJIKË</w:t>
      </w:r>
    </w:p>
    <w:p w14:paraId="7DBEC62B" w14:textId="26C8CF60"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4.1</w:t>
      </w:r>
      <w:r w:rsidR="00887CC6">
        <w:rPr>
          <w:rFonts w:ascii="Garamond" w:hAnsi="Garamond"/>
          <w:bCs/>
          <w:sz w:val="24"/>
        </w:rPr>
        <w:t xml:space="preserve"> </w:t>
      </w:r>
      <w:r w:rsidRPr="00B907A3">
        <w:rPr>
          <w:rFonts w:ascii="Garamond" w:hAnsi="Garamond"/>
          <w:bCs/>
          <w:sz w:val="24"/>
        </w:rPr>
        <w:t>Një qasje strategjike</w:t>
      </w:r>
    </w:p>
    <w:p w14:paraId="1AC5599B" w14:textId="4FBDFA2D"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4.2</w:t>
      </w:r>
      <w:r w:rsidR="007951BD">
        <w:rPr>
          <w:rFonts w:ascii="Garamond" w:hAnsi="Garamond"/>
          <w:bCs/>
          <w:sz w:val="24"/>
        </w:rPr>
        <w:t xml:space="preserve"> </w:t>
      </w:r>
      <w:r w:rsidRPr="00B907A3">
        <w:rPr>
          <w:rFonts w:ascii="Garamond" w:hAnsi="Garamond"/>
          <w:bCs/>
          <w:sz w:val="24"/>
        </w:rPr>
        <w:t>Kuadri</w:t>
      </w:r>
    </w:p>
    <w:p w14:paraId="200B5E0F" w14:textId="510FBFA7"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4.2.1</w:t>
      </w:r>
      <w:r w:rsidR="0002090B" w:rsidRPr="00B907A3">
        <w:rPr>
          <w:rFonts w:ascii="Garamond" w:hAnsi="Garamond"/>
          <w:bCs/>
          <w:sz w:val="24"/>
        </w:rPr>
        <w:t xml:space="preserve"> </w:t>
      </w:r>
      <w:r w:rsidRPr="00B907A3">
        <w:rPr>
          <w:rFonts w:ascii="Garamond" w:hAnsi="Garamond"/>
          <w:bCs/>
          <w:sz w:val="24"/>
        </w:rPr>
        <w:t>Një Plan Veprimi me faza</w:t>
      </w:r>
    </w:p>
    <w:p w14:paraId="6F243B9D" w14:textId="6438399D"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4.2.2</w:t>
      </w:r>
      <w:r w:rsidR="0002090B" w:rsidRPr="00B907A3">
        <w:rPr>
          <w:rFonts w:ascii="Garamond" w:hAnsi="Garamond"/>
          <w:bCs/>
          <w:sz w:val="24"/>
        </w:rPr>
        <w:t xml:space="preserve"> </w:t>
      </w:r>
      <w:r w:rsidRPr="00B907A3">
        <w:rPr>
          <w:rFonts w:ascii="Garamond" w:hAnsi="Garamond"/>
          <w:bCs/>
          <w:sz w:val="24"/>
        </w:rPr>
        <w:t>Skenarët e Sigurisë Rrugore</w:t>
      </w:r>
    </w:p>
    <w:p w14:paraId="5C0FF1E4" w14:textId="5C0734F8"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4.3</w:t>
      </w:r>
      <w:r w:rsidR="0002090B" w:rsidRPr="00B907A3">
        <w:rPr>
          <w:rFonts w:ascii="Garamond" w:hAnsi="Garamond"/>
          <w:bCs/>
          <w:sz w:val="24"/>
        </w:rPr>
        <w:t xml:space="preserve"> </w:t>
      </w:r>
      <w:r w:rsidRPr="00B907A3">
        <w:rPr>
          <w:rFonts w:ascii="Garamond" w:hAnsi="Garamond"/>
          <w:bCs/>
          <w:sz w:val="24"/>
        </w:rPr>
        <w:t>Vizioni/Qëllimi/Objektivat/Synimet</w:t>
      </w:r>
    </w:p>
    <w:p w14:paraId="6ABF9B68" w14:textId="6FF2C6B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w:t>
      </w:r>
      <w:r w:rsidR="007951BD">
        <w:rPr>
          <w:rFonts w:ascii="Garamond" w:hAnsi="Garamond"/>
          <w:bCs/>
          <w:sz w:val="24"/>
        </w:rPr>
        <w:t>.</w:t>
      </w:r>
      <w:r w:rsidR="0002090B" w:rsidRPr="00B907A3">
        <w:rPr>
          <w:rFonts w:ascii="Garamond" w:hAnsi="Garamond"/>
          <w:bCs/>
          <w:sz w:val="24"/>
        </w:rPr>
        <w:t xml:space="preserve"> </w:t>
      </w:r>
      <w:r w:rsidRPr="00B907A3">
        <w:rPr>
          <w:rFonts w:ascii="Garamond" w:hAnsi="Garamond"/>
          <w:bCs/>
          <w:sz w:val="24"/>
        </w:rPr>
        <w:t>FUSHAT PRIORITARE TË NDËRHYRJES PËR VEPRIM</w:t>
      </w:r>
    </w:p>
    <w:p w14:paraId="53B9CDFB" w14:textId="48D0C260"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w:t>
      </w:r>
      <w:r w:rsidR="0002090B" w:rsidRPr="00B907A3">
        <w:rPr>
          <w:rFonts w:ascii="Garamond" w:hAnsi="Garamond"/>
          <w:bCs/>
          <w:sz w:val="24"/>
        </w:rPr>
        <w:t xml:space="preserve"> </w:t>
      </w:r>
      <w:r w:rsidRPr="00B907A3">
        <w:rPr>
          <w:rFonts w:ascii="Garamond" w:hAnsi="Garamond"/>
          <w:bCs/>
          <w:sz w:val="24"/>
        </w:rPr>
        <w:t>Menaxhimi i Sigurisë Rrugore</w:t>
      </w:r>
    </w:p>
    <w:p w14:paraId="1A1FF0ED" w14:textId="0BBDAD20"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5.1.1</w:t>
      </w:r>
      <w:r w:rsidR="0002090B" w:rsidRPr="00B907A3">
        <w:rPr>
          <w:rFonts w:ascii="Garamond" w:hAnsi="Garamond"/>
          <w:bCs/>
          <w:sz w:val="24"/>
        </w:rPr>
        <w:t xml:space="preserve"> </w:t>
      </w:r>
      <w:r w:rsidRPr="00B907A3">
        <w:rPr>
          <w:rFonts w:ascii="Garamond" w:hAnsi="Garamond"/>
          <w:bCs/>
          <w:sz w:val="24"/>
        </w:rPr>
        <w:t>Përmirësimi i kuadrit legjislativ për menaxhimin e sigurisë rrugore</w:t>
      </w:r>
    </w:p>
    <w:p w14:paraId="566A664C" w14:textId="06A76CB6"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5.1.2</w:t>
      </w:r>
      <w:r w:rsidR="0002090B" w:rsidRPr="00B907A3">
        <w:rPr>
          <w:rFonts w:ascii="Garamond" w:hAnsi="Garamond"/>
          <w:bCs/>
          <w:sz w:val="24"/>
        </w:rPr>
        <w:t xml:space="preserve"> </w:t>
      </w:r>
      <w:r w:rsidRPr="00B907A3">
        <w:rPr>
          <w:rFonts w:ascii="Garamond" w:hAnsi="Garamond"/>
          <w:bCs/>
          <w:sz w:val="24"/>
        </w:rPr>
        <w:t>Përmirësimi i kapaciteteve institucionale për sigurinë rrugore (ndërtimi i kapaciteteve)</w:t>
      </w:r>
    </w:p>
    <w:p w14:paraId="4AE36646" w14:textId="60022B8D"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5.1.3</w:t>
      </w:r>
      <w:r w:rsidR="0002090B" w:rsidRPr="00B907A3">
        <w:rPr>
          <w:rFonts w:ascii="Garamond" w:hAnsi="Garamond"/>
          <w:bCs/>
          <w:sz w:val="24"/>
        </w:rPr>
        <w:t xml:space="preserve"> </w:t>
      </w:r>
      <w:r w:rsidRPr="00B907A3">
        <w:rPr>
          <w:rFonts w:ascii="Garamond" w:hAnsi="Garamond"/>
          <w:bCs/>
          <w:sz w:val="24"/>
        </w:rPr>
        <w:t>Përmirësimi i komunikimit, koordinimit dhe bashkëpunimit të aktorëve kyç të sigurisë rrugore</w:t>
      </w:r>
    </w:p>
    <w:p w14:paraId="10D75E27" w14:textId="4E4DAB38"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5.1.4</w:t>
      </w:r>
      <w:r w:rsidR="0002090B" w:rsidRPr="00B907A3">
        <w:rPr>
          <w:rFonts w:ascii="Garamond" w:hAnsi="Garamond"/>
          <w:bCs/>
          <w:sz w:val="24"/>
        </w:rPr>
        <w:t xml:space="preserve"> </w:t>
      </w:r>
      <w:r w:rsidRPr="00B907A3">
        <w:rPr>
          <w:rFonts w:ascii="Garamond" w:hAnsi="Garamond"/>
          <w:bCs/>
          <w:sz w:val="24"/>
        </w:rPr>
        <w:t>Përmirësimi i financimit dhe shpërndarjes së burimeve për sigurinë rrugore</w:t>
      </w:r>
    </w:p>
    <w:p w14:paraId="3143C607" w14:textId="14AE6BDF"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5.1.5</w:t>
      </w:r>
      <w:r w:rsidR="0002090B" w:rsidRPr="00B907A3">
        <w:rPr>
          <w:rFonts w:ascii="Garamond" w:hAnsi="Garamond"/>
          <w:bCs/>
          <w:sz w:val="24"/>
        </w:rPr>
        <w:t xml:space="preserve"> </w:t>
      </w:r>
      <w:r w:rsidRPr="00B907A3">
        <w:rPr>
          <w:rFonts w:ascii="Garamond" w:hAnsi="Garamond"/>
          <w:bCs/>
          <w:sz w:val="24"/>
        </w:rPr>
        <w:t>Përmirësimi i sistemeve mbështetëse të sigurisë rrugore</w:t>
      </w:r>
    </w:p>
    <w:p w14:paraId="1010B571" w14:textId="026D0C67"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5.1.6</w:t>
      </w:r>
      <w:r w:rsidR="0002090B" w:rsidRPr="00B907A3">
        <w:rPr>
          <w:rFonts w:ascii="Garamond" w:hAnsi="Garamond"/>
          <w:bCs/>
          <w:sz w:val="24"/>
        </w:rPr>
        <w:t xml:space="preserve"> </w:t>
      </w:r>
      <w:r w:rsidRPr="00B907A3">
        <w:rPr>
          <w:rFonts w:ascii="Garamond" w:hAnsi="Garamond"/>
          <w:bCs/>
          <w:sz w:val="24"/>
        </w:rPr>
        <w:t>Mbështetja për kalimin e përdoruesve drejt mënyrave më të sigurta të transportit</w:t>
      </w:r>
    </w:p>
    <w:p w14:paraId="6C0D5AAF" w14:textId="10A97D82"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5.2</w:t>
      </w:r>
      <w:r w:rsidR="0002090B" w:rsidRPr="00B907A3">
        <w:rPr>
          <w:rFonts w:ascii="Garamond" w:hAnsi="Garamond"/>
          <w:bCs/>
          <w:sz w:val="24"/>
        </w:rPr>
        <w:t xml:space="preserve"> </w:t>
      </w:r>
      <w:r w:rsidR="007951BD">
        <w:rPr>
          <w:rFonts w:ascii="Garamond" w:hAnsi="Garamond"/>
          <w:bCs/>
          <w:sz w:val="24"/>
        </w:rPr>
        <w:t>Rrugë dhe mobilitet më i sigurt</w:t>
      </w:r>
      <w:r w:rsidRPr="00B907A3">
        <w:rPr>
          <w:rFonts w:ascii="Garamond" w:hAnsi="Garamond"/>
          <w:bCs/>
          <w:sz w:val="24"/>
        </w:rPr>
        <w:t>, për</w:t>
      </w:r>
      <w:r w:rsidR="007951BD">
        <w:rPr>
          <w:rFonts w:ascii="Garamond" w:hAnsi="Garamond"/>
          <w:bCs/>
          <w:sz w:val="24"/>
        </w:rPr>
        <w:t>fshirë shpejtësinë e sigurt</w:t>
      </w:r>
    </w:p>
    <w:p w14:paraId="575CD2F9" w14:textId="7E8C2D42"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5.2.1</w:t>
      </w:r>
      <w:r w:rsidR="0002090B" w:rsidRPr="00B907A3">
        <w:rPr>
          <w:rFonts w:ascii="Garamond" w:hAnsi="Garamond"/>
          <w:bCs/>
          <w:sz w:val="24"/>
        </w:rPr>
        <w:t xml:space="preserve"> </w:t>
      </w:r>
      <w:r w:rsidRPr="00B907A3">
        <w:rPr>
          <w:rFonts w:ascii="Garamond" w:hAnsi="Garamond"/>
          <w:bCs/>
          <w:sz w:val="24"/>
        </w:rPr>
        <w:t>Përmirësimi i planifikimit, projektimit, ndërtimit dhe mirëmbajtjes së rrugëve</w:t>
      </w:r>
    </w:p>
    <w:p w14:paraId="1F168DC6" w14:textId="62B1466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5.2.2</w:t>
      </w:r>
      <w:r w:rsidR="0002090B" w:rsidRPr="00B907A3">
        <w:rPr>
          <w:rFonts w:ascii="Garamond" w:hAnsi="Garamond"/>
          <w:bCs/>
          <w:sz w:val="24"/>
        </w:rPr>
        <w:t xml:space="preserve"> </w:t>
      </w:r>
      <w:r w:rsidRPr="00B907A3">
        <w:rPr>
          <w:rFonts w:ascii="Garamond" w:hAnsi="Garamond"/>
          <w:bCs/>
          <w:sz w:val="24"/>
        </w:rPr>
        <w:t>Hartimi dhe zbatimi i treguesve të vlerësimit të sigurisë për infrastrukturën rrugore kombëtare</w:t>
      </w:r>
    </w:p>
    <w:p w14:paraId="3F49AD50" w14:textId="45E66FA0"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5.2.3</w:t>
      </w:r>
      <w:r w:rsidR="0002090B" w:rsidRPr="00B907A3">
        <w:rPr>
          <w:rFonts w:ascii="Garamond" w:hAnsi="Garamond"/>
          <w:bCs/>
          <w:sz w:val="24"/>
        </w:rPr>
        <w:t xml:space="preserve"> </w:t>
      </w:r>
      <w:r w:rsidRPr="00B907A3">
        <w:rPr>
          <w:rFonts w:ascii="Garamond" w:hAnsi="Garamond"/>
          <w:bCs/>
          <w:sz w:val="24"/>
        </w:rPr>
        <w:t>Përmirësimi i sigurisë rrugore në rrugët kombëtare dhe në vendndodhjet rrugore me risk të shtuar për përdoruesit e rrezikuar të rrugës</w:t>
      </w:r>
    </w:p>
    <w:p w14:paraId="088A9B60" w14:textId="38028F4D"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5.2.4</w:t>
      </w:r>
      <w:r w:rsidR="0002090B" w:rsidRPr="00B907A3">
        <w:rPr>
          <w:rFonts w:ascii="Garamond" w:hAnsi="Garamond"/>
          <w:bCs/>
          <w:sz w:val="24"/>
        </w:rPr>
        <w:t xml:space="preserve"> </w:t>
      </w:r>
      <w:r w:rsidRPr="00B907A3">
        <w:rPr>
          <w:rFonts w:ascii="Garamond" w:hAnsi="Garamond"/>
          <w:bCs/>
          <w:sz w:val="24"/>
        </w:rPr>
        <w:t>Shpej</w:t>
      </w:r>
      <w:r w:rsidR="007951BD">
        <w:rPr>
          <w:rFonts w:ascii="Garamond" w:hAnsi="Garamond"/>
          <w:bCs/>
          <w:sz w:val="24"/>
        </w:rPr>
        <w:t>tësitë e sigurta si thelb i QSS</w:t>
      </w:r>
      <w:r w:rsidRPr="00B907A3">
        <w:rPr>
          <w:rFonts w:ascii="Garamond" w:hAnsi="Garamond"/>
          <w:bCs/>
          <w:sz w:val="24"/>
        </w:rPr>
        <w:t>-së dhe i sigurisë së infrastrukturës</w:t>
      </w:r>
    </w:p>
    <w:p w14:paraId="48776606" w14:textId="4290BA38"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5.2.5</w:t>
      </w:r>
      <w:r w:rsidR="0002090B" w:rsidRPr="00B907A3">
        <w:rPr>
          <w:rFonts w:ascii="Garamond" w:hAnsi="Garamond"/>
          <w:bCs/>
          <w:sz w:val="24"/>
        </w:rPr>
        <w:t xml:space="preserve"> </w:t>
      </w:r>
      <w:r w:rsidRPr="00B907A3">
        <w:rPr>
          <w:rFonts w:ascii="Garamond" w:hAnsi="Garamond"/>
          <w:bCs/>
          <w:sz w:val="24"/>
        </w:rPr>
        <w:t>Forcimi i kapaciteteve institucionale të administratave rrugore</w:t>
      </w:r>
    </w:p>
    <w:p w14:paraId="2791DE34" w14:textId="4544DE0B"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5.3</w:t>
      </w:r>
      <w:r w:rsidR="0002090B" w:rsidRPr="00B907A3">
        <w:rPr>
          <w:rFonts w:ascii="Garamond" w:hAnsi="Garamond"/>
          <w:bCs/>
          <w:sz w:val="24"/>
        </w:rPr>
        <w:t xml:space="preserve"> </w:t>
      </w:r>
      <w:r w:rsidRPr="00B907A3">
        <w:rPr>
          <w:rFonts w:ascii="Garamond" w:hAnsi="Garamond"/>
          <w:bCs/>
          <w:sz w:val="24"/>
        </w:rPr>
        <w:t>Automjete më të sigurta</w:t>
      </w:r>
    </w:p>
    <w:p w14:paraId="22064B8E" w14:textId="7E0734D1"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5.3.1</w:t>
      </w:r>
      <w:r w:rsidR="0002090B" w:rsidRPr="00B907A3">
        <w:rPr>
          <w:rFonts w:ascii="Garamond" w:hAnsi="Garamond"/>
          <w:bCs/>
          <w:sz w:val="24"/>
        </w:rPr>
        <w:t xml:space="preserve"> </w:t>
      </w:r>
      <w:r w:rsidRPr="00B907A3">
        <w:rPr>
          <w:rFonts w:ascii="Garamond" w:hAnsi="Garamond"/>
          <w:bCs/>
          <w:sz w:val="24"/>
        </w:rPr>
        <w:t>Përmirësimi dhe kontrolli i gjendjes teknike të mjeteve</w:t>
      </w:r>
    </w:p>
    <w:p w14:paraId="668D582E" w14:textId="75823A8C"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5.3.2</w:t>
      </w:r>
      <w:r w:rsidR="0002090B" w:rsidRPr="00B907A3">
        <w:rPr>
          <w:rFonts w:ascii="Garamond" w:hAnsi="Garamond"/>
          <w:bCs/>
          <w:sz w:val="24"/>
        </w:rPr>
        <w:t xml:space="preserve"> </w:t>
      </w:r>
      <w:r w:rsidRPr="00B907A3">
        <w:rPr>
          <w:rFonts w:ascii="Garamond" w:hAnsi="Garamond"/>
          <w:bCs/>
          <w:sz w:val="24"/>
        </w:rPr>
        <w:t>Kontrolle të specializuara/të orientuara në rrugë (peshimi i mjeteve dhe inspektime teknike rrugore)</w:t>
      </w:r>
    </w:p>
    <w:p w14:paraId="577CD57F" w14:textId="245B41DD"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5.3.3</w:t>
      </w:r>
      <w:r w:rsidR="0002090B" w:rsidRPr="00B907A3">
        <w:rPr>
          <w:rFonts w:ascii="Garamond" w:hAnsi="Garamond"/>
          <w:bCs/>
          <w:sz w:val="24"/>
        </w:rPr>
        <w:t xml:space="preserve"> </w:t>
      </w:r>
      <w:r w:rsidRPr="00B907A3">
        <w:rPr>
          <w:rFonts w:ascii="Garamond" w:hAnsi="Garamond"/>
          <w:bCs/>
          <w:sz w:val="24"/>
        </w:rPr>
        <w:t>Zbatimi i acquis të BE-së për miratimin e tipit të mjeteve dhe promovimi i përdorimit të mjeteve me sisteme të avancuara sigurie (ADAS)</w:t>
      </w:r>
    </w:p>
    <w:p w14:paraId="6B173B7B" w14:textId="58188A9F"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5.3.4</w:t>
      </w:r>
      <w:r w:rsidR="0002090B" w:rsidRPr="00B907A3">
        <w:rPr>
          <w:rFonts w:ascii="Garamond" w:hAnsi="Garamond"/>
          <w:bCs/>
          <w:sz w:val="24"/>
        </w:rPr>
        <w:t xml:space="preserve"> </w:t>
      </w:r>
      <w:r w:rsidRPr="00B907A3">
        <w:rPr>
          <w:rFonts w:ascii="Garamond" w:hAnsi="Garamond"/>
          <w:bCs/>
          <w:sz w:val="24"/>
        </w:rPr>
        <w:t>Kushte për futjen e sigurt n</w:t>
      </w:r>
      <w:r w:rsidR="00A021B5">
        <w:rPr>
          <w:rFonts w:ascii="Garamond" w:hAnsi="Garamond"/>
          <w:bCs/>
          <w:sz w:val="24"/>
        </w:rPr>
        <w:t>ë</w:t>
      </w:r>
      <w:r w:rsidRPr="00B907A3">
        <w:rPr>
          <w:rFonts w:ascii="Garamond" w:hAnsi="Garamond"/>
          <w:bCs/>
          <w:sz w:val="24"/>
        </w:rPr>
        <w:t xml:space="preserve"> qarkullim të mjeteve të mikro-mobilitetit në qarkullimin rrugor</w:t>
      </w:r>
    </w:p>
    <w:p w14:paraId="7551CF6C" w14:textId="3235B7FA"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5.4</w:t>
      </w:r>
      <w:r w:rsidR="0002090B" w:rsidRPr="00B907A3">
        <w:rPr>
          <w:rFonts w:ascii="Garamond" w:hAnsi="Garamond"/>
          <w:bCs/>
          <w:sz w:val="24"/>
        </w:rPr>
        <w:t xml:space="preserve"> </w:t>
      </w:r>
      <w:r w:rsidRPr="00B907A3">
        <w:rPr>
          <w:rFonts w:ascii="Garamond" w:hAnsi="Garamond"/>
          <w:bCs/>
          <w:sz w:val="24"/>
        </w:rPr>
        <w:t>Përdorues Rrugorë më të Sigurt</w:t>
      </w:r>
    </w:p>
    <w:p w14:paraId="5E8F583F" w14:textId="51DFC7C3"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5.4.1</w:t>
      </w:r>
      <w:r w:rsidR="0002090B" w:rsidRPr="00B907A3">
        <w:rPr>
          <w:rFonts w:ascii="Garamond" w:hAnsi="Garamond"/>
          <w:bCs/>
          <w:sz w:val="24"/>
        </w:rPr>
        <w:t xml:space="preserve"> </w:t>
      </w:r>
      <w:r w:rsidRPr="00B907A3">
        <w:rPr>
          <w:rFonts w:ascii="Garamond" w:hAnsi="Garamond"/>
          <w:bCs/>
          <w:sz w:val="24"/>
        </w:rPr>
        <w:t>Përmirësime në sistemin e edukimit për sigurinë rrugore</w:t>
      </w:r>
    </w:p>
    <w:p w14:paraId="3C394606" w14:textId="10FF6ACB"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5.4.2</w:t>
      </w:r>
      <w:r w:rsidR="0002090B" w:rsidRPr="00B907A3">
        <w:rPr>
          <w:rFonts w:ascii="Garamond" w:hAnsi="Garamond"/>
          <w:bCs/>
          <w:sz w:val="24"/>
        </w:rPr>
        <w:t xml:space="preserve"> </w:t>
      </w:r>
      <w:r w:rsidRPr="00B907A3">
        <w:rPr>
          <w:rFonts w:ascii="Garamond" w:hAnsi="Garamond"/>
          <w:bCs/>
          <w:sz w:val="24"/>
        </w:rPr>
        <w:t>Përmirësimi dhe intensifikimi i fushatave të ndërgjegjësimit parandalues</w:t>
      </w:r>
    </w:p>
    <w:p w14:paraId="7C40258C" w14:textId="31B0B740"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5.4.3</w:t>
      </w:r>
      <w:r w:rsidR="0002090B" w:rsidRPr="00B907A3">
        <w:rPr>
          <w:rFonts w:ascii="Garamond" w:hAnsi="Garamond"/>
          <w:bCs/>
          <w:sz w:val="24"/>
        </w:rPr>
        <w:t xml:space="preserve"> </w:t>
      </w:r>
      <w:r w:rsidRPr="00B907A3">
        <w:rPr>
          <w:rFonts w:ascii="Garamond" w:hAnsi="Garamond"/>
          <w:bCs/>
          <w:sz w:val="24"/>
        </w:rPr>
        <w:t>Përmirësimi i sistemit të zbatimit të ligjit</w:t>
      </w:r>
    </w:p>
    <w:p w14:paraId="43ED761A" w14:textId="6372F35B"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5.4.4</w:t>
      </w:r>
      <w:r w:rsidR="0002090B" w:rsidRPr="00B907A3">
        <w:rPr>
          <w:rFonts w:ascii="Garamond" w:hAnsi="Garamond"/>
          <w:bCs/>
          <w:sz w:val="24"/>
        </w:rPr>
        <w:t xml:space="preserve"> </w:t>
      </w:r>
      <w:r w:rsidRPr="00B907A3">
        <w:rPr>
          <w:rFonts w:ascii="Garamond" w:hAnsi="Garamond"/>
          <w:bCs/>
          <w:sz w:val="24"/>
        </w:rPr>
        <w:t>Monitorimi i nivelit të njohurive, qëndrimeve dhe sjelljes së sigurt të përdoruesve të rrugës</w:t>
      </w:r>
    </w:p>
    <w:p w14:paraId="07D8A23C" w14:textId="4BEED37B"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5.5</w:t>
      </w:r>
      <w:r w:rsidR="0002090B" w:rsidRPr="00B907A3">
        <w:rPr>
          <w:rFonts w:ascii="Garamond" w:hAnsi="Garamond"/>
          <w:bCs/>
          <w:sz w:val="24"/>
        </w:rPr>
        <w:t xml:space="preserve"> </w:t>
      </w:r>
      <w:r w:rsidRPr="00B907A3">
        <w:rPr>
          <w:rFonts w:ascii="Garamond" w:hAnsi="Garamond"/>
          <w:bCs/>
          <w:sz w:val="24"/>
        </w:rPr>
        <w:t>Kujdesi pas aksidentit dhe rehabilitimi</w:t>
      </w:r>
    </w:p>
    <w:p w14:paraId="1CD482A9" w14:textId="24340554"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5.5.1</w:t>
      </w:r>
      <w:r w:rsidR="0002090B" w:rsidRPr="00B907A3">
        <w:rPr>
          <w:rFonts w:ascii="Garamond" w:hAnsi="Garamond"/>
          <w:bCs/>
          <w:sz w:val="24"/>
        </w:rPr>
        <w:t xml:space="preserve"> </w:t>
      </w:r>
      <w:r w:rsidRPr="00B907A3">
        <w:rPr>
          <w:rFonts w:ascii="Garamond" w:hAnsi="Garamond"/>
          <w:bCs/>
          <w:sz w:val="24"/>
        </w:rPr>
        <w:t>Përmirësimi dhe standardizimi i komunikimit ndërmjet shërbimeve të para pas një aksidenti rrugor</w:t>
      </w:r>
    </w:p>
    <w:p w14:paraId="1FA53CFA" w14:textId="7ABD33B7"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5.5.2</w:t>
      </w:r>
      <w:r w:rsidR="0002090B" w:rsidRPr="00B907A3">
        <w:rPr>
          <w:rFonts w:ascii="Garamond" w:hAnsi="Garamond"/>
          <w:bCs/>
          <w:sz w:val="24"/>
        </w:rPr>
        <w:t xml:space="preserve"> </w:t>
      </w:r>
      <w:r w:rsidRPr="00B907A3">
        <w:rPr>
          <w:rFonts w:ascii="Garamond" w:hAnsi="Garamond"/>
          <w:bCs/>
          <w:sz w:val="24"/>
        </w:rPr>
        <w:t>Përmirësimi i ekspertizës, kompetencës dhe trajnimit të personelit të shërbimeve të urgjencës për veprimet pas aksidenteve</w:t>
      </w:r>
    </w:p>
    <w:p w14:paraId="21210369" w14:textId="4775E94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5.5.3</w:t>
      </w:r>
      <w:r w:rsidR="0002090B" w:rsidRPr="00B907A3">
        <w:rPr>
          <w:rFonts w:ascii="Garamond" w:hAnsi="Garamond"/>
          <w:bCs/>
          <w:sz w:val="24"/>
        </w:rPr>
        <w:t xml:space="preserve"> </w:t>
      </w:r>
      <w:r w:rsidRPr="00B907A3">
        <w:rPr>
          <w:rFonts w:ascii="Garamond" w:hAnsi="Garamond"/>
          <w:bCs/>
          <w:sz w:val="24"/>
        </w:rPr>
        <w:t>Përmirësimi i regjistrave spitalorë dhe i komunikimit me Policinë Rrugore në lidhje me pacientët e përfshirë në aksidente</w:t>
      </w:r>
    </w:p>
    <w:p w14:paraId="0A8C9CA7" w14:textId="1182C43A"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5.5.4</w:t>
      </w:r>
      <w:r w:rsidR="0002090B" w:rsidRPr="00B907A3">
        <w:rPr>
          <w:rFonts w:ascii="Garamond" w:hAnsi="Garamond"/>
          <w:bCs/>
          <w:sz w:val="24"/>
        </w:rPr>
        <w:t xml:space="preserve"> </w:t>
      </w:r>
      <w:r w:rsidRPr="00B907A3">
        <w:rPr>
          <w:rFonts w:ascii="Garamond" w:hAnsi="Garamond"/>
          <w:bCs/>
          <w:sz w:val="24"/>
        </w:rPr>
        <w:t>Futja e shkallës së dëmtimit MAIS3+</w:t>
      </w:r>
    </w:p>
    <w:p w14:paraId="4F626D69" w14:textId="60AE9579"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5.5.5</w:t>
      </w:r>
      <w:r w:rsidR="0002090B" w:rsidRPr="00B907A3">
        <w:rPr>
          <w:rFonts w:ascii="Garamond" w:hAnsi="Garamond"/>
          <w:bCs/>
          <w:sz w:val="24"/>
        </w:rPr>
        <w:t xml:space="preserve"> </w:t>
      </w:r>
      <w:r w:rsidRPr="00B907A3">
        <w:rPr>
          <w:rFonts w:ascii="Garamond" w:hAnsi="Garamond"/>
          <w:bCs/>
          <w:sz w:val="24"/>
        </w:rPr>
        <w:t>Përmirësimi i shërbimeve të rehabilitimit</w:t>
      </w:r>
    </w:p>
    <w:p w14:paraId="0E0C3E92" w14:textId="554059F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6</w:t>
      </w:r>
      <w:r w:rsidR="007951BD">
        <w:rPr>
          <w:rFonts w:ascii="Garamond" w:hAnsi="Garamond"/>
          <w:bCs/>
          <w:sz w:val="24"/>
        </w:rPr>
        <w:t>.</w:t>
      </w:r>
      <w:r w:rsidR="0002090B" w:rsidRPr="00B907A3">
        <w:rPr>
          <w:rFonts w:ascii="Garamond" w:hAnsi="Garamond"/>
          <w:bCs/>
          <w:sz w:val="24"/>
        </w:rPr>
        <w:t xml:space="preserve"> </w:t>
      </w:r>
      <w:r w:rsidRPr="00B907A3">
        <w:rPr>
          <w:rFonts w:ascii="Garamond" w:hAnsi="Garamond"/>
          <w:bCs/>
          <w:sz w:val="24"/>
        </w:rPr>
        <w:t>MENAXHIMI, ZBATIMI DHE MONITORIMI I STRATEGJISË PËR SIGURINË RRUGORE</w:t>
      </w:r>
    </w:p>
    <w:p w14:paraId="06C93053" w14:textId="08B6B948"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6.1</w:t>
      </w:r>
      <w:r w:rsidR="0002090B" w:rsidRPr="00B907A3">
        <w:rPr>
          <w:rFonts w:ascii="Garamond" w:hAnsi="Garamond"/>
          <w:bCs/>
          <w:sz w:val="24"/>
        </w:rPr>
        <w:t xml:space="preserve"> </w:t>
      </w:r>
      <w:r w:rsidRPr="00B907A3">
        <w:rPr>
          <w:rFonts w:ascii="Garamond" w:hAnsi="Garamond"/>
          <w:bCs/>
          <w:sz w:val="24"/>
        </w:rPr>
        <w:t>Modeli i Qeverisjes dhe Koordinimit (përgjegjësi e përbashkët)</w:t>
      </w:r>
    </w:p>
    <w:p w14:paraId="6F4F85FD" w14:textId="64EEBE05"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6.2</w:t>
      </w:r>
      <w:r w:rsidR="0002090B" w:rsidRPr="00B907A3">
        <w:rPr>
          <w:rFonts w:ascii="Garamond" w:hAnsi="Garamond"/>
          <w:bCs/>
          <w:sz w:val="24"/>
        </w:rPr>
        <w:t xml:space="preserve"> </w:t>
      </w:r>
      <w:r w:rsidRPr="00B907A3">
        <w:rPr>
          <w:rFonts w:ascii="Garamond" w:hAnsi="Garamond"/>
          <w:bCs/>
          <w:sz w:val="24"/>
        </w:rPr>
        <w:t>Financimi dhe investimet</w:t>
      </w:r>
    </w:p>
    <w:p w14:paraId="58D430B2" w14:textId="35FCAEDE"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6.3</w:t>
      </w:r>
      <w:r w:rsidR="0002090B" w:rsidRPr="00B907A3">
        <w:rPr>
          <w:rFonts w:ascii="Garamond" w:hAnsi="Garamond"/>
          <w:bCs/>
          <w:sz w:val="24"/>
        </w:rPr>
        <w:t xml:space="preserve"> </w:t>
      </w:r>
      <w:r w:rsidRPr="00B907A3">
        <w:rPr>
          <w:rFonts w:ascii="Garamond" w:hAnsi="Garamond"/>
          <w:bCs/>
          <w:sz w:val="24"/>
        </w:rPr>
        <w:t>Monitorimi, raportimi dhe vlerësimi i performancës</w:t>
      </w:r>
    </w:p>
    <w:p w14:paraId="5F5D0B2F" w14:textId="20C7F5CE"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7</w:t>
      </w:r>
      <w:r w:rsidR="007951BD">
        <w:rPr>
          <w:rFonts w:ascii="Garamond" w:hAnsi="Garamond"/>
          <w:bCs/>
          <w:sz w:val="24"/>
        </w:rPr>
        <w:t>.</w:t>
      </w:r>
      <w:r w:rsidR="0002090B" w:rsidRPr="00B907A3">
        <w:rPr>
          <w:rFonts w:ascii="Garamond" w:hAnsi="Garamond"/>
          <w:bCs/>
          <w:sz w:val="24"/>
        </w:rPr>
        <w:t xml:space="preserve"> </w:t>
      </w:r>
      <w:r w:rsidRPr="00B907A3">
        <w:rPr>
          <w:rFonts w:ascii="Garamond" w:hAnsi="Garamond"/>
          <w:bCs/>
          <w:sz w:val="24"/>
        </w:rPr>
        <w:t>STRUKTURA E PLANIT TË VEPRIMIT PËR SIGURINË RRUGORE QË SHOQËRON STRATEGJINË</w:t>
      </w:r>
    </w:p>
    <w:p w14:paraId="0F82E0D8" w14:textId="263E7051" w:rsidR="00742191" w:rsidRPr="00B907A3" w:rsidRDefault="00742191" w:rsidP="008C4E07">
      <w:pPr>
        <w:pStyle w:val="TOC1"/>
        <w:spacing w:after="0"/>
        <w:ind w:firstLine="284"/>
        <w:jc w:val="both"/>
        <w:rPr>
          <w:rFonts w:ascii="Garamond" w:hAnsi="Garamond"/>
          <w:bCs/>
          <w:sz w:val="24"/>
        </w:rPr>
      </w:pPr>
      <w:r w:rsidRPr="00B907A3">
        <w:rPr>
          <w:rFonts w:ascii="Garamond" w:hAnsi="Garamond"/>
          <w:bCs/>
          <w:sz w:val="24"/>
        </w:rPr>
        <w:t>Referencat</w:t>
      </w:r>
    </w:p>
    <w:p w14:paraId="022BFE20" w14:textId="77777777" w:rsidR="005F4FB3" w:rsidRPr="00B907A3" w:rsidRDefault="005F4FB3" w:rsidP="008C4E07">
      <w:pPr>
        <w:spacing w:after="0"/>
        <w:ind w:firstLine="284"/>
        <w:rPr>
          <w:rFonts w:ascii="Garamond" w:hAnsi="Garamond"/>
          <w:sz w:val="24"/>
        </w:rPr>
      </w:pPr>
      <w:bookmarkStart w:id="3" w:name="MainText"/>
    </w:p>
    <w:p w14:paraId="36714335" w14:textId="2BE1253D" w:rsidR="00742191" w:rsidRPr="007951BD" w:rsidRDefault="00A274FB" w:rsidP="007951BD">
      <w:pPr>
        <w:spacing w:after="0"/>
        <w:ind w:firstLine="284"/>
        <w:rPr>
          <w:rFonts w:ascii="Garamond" w:hAnsi="Garamond"/>
          <w:b/>
          <w:sz w:val="24"/>
        </w:rPr>
      </w:pPr>
      <w:r w:rsidRPr="00B907A3">
        <w:rPr>
          <w:rFonts w:ascii="Garamond" w:hAnsi="Garamond"/>
          <w:b/>
          <w:sz w:val="24"/>
        </w:rPr>
        <w:lastRenderedPageBreak/>
        <w:t xml:space="preserve">Lista e </w:t>
      </w:r>
      <w:r w:rsidR="007951BD">
        <w:rPr>
          <w:rFonts w:ascii="Garamond" w:hAnsi="Garamond"/>
          <w:b/>
          <w:sz w:val="24"/>
        </w:rPr>
        <w:t>f</w:t>
      </w:r>
      <w:r w:rsidRPr="00B907A3">
        <w:rPr>
          <w:rFonts w:ascii="Garamond" w:hAnsi="Garamond"/>
          <w:b/>
          <w:sz w:val="24"/>
        </w:rPr>
        <w:t xml:space="preserve">igurave </w:t>
      </w:r>
    </w:p>
    <w:p w14:paraId="7F9531D1" w14:textId="5DC29636" w:rsidR="00742191" w:rsidRPr="00B907A3" w:rsidRDefault="00742191" w:rsidP="008C4E07">
      <w:pPr>
        <w:spacing w:after="0"/>
        <w:ind w:firstLine="284"/>
        <w:rPr>
          <w:rFonts w:ascii="Garamond" w:hAnsi="Garamond"/>
          <w:sz w:val="24"/>
        </w:rPr>
      </w:pPr>
      <w:r w:rsidRPr="00B907A3">
        <w:rPr>
          <w:rFonts w:ascii="Garamond" w:hAnsi="Garamond"/>
          <w:sz w:val="24"/>
        </w:rPr>
        <w:t>Figura 1 1: Ulja e fataliteteve në periudhën 2011</w:t>
      </w:r>
      <w:r w:rsidR="007951BD">
        <w:rPr>
          <w:rFonts w:ascii="Garamond" w:hAnsi="Garamond"/>
          <w:sz w:val="24"/>
        </w:rPr>
        <w:t>–</w:t>
      </w:r>
      <w:r w:rsidRPr="00B907A3">
        <w:rPr>
          <w:rFonts w:ascii="Garamond" w:hAnsi="Garamond"/>
          <w:sz w:val="24"/>
        </w:rPr>
        <w:t>2020</w:t>
      </w:r>
    </w:p>
    <w:p w14:paraId="19A51C22" w14:textId="498E29F0" w:rsidR="00742191" w:rsidRPr="00B907A3" w:rsidRDefault="00742191" w:rsidP="008C4E07">
      <w:pPr>
        <w:spacing w:after="0"/>
        <w:ind w:firstLine="284"/>
        <w:rPr>
          <w:rFonts w:ascii="Garamond" w:hAnsi="Garamond"/>
          <w:sz w:val="24"/>
        </w:rPr>
      </w:pPr>
      <w:r w:rsidRPr="00B907A3">
        <w:rPr>
          <w:rFonts w:ascii="Garamond" w:hAnsi="Garamond"/>
          <w:sz w:val="24"/>
        </w:rPr>
        <w:t>Figur</w:t>
      </w:r>
      <w:r w:rsidR="00D121E9">
        <w:rPr>
          <w:rFonts w:ascii="Garamond" w:hAnsi="Garamond"/>
          <w:sz w:val="24"/>
        </w:rPr>
        <w:t>a</w:t>
      </w:r>
      <w:r w:rsidRPr="00B907A3">
        <w:rPr>
          <w:rFonts w:ascii="Garamond" w:hAnsi="Garamond"/>
          <w:sz w:val="24"/>
        </w:rPr>
        <w:t xml:space="preserve"> 2 1: Pesë shtylla të OKB-së për sigurinë rrugore</w:t>
      </w:r>
    </w:p>
    <w:p w14:paraId="6E350BE8" w14:textId="3CA9FBAB" w:rsidR="00742191" w:rsidRPr="00B907A3" w:rsidRDefault="00742191" w:rsidP="008C4E07">
      <w:pPr>
        <w:spacing w:after="0"/>
        <w:ind w:firstLine="284"/>
        <w:rPr>
          <w:rFonts w:ascii="Garamond" w:hAnsi="Garamond"/>
          <w:sz w:val="24"/>
        </w:rPr>
      </w:pPr>
      <w:r w:rsidRPr="00B907A3">
        <w:rPr>
          <w:rFonts w:ascii="Garamond" w:hAnsi="Garamond"/>
          <w:sz w:val="24"/>
        </w:rPr>
        <w:t>Figura 3-1: Numri i vdekjeve në aksidente rrugore në Shqipëri nga viti 2010 deri në vitin 2024</w:t>
      </w:r>
    </w:p>
    <w:p w14:paraId="0416AF08" w14:textId="119F05C9" w:rsidR="00742191" w:rsidRPr="00B907A3" w:rsidRDefault="00742191" w:rsidP="008C4E07">
      <w:pPr>
        <w:spacing w:after="0"/>
        <w:ind w:firstLine="284"/>
        <w:rPr>
          <w:rFonts w:ascii="Garamond" w:hAnsi="Garamond"/>
          <w:sz w:val="24"/>
        </w:rPr>
      </w:pPr>
      <w:r w:rsidRPr="00B907A3">
        <w:rPr>
          <w:rFonts w:ascii="Garamond" w:hAnsi="Garamond"/>
          <w:sz w:val="24"/>
        </w:rPr>
        <w:t>Figura 3-2: Shkalla e vdekshmërisë për milion banorë (2023). (Burimi: Baza e të dhënave të kujdesit të BE-së dhe INSTAT)</w:t>
      </w:r>
    </w:p>
    <w:p w14:paraId="7545812C" w14:textId="79A4C966" w:rsidR="00742191" w:rsidRPr="00B907A3" w:rsidRDefault="00742191" w:rsidP="008C4E07">
      <w:pPr>
        <w:spacing w:after="0"/>
        <w:ind w:firstLine="284"/>
        <w:rPr>
          <w:rFonts w:ascii="Garamond" w:hAnsi="Garamond"/>
          <w:sz w:val="24"/>
        </w:rPr>
      </w:pPr>
      <w:r w:rsidRPr="00B907A3">
        <w:rPr>
          <w:rFonts w:ascii="Garamond" w:hAnsi="Garamond"/>
          <w:sz w:val="24"/>
        </w:rPr>
        <w:t>Figura 3-3: Aksidentet e përdoruesve të rrugës (sipas kategorisë së përdoruesve), 2021</w:t>
      </w:r>
      <w:r w:rsidR="007951BD">
        <w:rPr>
          <w:rFonts w:ascii="Garamond" w:hAnsi="Garamond"/>
          <w:sz w:val="24"/>
        </w:rPr>
        <w:t>–</w:t>
      </w:r>
      <w:r w:rsidRPr="00B907A3">
        <w:rPr>
          <w:rFonts w:ascii="Garamond" w:hAnsi="Garamond"/>
          <w:sz w:val="24"/>
        </w:rPr>
        <w:t>2024</w:t>
      </w:r>
    </w:p>
    <w:p w14:paraId="067968D4" w14:textId="1AFCAF4D" w:rsidR="00742191" w:rsidRPr="00B907A3" w:rsidRDefault="00742191" w:rsidP="008C4E07">
      <w:pPr>
        <w:spacing w:after="0"/>
        <w:ind w:firstLine="284"/>
        <w:rPr>
          <w:rFonts w:ascii="Garamond" w:hAnsi="Garamond"/>
          <w:sz w:val="24"/>
        </w:rPr>
      </w:pPr>
      <w:r w:rsidRPr="00B907A3">
        <w:rPr>
          <w:rFonts w:ascii="Garamond" w:hAnsi="Garamond"/>
          <w:sz w:val="24"/>
        </w:rPr>
        <w:t>Figura 3 4: Fatalitetet e përdoruesve të rrugës, 2021</w:t>
      </w:r>
      <w:r w:rsidR="007951BD">
        <w:rPr>
          <w:rFonts w:ascii="Garamond" w:hAnsi="Garamond"/>
          <w:sz w:val="24"/>
        </w:rPr>
        <w:t>–</w:t>
      </w:r>
      <w:r w:rsidRPr="00B907A3">
        <w:rPr>
          <w:rFonts w:ascii="Garamond" w:hAnsi="Garamond"/>
          <w:sz w:val="24"/>
        </w:rPr>
        <w:t>2024</w:t>
      </w:r>
    </w:p>
    <w:p w14:paraId="7AB73998" w14:textId="461A2CD5" w:rsidR="00742191" w:rsidRPr="00B907A3" w:rsidRDefault="00742191" w:rsidP="008C4E07">
      <w:pPr>
        <w:spacing w:after="0"/>
        <w:ind w:firstLine="284"/>
        <w:rPr>
          <w:rFonts w:ascii="Garamond" w:hAnsi="Garamond"/>
          <w:sz w:val="24"/>
        </w:rPr>
      </w:pPr>
      <w:r w:rsidRPr="00B907A3">
        <w:rPr>
          <w:rFonts w:ascii="Garamond" w:hAnsi="Garamond"/>
          <w:sz w:val="24"/>
        </w:rPr>
        <w:t>Figura 3 5: Lëndime të rënda dhe të lehta të përdoruesve të rrugës, 2021</w:t>
      </w:r>
      <w:r w:rsidR="007951BD">
        <w:rPr>
          <w:rFonts w:ascii="Garamond" w:hAnsi="Garamond"/>
          <w:sz w:val="24"/>
        </w:rPr>
        <w:t>–</w:t>
      </w:r>
      <w:r w:rsidRPr="00B907A3">
        <w:rPr>
          <w:rFonts w:ascii="Garamond" w:hAnsi="Garamond"/>
          <w:sz w:val="24"/>
        </w:rPr>
        <w:t>2024</w:t>
      </w:r>
    </w:p>
    <w:p w14:paraId="62297F57" w14:textId="4EB988DF" w:rsidR="00742191" w:rsidRPr="00B907A3" w:rsidRDefault="00742191" w:rsidP="008C4E07">
      <w:pPr>
        <w:spacing w:after="0"/>
        <w:ind w:firstLine="284"/>
        <w:rPr>
          <w:rFonts w:ascii="Garamond" w:hAnsi="Garamond"/>
          <w:sz w:val="24"/>
        </w:rPr>
      </w:pPr>
      <w:r w:rsidRPr="00B907A3">
        <w:rPr>
          <w:rFonts w:ascii="Garamond" w:hAnsi="Garamond"/>
          <w:sz w:val="24"/>
        </w:rPr>
        <w:t>Figura 3 6: Sjelljet e këmbësorëve në aksidentet rrugore, 2021</w:t>
      </w:r>
      <w:r w:rsidR="007951BD">
        <w:rPr>
          <w:rFonts w:ascii="Garamond" w:hAnsi="Garamond"/>
          <w:sz w:val="24"/>
        </w:rPr>
        <w:t>–</w:t>
      </w:r>
      <w:r w:rsidRPr="00B907A3">
        <w:rPr>
          <w:rFonts w:ascii="Garamond" w:hAnsi="Garamond"/>
          <w:sz w:val="24"/>
        </w:rPr>
        <w:t>2024</w:t>
      </w:r>
    </w:p>
    <w:p w14:paraId="6D072803" w14:textId="5ACC1ADD" w:rsidR="00742191" w:rsidRPr="00B907A3" w:rsidRDefault="00742191" w:rsidP="008C4E07">
      <w:pPr>
        <w:spacing w:after="0"/>
        <w:ind w:firstLine="284"/>
        <w:rPr>
          <w:rFonts w:ascii="Garamond" w:hAnsi="Garamond"/>
          <w:sz w:val="24"/>
        </w:rPr>
      </w:pPr>
      <w:r w:rsidRPr="00B907A3">
        <w:rPr>
          <w:rFonts w:ascii="Garamond" w:hAnsi="Garamond"/>
          <w:sz w:val="24"/>
        </w:rPr>
        <w:t>Figura 3 7: Fatalitetet e të moshuarve sipas llojit të përdoruesit të rrugës, 2021</w:t>
      </w:r>
      <w:r w:rsidR="007951BD">
        <w:rPr>
          <w:rFonts w:ascii="Garamond" w:hAnsi="Garamond"/>
          <w:sz w:val="24"/>
        </w:rPr>
        <w:t>–</w:t>
      </w:r>
      <w:r w:rsidRPr="00B907A3">
        <w:rPr>
          <w:rFonts w:ascii="Garamond" w:hAnsi="Garamond"/>
          <w:sz w:val="24"/>
        </w:rPr>
        <w:t>2024 (Burimi: Ministria e Punëve të Brendshme)</w:t>
      </w:r>
    </w:p>
    <w:p w14:paraId="4696DB26" w14:textId="2C2129A5" w:rsidR="00742191" w:rsidRPr="00B907A3" w:rsidRDefault="00742191" w:rsidP="008C4E07">
      <w:pPr>
        <w:spacing w:after="0"/>
        <w:ind w:firstLine="284"/>
        <w:rPr>
          <w:rFonts w:ascii="Garamond" w:hAnsi="Garamond"/>
          <w:sz w:val="24"/>
        </w:rPr>
      </w:pPr>
      <w:r w:rsidRPr="00B907A3">
        <w:rPr>
          <w:rFonts w:ascii="Garamond" w:hAnsi="Garamond"/>
          <w:sz w:val="24"/>
        </w:rPr>
        <w:t>Figura 3 8: Fatalitetet e fëmijëve sipas llojit të përdoruesit të rrugës, 2021</w:t>
      </w:r>
      <w:r w:rsidR="007951BD">
        <w:rPr>
          <w:rFonts w:ascii="Garamond" w:hAnsi="Garamond"/>
          <w:sz w:val="24"/>
        </w:rPr>
        <w:t>–</w:t>
      </w:r>
      <w:r w:rsidRPr="00B907A3">
        <w:rPr>
          <w:rFonts w:ascii="Garamond" w:hAnsi="Garamond"/>
          <w:sz w:val="24"/>
        </w:rPr>
        <w:t>2024</w:t>
      </w:r>
    </w:p>
    <w:p w14:paraId="2462158D" w14:textId="29F73152" w:rsidR="00742191" w:rsidRPr="00B907A3" w:rsidRDefault="00742191" w:rsidP="008C4E07">
      <w:pPr>
        <w:spacing w:after="0"/>
        <w:ind w:firstLine="284"/>
        <w:rPr>
          <w:rFonts w:ascii="Garamond" w:hAnsi="Garamond"/>
          <w:sz w:val="24"/>
        </w:rPr>
      </w:pPr>
      <w:r w:rsidRPr="00B907A3">
        <w:rPr>
          <w:rFonts w:ascii="Garamond" w:hAnsi="Garamond"/>
          <w:sz w:val="24"/>
        </w:rPr>
        <w:t xml:space="preserve">Figura 3 9: Udhëzime për </w:t>
      </w:r>
      <w:r w:rsidR="007951BD">
        <w:rPr>
          <w:rFonts w:ascii="Garamond" w:hAnsi="Garamond"/>
          <w:sz w:val="24"/>
        </w:rPr>
        <w:t>“</w:t>
      </w:r>
      <w:r w:rsidRPr="00B907A3">
        <w:rPr>
          <w:rFonts w:ascii="Garamond" w:hAnsi="Garamond"/>
          <w:sz w:val="24"/>
        </w:rPr>
        <w:t>Më të Sigurt për në Shkollë</w:t>
      </w:r>
      <w:r w:rsidR="007951BD">
        <w:rPr>
          <w:rFonts w:ascii="Garamond" w:hAnsi="Garamond"/>
          <w:sz w:val="24"/>
        </w:rPr>
        <w:t>”,</w:t>
      </w:r>
      <w:r w:rsidRPr="00B907A3">
        <w:rPr>
          <w:rFonts w:ascii="Garamond" w:hAnsi="Garamond"/>
          <w:sz w:val="24"/>
        </w:rPr>
        <w:t xml:space="preserve"> për të rritur sigurinë rrugore në afërsi të institucioneve arsimore, p.sh., shkollave. (Burimi: Sekretariati i Përhershëm i Komunitetit të Transportit)</w:t>
      </w:r>
    </w:p>
    <w:p w14:paraId="61E18668" w14:textId="7BA1C0A9" w:rsidR="00742191" w:rsidRPr="00B907A3" w:rsidRDefault="00742191" w:rsidP="008C4E07">
      <w:pPr>
        <w:spacing w:after="0"/>
        <w:ind w:firstLine="284"/>
        <w:rPr>
          <w:rFonts w:ascii="Garamond" w:hAnsi="Garamond"/>
          <w:sz w:val="24"/>
        </w:rPr>
      </w:pPr>
      <w:r w:rsidRPr="00B907A3">
        <w:rPr>
          <w:rFonts w:ascii="Garamond" w:hAnsi="Garamond"/>
          <w:sz w:val="24"/>
        </w:rPr>
        <w:t>Figura 3 10: Fatalitetet e përdoruesve të rrugës, përfshirë shkallën e vdekshmërisë për motoçiklistët, 2021</w:t>
      </w:r>
      <w:r w:rsidR="00D121E9">
        <w:rPr>
          <w:rFonts w:ascii="Garamond" w:hAnsi="Garamond"/>
          <w:sz w:val="24"/>
        </w:rPr>
        <w:t>–</w:t>
      </w:r>
      <w:r w:rsidRPr="00B907A3">
        <w:rPr>
          <w:rFonts w:ascii="Garamond" w:hAnsi="Garamond"/>
          <w:sz w:val="24"/>
        </w:rPr>
        <w:t>2024</w:t>
      </w:r>
    </w:p>
    <w:p w14:paraId="23EE28DD" w14:textId="49919FA0" w:rsidR="00742191" w:rsidRPr="00B907A3" w:rsidRDefault="00742191" w:rsidP="008C4E07">
      <w:pPr>
        <w:spacing w:after="0"/>
        <w:ind w:firstLine="284"/>
        <w:rPr>
          <w:rFonts w:ascii="Garamond" w:hAnsi="Garamond"/>
          <w:sz w:val="24"/>
        </w:rPr>
      </w:pPr>
      <w:r w:rsidRPr="00B907A3">
        <w:rPr>
          <w:rFonts w:ascii="Garamond" w:hAnsi="Garamond"/>
          <w:sz w:val="24"/>
        </w:rPr>
        <w:t>Figur</w:t>
      </w:r>
      <w:r w:rsidR="00D121E9">
        <w:rPr>
          <w:rFonts w:ascii="Garamond" w:hAnsi="Garamond"/>
          <w:sz w:val="24"/>
        </w:rPr>
        <w:t>a</w:t>
      </w:r>
      <w:r w:rsidRPr="00B907A3">
        <w:rPr>
          <w:rFonts w:ascii="Garamond" w:hAnsi="Garamond"/>
          <w:sz w:val="24"/>
        </w:rPr>
        <w:t xml:space="preserve"> 3 11: Shpejtësia si një problem i madh në rrugët e Shqipërisë</w:t>
      </w:r>
    </w:p>
    <w:p w14:paraId="02A25B0A" w14:textId="627B44D9" w:rsidR="00742191" w:rsidRPr="00B907A3" w:rsidRDefault="00742191" w:rsidP="008C4E07">
      <w:pPr>
        <w:spacing w:after="0"/>
        <w:ind w:firstLine="284"/>
        <w:rPr>
          <w:rFonts w:ascii="Garamond" w:hAnsi="Garamond"/>
          <w:sz w:val="24"/>
        </w:rPr>
      </w:pPr>
      <w:r w:rsidRPr="00B907A3">
        <w:rPr>
          <w:rFonts w:ascii="Garamond" w:hAnsi="Garamond"/>
          <w:sz w:val="24"/>
        </w:rPr>
        <w:t>Figur</w:t>
      </w:r>
      <w:r w:rsidR="00D121E9">
        <w:rPr>
          <w:rFonts w:ascii="Garamond" w:hAnsi="Garamond"/>
          <w:sz w:val="24"/>
        </w:rPr>
        <w:t>a</w:t>
      </w:r>
      <w:r w:rsidRPr="00B907A3">
        <w:rPr>
          <w:rFonts w:ascii="Garamond" w:hAnsi="Garamond"/>
          <w:sz w:val="24"/>
        </w:rPr>
        <w:t xml:space="preserve"> 3 12: Personat e vrarë në aksidente sipas shkakut të aksidentit, 2023</w:t>
      </w:r>
    </w:p>
    <w:p w14:paraId="298B3D51" w14:textId="438BC08E" w:rsidR="00742191" w:rsidRPr="00B907A3" w:rsidRDefault="00742191" w:rsidP="008C4E07">
      <w:pPr>
        <w:spacing w:after="0"/>
        <w:ind w:firstLine="284"/>
        <w:rPr>
          <w:rFonts w:ascii="Garamond" w:hAnsi="Garamond"/>
          <w:sz w:val="24"/>
        </w:rPr>
      </w:pPr>
      <w:r w:rsidRPr="00B907A3">
        <w:rPr>
          <w:rFonts w:ascii="Garamond" w:hAnsi="Garamond"/>
          <w:sz w:val="24"/>
        </w:rPr>
        <w:t>Figura 4 1: Hierarkia e rezultateve të Sistemit të Sigurt në nivelin e BE-së</w:t>
      </w:r>
    </w:p>
    <w:p w14:paraId="5DBC061F" w14:textId="2CC7242D" w:rsidR="00742191" w:rsidRPr="00B907A3" w:rsidRDefault="00742191" w:rsidP="008C4E07">
      <w:pPr>
        <w:spacing w:after="0"/>
        <w:ind w:firstLine="284"/>
        <w:rPr>
          <w:rFonts w:ascii="Garamond" w:hAnsi="Garamond"/>
          <w:sz w:val="24"/>
        </w:rPr>
      </w:pPr>
      <w:r w:rsidRPr="00B907A3">
        <w:rPr>
          <w:rFonts w:ascii="Garamond" w:hAnsi="Garamond"/>
          <w:sz w:val="24"/>
        </w:rPr>
        <w:t>Figura 4 2: Veprime me faza gjatë periudhës 2021</w:t>
      </w:r>
      <w:r w:rsidR="007951BD">
        <w:rPr>
          <w:rFonts w:ascii="Garamond" w:hAnsi="Garamond"/>
          <w:sz w:val="24"/>
        </w:rPr>
        <w:t>–</w:t>
      </w:r>
      <w:r w:rsidRPr="00B907A3">
        <w:rPr>
          <w:rFonts w:ascii="Garamond" w:hAnsi="Garamond"/>
          <w:sz w:val="24"/>
        </w:rPr>
        <w:t>2030, me disa rezultate të mundshme</w:t>
      </w:r>
    </w:p>
    <w:p w14:paraId="1143BEDD" w14:textId="4EEA4358" w:rsidR="00742191" w:rsidRPr="00B907A3" w:rsidRDefault="00742191" w:rsidP="008C4E07">
      <w:pPr>
        <w:spacing w:after="0"/>
        <w:ind w:firstLine="284"/>
        <w:rPr>
          <w:rFonts w:ascii="Garamond" w:hAnsi="Garamond"/>
          <w:sz w:val="24"/>
        </w:rPr>
      </w:pPr>
      <w:r w:rsidRPr="00B907A3">
        <w:rPr>
          <w:rFonts w:ascii="Garamond" w:hAnsi="Garamond"/>
          <w:sz w:val="24"/>
        </w:rPr>
        <w:t>Figura 4 3: Skenarët e Sigurisë Rrugore për periudhën 2021–2030</w:t>
      </w:r>
    </w:p>
    <w:p w14:paraId="48B93E3F" w14:textId="77777777" w:rsidR="00742191" w:rsidRPr="00B907A3" w:rsidRDefault="00742191" w:rsidP="008C4E07">
      <w:pPr>
        <w:spacing w:after="0"/>
        <w:ind w:firstLine="284"/>
        <w:rPr>
          <w:rFonts w:ascii="Garamond" w:hAnsi="Garamond"/>
          <w:sz w:val="24"/>
        </w:rPr>
      </w:pPr>
    </w:p>
    <w:p w14:paraId="7E4D6CA1" w14:textId="378BAEC9" w:rsidR="00AE729E" w:rsidRPr="00B907A3" w:rsidRDefault="00AE729E" w:rsidP="008C4E07">
      <w:pPr>
        <w:spacing w:after="0"/>
        <w:ind w:firstLine="284"/>
        <w:rPr>
          <w:rFonts w:ascii="Garamond" w:hAnsi="Garamond"/>
          <w:b/>
          <w:sz w:val="24"/>
        </w:rPr>
      </w:pPr>
      <w:r w:rsidRPr="00B907A3">
        <w:rPr>
          <w:rFonts w:ascii="Garamond" w:hAnsi="Garamond"/>
          <w:b/>
          <w:sz w:val="24"/>
        </w:rPr>
        <w:t>List</w:t>
      </w:r>
      <w:r w:rsidR="00B32B73" w:rsidRPr="00B907A3">
        <w:rPr>
          <w:rFonts w:ascii="Garamond" w:hAnsi="Garamond"/>
          <w:b/>
          <w:sz w:val="24"/>
        </w:rPr>
        <w:t xml:space="preserve">a e tabelave </w:t>
      </w:r>
    </w:p>
    <w:p w14:paraId="269B263A" w14:textId="1A67472C" w:rsidR="00742191" w:rsidRPr="00B907A3" w:rsidRDefault="00742191" w:rsidP="008C4E07">
      <w:pPr>
        <w:spacing w:after="0"/>
        <w:ind w:firstLine="284"/>
        <w:rPr>
          <w:rFonts w:ascii="Garamond" w:hAnsi="Garamond"/>
          <w:sz w:val="24"/>
        </w:rPr>
      </w:pPr>
      <w:r w:rsidRPr="00B907A3">
        <w:rPr>
          <w:rFonts w:ascii="Garamond" w:hAnsi="Garamond"/>
          <w:sz w:val="24"/>
        </w:rPr>
        <w:t>Tab</w:t>
      </w:r>
      <w:r w:rsidR="007951BD">
        <w:rPr>
          <w:rFonts w:ascii="Garamond" w:hAnsi="Garamond"/>
          <w:sz w:val="24"/>
        </w:rPr>
        <w:t>e</w:t>
      </w:r>
      <w:r w:rsidRPr="00B907A3">
        <w:rPr>
          <w:rFonts w:ascii="Garamond" w:hAnsi="Garamond"/>
          <w:sz w:val="24"/>
        </w:rPr>
        <w:t>l</w:t>
      </w:r>
      <w:r w:rsidR="007951BD">
        <w:rPr>
          <w:rFonts w:ascii="Garamond" w:hAnsi="Garamond"/>
          <w:sz w:val="24"/>
        </w:rPr>
        <w:t>a</w:t>
      </w:r>
      <w:r w:rsidRPr="00B907A3">
        <w:rPr>
          <w:rFonts w:ascii="Garamond" w:hAnsi="Garamond"/>
          <w:sz w:val="24"/>
        </w:rPr>
        <w:t xml:space="preserve"> 4 1: TKP-të kryesore dhe përkufizimet e tyre</w:t>
      </w:r>
    </w:p>
    <w:p w14:paraId="2916461B" w14:textId="537E430A" w:rsidR="00742191" w:rsidRPr="00B907A3" w:rsidRDefault="00742191" w:rsidP="008C4E07">
      <w:pPr>
        <w:spacing w:after="0"/>
        <w:ind w:firstLine="284"/>
        <w:rPr>
          <w:rFonts w:ascii="Garamond" w:hAnsi="Garamond"/>
          <w:sz w:val="24"/>
        </w:rPr>
      </w:pPr>
      <w:r w:rsidRPr="00B907A3">
        <w:rPr>
          <w:rFonts w:ascii="Garamond" w:hAnsi="Garamond"/>
          <w:sz w:val="24"/>
        </w:rPr>
        <w:t>Tab</w:t>
      </w:r>
      <w:r w:rsidR="007951BD">
        <w:rPr>
          <w:rFonts w:ascii="Garamond" w:hAnsi="Garamond"/>
          <w:sz w:val="24"/>
        </w:rPr>
        <w:t>e</w:t>
      </w:r>
      <w:r w:rsidRPr="00B907A3">
        <w:rPr>
          <w:rFonts w:ascii="Garamond" w:hAnsi="Garamond"/>
          <w:sz w:val="24"/>
        </w:rPr>
        <w:t>l</w:t>
      </w:r>
      <w:r w:rsidR="007951BD">
        <w:rPr>
          <w:rFonts w:ascii="Garamond" w:hAnsi="Garamond"/>
          <w:sz w:val="24"/>
        </w:rPr>
        <w:t>a</w:t>
      </w:r>
      <w:r w:rsidRPr="00B907A3">
        <w:rPr>
          <w:rFonts w:ascii="Garamond" w:hAnsi="Garamond"/>
          <w:sz w:val="24"/>
        </w:rPr>
        <w:t xml:space="preserve"> 7 1: Përmbajtja e propozuar e Planit të Veprimit për Sigurinë Rrugore (PVSSRR)</w:t>
      </w:r>
    </w:p>
    <w:p w14:paraId="766007F1" w14:textId="77777777" w:rsidR="00742191" w:rsidRPr="00B907A3" w:rsidRDefault="00742191" w:rsidP="008C4E07">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4" w:name="_Toc205531819"/>
      <w:bookmarkStart w:id="5" w:name="_Toc208840554"/>
    </w:p>
    <w:p w14:paraId="3776CC34" w14:textId="3330E8CE" w:rsidR="006A068A" w:rsidRPr="00B907A3" w:rsidRDefault="00603A98" w:rsidP="008C4E07">
      <w:pPr>
        <w:pStyle w:val="Heading1"/>
        <w:numPr>
          <w:ilvl w:val="0"/>
          <w:numId w:val="0"/>
        </w:numPr>
        <w:pBdr>
          <w:bottom w:val="none" w:sz="0" w:space="0" w:color="auto"/>
        </w:pBdr>
        <w:spacing w:before="0" w:after="0"/>
        <w:ind w:firstLine="284"/>
        <w:rPr>
          <w:rFonts w:ascii="Garamond" w:hAnsi="Garamond"/>
          <w:color w:val="auto"/>
          <w:sz w:val="24"/>
          <w:szCs w:val="24"/>
          <w:lang w:val="sq-AL"/>
        </w:rPr>
      </w:pPr>
      <w:r w:rsidRPr="00B907A3">
        <w:rPr>
          <w:rFonts w:ascii="Garamond" w:hAnsi="Garamond"/>
          <w:color w:val="auto"/>
          <w:sz w:val="24"/>
          <w:szCs w:val="24"/>
          <w:lang w:val="sq-AL"/>
        </w:rPr>
        <w:t xml:space="preserve">1. </w:t>
      </w:r>
      <w:r w:rsidR="001D5910" w:rsidRPr="00B907A3">
        <w:rPr>
          <w:rFonts w:ascii="Garamond" w:hAnsi="Garamond"/>
          <w:color w:val="auto"/>
          <w:sz w:val="24"/>
          <w:szCs w:val="24"/>
          <w:lang w:val="sq-AL"/>
        </w:rPr>
        <w:t>Hyrj</w:t>
      </w:r>
      <w:r w:rsidR="00804E1F" w:rsidRPr="00B907A3">
        <w:rPr>
          <w:rFonts w:ascii="Garamond" w:hAnsi="Garamond"/>
          <w:color w:val="auto"/>
          <w:sz w:val="24"/>
          <w:szCs w:val="24"/>
          <w:lang w:val="sq-AL"/>
        </w:rPr>
        <w:t>e</w:t>
      </w:r>
      <w:bookmarkEnd w:id="4"/>
      <w:bookmarkEnd w:id="5"/>
    </w:p>
    <w:p w14:paraId="4CE206A7" w14:textId="5275ED2D" w:rsidR="00492444" w:rsidRPr="00B907A3" w:rsidRDefault="00804E1F" w:rsidP="008C4E07">
      <w:pPr>
        <w:spacing w:after="0"/>
        <w:ind w:firstLine="284"/>
        <w:rPr>
          <w:rFonts w:ascii="Garamond" w:eastAsia="Calibri" w:hAnsi="Garamond"/>
          <w:sz w:val="24"/>
          <w:lang w:eastAsia="en-US"/>
        </w:rPr>
      </w:pPr>
      <w:bookmarkStart w:id="6" w:name="_Toc133263453"/>
      <w:bookmarkStart w:id="7" w:name="_Toc135069824"/>
      <w:r w:rsidRPr="00B907A3">
        <w:rPr>
          <w:rFonts w:ascii="Garamond" w:eastAsia="Calibri" w:hAnsi="Garamond"/>
          <w:sz w:val="24"/>
          <w:lang w:eastAsia="en-US"/>
        </w:rPr>
        <w:t xml:space="preserve">Është fakt </w:t>
      </w:r>
      <w:r w:rsidR="008B3640" w:rsidRPr="00B907A3">
        <w:rPr>
          <w:rFonts w:ascii="Garamond" w:eastAsia="Calibri" w:hAnsi="Garamond"/>
          <w:sz w:val="24"/>
          <w:lang w:eastAsia="en-US"/>
        </w:rPr>
        <w:t xml:space="preserve">i ditur </w:t>
      </w:r>
      <w:r w:rsidRPr="00B907A3">
        <w:rPr>
          <w:rFonts w:ascii="Garamond" w:eastAsia="Calibri" w:hAnsi="Garamond"/>
          <w:sz w:val="24"/>
          <w:lang w:eastAsia="en-US"/>
        </w:rPr>
        <w:t xml:space="preserve">se </w:t>
      </w:r>
      <w:r w:rsidR="007B3651" w:rsidRPr="00B907A3">
        <w:rPr>
          <w:rFonts w:ascii="Garamond" w:eastAsia="Calibri" w:hAnsi="Garamond"/>
          <w:sz w:val="24"/>
          <w:lang w:eastAsia="en-US"/>
        </w:rPr>
        <w:t>fatalitetet</w:t>
      </w:r>
      <w:r w:rsidRPr="00B907A3">
        <w:rPr>
          <w:rFonts w:ascii="Garamond" w:eastAsia="Calibri" w:hAnsi="Garamond"/>
          <w:sz w:val="24"/>
          <w:lang w:eastAsia="en-US"/>
        </w:rPr>
        <w:t xml:space="preserve"> dhe lëndimet në </w:t>
      </w:r>
      <w:r w:rsidR="00C56408" w:rsidRPr="00B907A3">
        <w:rPr>
          <w:rFonts w:ascii="Garamond" w:eastAsia="Calibri" w:hAnsi="Garamond"/>
          <w:sz w:val="24"/>
          <w:lang w:eastAsia="en-US"/>
        </w:rPr>
        <w:t>trafikun</w:t>
      </w:r>
      <w:r w:rsidR="00991AC0" w:rsidRPr="00B907A3">
        <w:rPr>
          <w:rFonts w:ascii="Garamond" w:eastAsia="Calibri" w:hAnsi="Garamond"/>
          <w:sz w:val="24"/>
          <w:lang w:eastAsia="en-US"/>
        </w:rPr>
        <w:t xml:space="preserve"> </w:t>
      </w:r>
      <w:r w:rsidRPr="00B907A3">
        <w:rPr>
          <w:rFonts w:ascii="Garamond" w:eastAsia="Calibri" w:hAnsi="Garamond"/>
          <w:sz w:val="24"/>
          <w:lang w:eastAsia="en-US"/>
        </w:rPr>
        <w:t xml:space="preserve">rrugor janë një nga shqetësimet kryesore të shëndetit publik në nivel global, </w:t>
      </w:r>
      <w:r w:rsidR="00991AC0" w:rsidRPr="00B907A3">
        <w:rPr>
          <w:rFonts w:ascii="Garamond" w:eastAsia="Calibri" w:hAnsi="Garamond"/>
          <w:sz w:val="24"/>
          <w:lang w:eastAsia="en-US"/>
        </w:rPr>
        <w:t xml:space="preserve">pasi </w:t>
      </w:r>
      <w:r w:rsidRPr="00B907A3">
        <w:rPr>
          <w:rFonts w:ascii="Garamond" w:eastAsia="Calibri" w:hAnsi="Garamond"/>
          <w:sz w:val="24"/>
          <w:lang w:eastAsia="en-US"/>
        </w:rPr>
        <w:t xml:space="preserve">1.19 milion njerëz </w:t>
      </w:r>
      <w:r w:rsidR="00991AC0" w:rsidRPr="00B907A3">
        <w:rPr>
          <w:rFonts w:ascii="Garamond" w:eastAsia="Calibri" w:hAnsi="Garamond"/>
          <w:sz w:val="24"/>
          <w:lang w:eastAsia="en-US"/>
        </w:rPr>
        <w:t xml:space="preserve">humbin jetë </w:t>
      </w:r>
      <w:r w:rsidRPr="00B907A3">
        <w:rPr>
          <w:rFonts w:ascii="Garamond" w:eastAsia="Calibri" w:hAnsi="Garamond"/>
          <w:sz w:val="24"/>
          <w:lang w:eastAsia="en-US"/>
        </w:rPr>
        <w:t>çdo vit</w:t>
      </w:r>
      <w:r w:rsidR="00223F48" w:rsidRPr="00B907A3">
        <w:rPr>
          <w:rFonts w:ascii="Garamond" w:eastAsia="Calibri" w:hAnsi="Garamond"/>
          <w:sz w:val="24"/>
          <w:lang w:eastAsia="en-US"/>
        </w:rPr>
        <w:t xml:space="preserve"> si pasojë e aksidenteve rrugore</w:t>
      </w:r>
      <w:r w:rsidRPr="00B907A3">
        <w:rPr>
          <w:rFonts w:ascii="Garamond" w:eastAsia="Calibri" w:hAnsi="Garamond"/>
          <w:b/>
          <w:bCs/>
          <w:sz w:val="24"/>
          <w:lang w:eastAsia="en-US"/>
        </w:rPr>
        <w:t>.</w:t>
      </w:r>
      <w:r w:rsidRPr="00B907A3">
        <w:rPr>
          <w:rFonts w:ascii="Garamond" w:eastAsia="Calibri" w:hAnsi="Garamond"/>
          <w:sz w:val="24"/>
          <w:lang w:eastAsia="en-US"/>
        </w:rPr>
        <w:t xml:space="preserve"> Për ta adresuar këtë</w:t>
      </w:r>
      <w:r w:rsidR="008B3640" w:rsidRPr="00B907A3">
        <w:rPr>
          <w:rFonts w:ascii="Garamond" w:eastAsia="Calibri" w:hAnsi="Garamond"/>
          <w:sz w:val="24"/>
          <w:lang w:eastAsia="en-US"/>
        </w:rPr>
        <w:t xml:space="preserve"> problematikë</w:t>
      </w:r>
      <w:r w:rsidRPr="00B907A3">
        <w:rPr>
          <w:rFonts w:ascii="Garamond" w:eastAsia="Calibri" w:hAnsi="Garamond"/>
          <w:sz w:val="24"/>
          <w:lang w:eastAsia="en-US"/>
        </w:rPr>
        <w:t xml:space="preserve">, </w:t>
      </w:r>
      <w:r w:rsidR="00396EA5" w:rsidRPr="00B907A3">
        <w:rPr>
          <w:rFonts w:ascii="Garamond" w:eastAsia="Calibri" w:hAnsi="Garamond"/>
          <w:sz w:val="24"/>
          <w:lang w:eastAsia="en-US"/>
        </w:rPr>
        <w:t>jan</w:t>
      </w:r>
      <w:r w:rsidRPr="00B907A3">
        <w:rPr>
          <w:rFonts w:ascii="Garamond" w:eastAsia="Calibri" w:hAnsi="Garamond"/>
          <w:sz w:val="24"/>
          <w:lang w:eastAsia="en-US"/>
        </w:rPr>
        <w:t>ë</w:t>
      </w:r>
      <w:r w:rsidR="00396EA5" w:rsidRPr="00B907A3">
        <w:rPr>
          <w:rFonts w:ascii="Garamond" w:eastAsia="Calibri" w:hAnsi="Garamond"/>
          <w:sz w:val="24"/>
          <w:lang w:eastAsia="en-US"/>
        </w:rPr>
        <w:t xml:space="preserve"> nd</w:t>
      </w:r>
      <w:r w:rsidRPr="00B907A3">
        <w:rPr>
          <w:rFonts w:ascii="Garamond" w:eastAsia="Calibri" w:hAnsi="Garamond"/>
          <w:sz w:val="24"/>
          <w:lang w:eastAsia="en-US"/>
        </w:rPr>
        <w:t>ë</w:t>
      </w:r>
      <w:r w:rsidR="00396EA5" w:rsidRPr="00B907A3">
        <w:rPr>
          <w:rFonts w:ascii="Garamond" w:eastAsia="Calibri" w:hAnsi="Garamond"/>
          <w:sz w:val="24"/>
          <w:lang w:eastAsia="en-US"/>
        </w:rPr>
        <w:t xml:space="preserve">rmarrë </w:t>
      </w:r>
      <w:r w:rsidRPr="00B907A3">
        <w:rPr>
          <w:rFonts w:ascii="Garamond" w:eastAsia="Calibri" w:hAnsi="Garamond"/>
          <w:sz w:val="24"/>
          <w:lang w:eastAsia="en-US"/>
        </w:rPr>
        <w:t xml:space="preserve">një numër iniciativash </w:t>
      </w:r>
      <w:r w:rsidR="00396EA5" w:rsidRPr="00B907A3">
        <w:rPr>
          <w:rFonts w:ascii="Garamond" w:eastAsia="Calibri" w:hAnsi="Garamond"/>
          <w:sz w:val="24"/>
          <w:lang w:eastAsia="en-US"/>
        </w:rPr>
        <w:t xml:space="preserve">me shtrirje </w:t>
      </w:r>
      <w:r w:rsidRPr="00B907A3">
        <w:rPr>
          <w:rFonts w:ascii="Garamond" w:eastAsia="Calibri" w:hAnsi="Garamond"/>
          <w:sz w:val="24"/>
          <w:lang w:eastAsia="en-US"/>
        </w:rPr>
        <w:t xml:space="preserve">në mbarë botën, </w:t>
      </w:r>
      <w:r w:rsidR="00396EA5" w:rsidRPr="00B907A3">
        <w:rPr>
          <w:rFonts w:ascii="Garamond" w:eastAsia="Calibri" w:hAnsi="Garamond"/>
          <w:sz w:val="24"/>
          <w:lang w:eastAsia="en-US"/>
        </w:rPr>
        <w:t xml:space="preserve">ku </w:t>
      </w:r>
      <w:r w:rsidRPr="00B907A3">
        <w:rPr>
          <w:rFonts w:ascii="Garamond" w:eastAsia="Calibri" w:hAnsi="Garamond"/>
          <w:sz w:val="24"/>
          <w:lang w:eastAsia="en-US"/>
        </w:rPr>
        <w:t>përfshi</w:t>
      </w:r>
      <w:r w:rsidR="00396EA5" w:rsidRPr="00B907A3">
        <w:rPr>
          <w:rFonts w:ascii="Garamond" w:eastAsia="Calibri" w:hAnsi="Garamond"/>
          <w:sz w:val="24"/>
          <w:lang w:eastAsia="en-US"/>
        </w:rPr>
        <w:t>hen</w:t>
      </w:r>
      <w:r w:rsidR="00492444" w:rsidRPr="00B907A3">
        <w:rPr>
          <w:rFonts w:ascii="Garamond" w:eastAsia="Calibri" w:hAnsi="Garamond"/>
          <w:sz w:val="24"/>
          <w:lang w:eastAsia="en-US"/>
        </w:rPr>
        <w:t>:</w:t>
      </w:r>
    </w:p>
    <w:p w14:paraId="6200CAE4" w14:textId="63E4FADB" w:rsidR="007432A8" w:rsidRPr="00B907A3" w:rsidRDefault="007432A8"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Objektivat e Zhvillimit të Qëndrueshëm (OZHQ)</w:t>
      </w:r>
      <w:r w:rsidRPr="00B907A3">
        <w:rPr>
          <w:rFonts w:ascii="Garamond" w:hAnsi="Garamond" w:cs="Garamond"/>
          <w:b/>
          <w:bCs/>
          <w:color w:val="000000"/>
          <w:sz w:val="24"/>
          <w:lang w:eastAsia="en-GB"/>
        </w:rPr>
        <w:t xml:space="preserve"> </w:t>
      </w:r>
      <w:r w:rsidRPr="00B907A3">
        <w:rPr>
          <w:rFonts w:ascii="Garamond" w:hAnsi="Garamond" w:cs="Garamond"/>
          <w:color w:val="000000"/>
          <w:sz w:val="24"/>
          <w:lang w:eastAsia="en-GB"/>
        </w:rPr>
        <w:t>të Organizatës së Kombeve të Bashkuara</w:t>
      </w:r>
      <w:r w:rsidRPr="00B907A3">
        <w:rPr>
          <w:rFonts w:ascii="Garamond" w:hAnsi="Garamond" w:cs="Garamond"/>
          <w:b/>
          <w:bCs/>
          <w:color w:val="000000"/>
          <w:sz w:val="24"/>
          <w:lang w:eastAsia="en-GB"/>
        </w:rPr>
        <w:t>:</w:t>
      </w:r>
      <w:r w:rsidRPr="00B907A3">
        <w:rPr>
          <w:rFonts w:ascii="Garamond" w:hAnsi="Garamond" w:cs="Garamond"/>
          <w:color w:val="000000"/>
          <w:sz w:val="24"/>
          <w:lang w:eastAsia="en-GB"/>
        </w:rPr>
        <w:t xml:space="preserve"> siguria rrugore është e integruar në OZHQ, veçanërisht në Objektivin 3.6 (përgjysmimi i fataliteteve dhe lëndimeve në trafikun rrugor global deri në vitin 2020) dhe Objektivin 11.2 (ofrimi i sistemeve të transportit të sigurta, të përballueshme financiarisht dhe të qëndrueshme deri në vitin 2030);</w:t>
      </w:r>
    </w:p>
    <w:p w14:paraId="53747D5F" w14:textId="53B49D29" w:rsidR="007432A8" w:rsidRPr="00B907A3" w:rsidRDefault="007432A8"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Një Dekadë Veprimi për Sigurinë Rrugore (2021</w:t>
      </w:r>
      <w:r w:rsidR="007951BD">
        <w:rPr>
          <w:rFonts w:ascii="Garamond" w:hAnsi="Garamond"/>
          <w:sz w:val="24"/>
        </w:rPr>
        <w:t>–</w:t>
      </w:r>
      <w:r w:rsidRPr="00B907A3">
        <w:rPr>
          <w:rFonts w:ascii="Garamond" w:hAnsi="Garamond" w:cs="Garamond"/>
          <w:color w:val="000000"/>
          <w:sz w:val="24"/>
          <w:lang w:eastAsia="en-GB"/>
        </w:rPr>
        <w:t>2030): kjo iniciativë, e shpallur në Rezolutën e OKB-së A/RES/74/299, vendos si objektiv përgjysmimin e fataliteve dhe lëndimeve të rënda serioze në trafikun rrugor deri në vitin 2030. Ajo mbështetet nga Plani Global i cili ofron një kuadër për arritjen e këtij qëllimi nga shtetet;</w:t>
      </w:r>
    </w:p>
    <w:p w14:paraId="36FA789C" w14:textId="7A07E019" w:rsidR="007432A8" w:rsidRPr="00B907A3" w:rsidRDefault="007432A8"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Kuadri i Politikave të BE-së për Sigurinë Rrugore 2021</w:t>
      </w:r>
      <w:r w:rsidR="007951BD">
        <w:rPr>
          <w:rFonts w:ascii="Garamond" w:hAnsi="Garamond"/>
          <w:sz w:val="24"/>
        </w:rPr>
        <w:t>–</w:t>
      </w:r>
      <w:r w:rsidRPr="00B907A3">
        <w:rPr>
          <w:rFonts w:ascii="Garamond" w:hAnsi="Garamond" w:cs="Garamond"/>
          <w:color w:val="000000"/>
          <w:sz w:val="24"/>
          <w:lang w:eastAsia="en-GB"/>
        </w:rPr>
        <w:t>2030: ky dokument përshkruan qasjen strategjike të BE-së ndaj sigurisë rrugore për dekadën, me fokus në Qasjen e Sistemit të Sigurt (QSS) dhe synon të përgjysmojë numrin e fataliteteve dhe lëndimeve të rënda brenda vitit 2030;</w:t>
      </w:r>
    </w:p>
    <w:p w14:paraId="41F1BD02" w14:textId="0A802E62" w:rsidR="007432A8" w:rsidRPr="00B907A3" w:rsidRDefault="007432A8"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 xml:space="preserve">Deklarata e Valetës mbi Sigurinë Rrugore: një angazhim nga Vendet Anëtare të BE-së për të përmirësuar sigurinë rrugore dhe për të arritur objektivin afatgjatë për eliminimin e </w:t>
      </w:r>
      <w:r w:rsidR="007951BD" w:rsidRPr="00B907A3">
        <w:rPr>
          <w:rFonts w:ascii="Garamond" w:hAnsi="Garamond" w:cs="Garamond"/>
          <w:color w:val="000000"/>
          <w:sz w:val="24"/>
          <w:lang w:eastAsia="en-GB"/>
        </w:rPr>
        <w:t>çdo</w:t>
      </w:r>
      <w:r w:rsidRPr="00B907A3">
        <w:rPr>
          <w:rFonts w:ascii="Garamond" w:hAnsi="Garamond" w:cs="Garamond"/>
          <w:color w:val="000000"/>
          <w:sz w:val="24"/>
          <w:lang w:eastAsia="en-GB"/>
        </w:rPr>
        <w:t xml:space="preserve"> humbje jete;</w:t>
      </w:r>
    </w:p>
    <w:p w14:paraId="71ECC260" w14:textId="2D6E6612" w:rsidR="007432A8" w:rsidRPr="00B907A3" w:rsidRDefault="007432A8"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Strategjia e Mobilitetit të Qëndrueshëm dhe të Zgjuar: kjo strategji përfshin masa për të rritur sigurinë rrugore si pjesë e objektivave më të gjera të mobilitetit të qëndrueshëm; dhe</w:t>
      </w:r>
    </w:p>
    <w:p w14:paraId="22E9D61C" w14:textId="2D55426C" w:rsidR="007432A8" w:rsidRPr="00B907A3" w:rsidRDefault="007432A8"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Plani Strategjik i Veprimit i BE-së për Sigurinë Rrugore: është pjesë e Paketës së Tretë të Mobilitetit të BE-së, duke përcaktuar masa dhe objektiva për periudhën 2021</w:t>
      </w:r>
      <w:r w:rsidR="007951BD">
        <w:rPr>
          <w:rFonts w:ascii="Garamond" w:hAnsi="Garamond"/>
          <w:sz w:val="24"/>
        </w:rPr>
        <w:t>–</w:t>
      </w:r>
      <w:r w:rsidRPr="00B907A3">
        <w:rPr>
          <w:rFonts w:ascii="Garamond" w:hAnsi="Garamond" w:cs="Garamond"/>
          <w:color w:val="000000"/>
          <w:sz w:val="24"/>
          <w:lang w:eastAsia="en-GB"/>
        </w:rPr>
        <w:t>2030.</w:t>
      </w:r>
    </w:p>
    <w:p w14:paraId="1C1D31BD" w14:textId="1A4E9CA3" w:rsidR="00BF5BB5" w:rsidRPr="00B907A3" w:rsidRDefault="00405360" w:rsidP="008C4E07">
      <w:pPr>
        <w:spacing w:after="0"/>
        <w:ind w:firstLine="284"/>
        <w:rPr>
          <w:rFonts w:ascii="Garamond" w:eastAsia="Calibri" w:hAnsi="Garamond"/>
          <w:sz w:val="24"/>
          <w:lang w:eastAsia="en-US"/>
        </w:rPr>
      </w:pPr>
      <w:r w:rsidRPr="00B907A3">
        <w:rPr>
          <w:rFonts w:ascii="Garamond" w:eastAsia="Calibri" w:hAnsi="Garamond"/>
          <w:sz w:val="24"/>
          <w:lang w:eastAsia="en-US"/>
        </w:rPr>
        <w:t>Të gjitha iniciativat (dokumentet) globale të përmendura më sipër kërkojnë veprime urgjente dhe angazhime më të forta nga një gamë e gjerë palësh të interesuar</w:t>
      </w:r>
      <w:r w:rsidR="00582A03" w:rsidRPr="00B907A3">
        <w:rPr>
          <w:rFonts w:ascii="Garamond" w:eastAsia="Calibri" w:hAnsi="Garamond"/>
          <w:sz w:val="24"/>
          <w:lang w:eastAsia="en-US"/>
        </w:rPr>
        <w:t>a</w:t>
      </w:r>
      <w:r w:rsidR="00A1661B" w:rsidRPr="00B907A3">
        <w:rPr>
          <w:rFonts w:ascii="Garamond" w:eastAsia="Calibri" w:hAnsi="Garamond"/>
          <w:sz w:val="24"/>
          <w:lang w:eastAsia="en-US"/>
        </w:rPr>
        <w:t xml:space="preserve"> lidhur me </w:t>
      </w:r>
      <w:r w:rsidRPr="00B907A3">
        <w:rPr>
          <w:rFonts w:ascii="Garamond" w:eastAsia="Calibri" w:hAnsi="Garamond"/>
          <w:sz w:val="24"/>
          <w:lang w:eastAsia="en-US"/>
        </w:rPr>
        <w:t xml:space="preserve">sigurinë rrugore, përfshirë </w:t>
      </w:r>
      <w:r w:rsidR="00815599" w:rsidRPr="00B907A3">
        <w:rPr>
          <w:rFonts w:ascii="Garamond" w:eastAsia="Calibri" w:hAnsi="Garamond"/>
          <w:sz w:val="24"/>
          <w:lang w:eastAsia="en-US"/>
        </w:rPr>
        <w:t>organet qendrore të qeverisjes</w:t>
      </w:r>
      <w:r w:rsidRPr="00B907A3">
        <w:rPr>
          <w:rFonts w:ascii="Garamond" w:eastAsia="Calibri" w:hAnsi="Garamond"/>
          <w:sz w:val="24"/>
          <w:lang w:eastAsia="en-US"/>
        </w:rPr>
        <w:t xml:space="preserve">, </w:t>
      </w:r>
      <w:r w:rsidR="00A1661B" w:rsidRPr="00B907A3">
        <w:rPr>
          <w:rFonts w:ascii="Garamond" w:eastAsia="Calibri" w:hAnsi="Garamond"/>
          <w:sz w:val="24"/>
          <w:lang w:eastAsia="en-US"/>
        </w:rPr>
        <w:t xml:space="preserve">institucionet </w:t>
      </w:r>
      <w:r w:rsidRPr="00B907A3">
        <w:rPr>
          <w:rFonts w:ascii="Garamond" w:eastAsia="Calibri" w:hAnsi="Garamond"/>
          <w:sz w:val="24"/>
          <w:lang w:eastAsia="en-US"/>
        </w:rPr>
        <w:t xml:space="preserve">publike dhe </w:t>
      </w:r>
      <w:r w:rsidR="00A1661B" w:rsidRPr="00B907A3">
        <w:rPr>
          <w:rFonts w:ascii="Garamond" w:eastAsia="Calibri" w:hAnsi="Garamond"/>
          <w:sz w:val="24"/>
          <w:lang w:eastAsia="en-US"/>
        </w:rPr>
        <w:t xml:space="preserve">subjektet e organizatat </w:t>
      </w:r>
      <w:r w:rsidRPr="00B907A3">
        <w:rPr>
          <w:rFonts w:ascii="Garamond" w:eastAsia="Calibri" w:hAnsi="Garamond"/>
          <w:sz w:val="24"/>
          <w:lang w:eastAsia="en-US"/>
        </w:rPr>
        <w:t xml:space="preserve">private, </w:t>
      </w:r>
      <w:r w:rsidR="00A1661B" w:rsidRPr="00B907A3">
        <w:rPr>
          <w:rFonts w:ascii="Garamond" w:eastAsia="Calibri" w:hAnsi="Garamond"/>
          <w:sz w:val="24"/>
          <w:lang w:eastAsia="en-US"/>
        </w:rPr>
        <w:t xml:space="preserve">organet e </w:t>
      </w:r>
      <w:r w:rsidRPr="00B907A3">
        <w:rPr>
          <w:rFonts w:ascii="Garamond" w:eastAsia="Calibri" w:hAnsi="Garamond"/>
          <w:sz w:val="24"/>
          <w:lang w:eastAsia="en-US"/>
        </w:rPr>
        <w:lastRenderedPageBreak/>
        <w:t>qeveri</w:t>
      </w:r>
      <w:r w:rsidR="00A1661B" w:rsidRPr="00B907A3">
        <w:rPr>
          <w:rFonts w:ascii="Garamond" w:eastAsia="Calibri" w:hAnsi="Garamond"/>
          <w:sz w:val="24"/>
          <w:lang w:eastAsia="en-US"/>
        </w:rPr>
        <w:t>sjes vendore</w:t>
      </w:r>
      <w:r w:rsidRPr="00B907A3">
        <w:rPr>
          <w:rFonts w:ascii="Garamond" w:eastAsia="Calibri" w:hAnsi="Garamond"/>
          <w:sz w:val="24"/>
          <w:lang w:eastAsia="en-US"/>
        </w:rPr>
        <w:t xml:space="preserve">, ofruesit e financimit, etj. </w:t>
      </w:r>
      <w:r w:rsidR="00794503" w:rsidRPr="00B907A3">
        <w:rPr>
          <w:rFonts w:ascii="Garamond" w:eastAsia="Calibri" w:hAnsi="Garamond"/>
          <w:sz w:val="24"/>
          <w:lang w:eastAsia="en-US"/>
        </w:rPr>
        <w:t>Zakonisht</w:t>
      </w:r>
      <w:r w:rsidR="00C57408" w:rsidRPr="00B907A3">
        <w:rPr>
          <w:rFonts w:ascii="Garamond" w:eastAsia="Calibri" w:hAnsi="Garamond"/>
          <w:sz w:val="24"/>
          <w:lang w:eastAsia="en-US"/>
        </w:rPr>
        <w:t>,</w:t>
      </w:r>
      <w:r w:rsidRPr="00B907A3">
        <w:rPr>
          <w:rFonts w:ascii="Garamond" w:eastAsia="Calibri" w:hAnsi="Garamond"/>
          <w:sz w:val="24"/>
          <w:lang w:eastAsia="en-US"/>
        </w:rPr>
        <w:t xml:space="preserve"> pothuajse të gjitha dokumentet </w:t>
      </w:r>
      <w:r w:rsidR="00A1661B" w:rsidRPr="00B907A3">
        <w:rPr>
          <w:rFonts w:ascii="Garamond" w:eastAsia="Calibri" w:hAnsi="Garamond"/>
          <w:sz w:val="24"/>
          <w:lang w:eastAsia="en-US"/>
        </w:rPr>
        <w:t xml:space="preserve">në nivel global </w:t>
      </w:r>
      <w:r w:rsidRPr="00B907A3">
        <w:rPr>
          <w:rFonts w:ascii="Garamond" w:eastAsia="Calibri" w:hAnsi="Garamond"/>
          <w:sz w:val="24"/>
          <w:lang w:eastAsia="en-US"/>
        </w:rPr>
        <w:t xml:space="preserve">u bëjnë thirrje qeverive që ta bëjnë sigurinë rrugore një përparësi politike, të sigurojnë financim të qëndrueshëm dhe të zbatojnë veprime strategjike, të bazuara në </w:t>
      </w:r>
      <w:r w:rsidR="00342D2B" w:rsidRPr="00B907A3">
        <w:rPr>
          <w:rFonts w:ascii="Garamond" w:eastAsia="Calibri" w:hAnsi="Garamond"/>
          <w:sz w:val="24"/>
          <w:lang w:eastAsia="en-US"/>
        </w:rPr>
        <w:t>evidenc</w:t>
      </w:r>
      <w:r w:rsidR="00FD6C9E" w:rsidRPr="00B907A3">
        <w:rPr>
          <w:rFonts w:ascii="Garamond" w:eastAsia="Calibri" w:hAnsi="Garamond"/>
          <w:sz w:val="24"/>
          <w:lang w:eastAsia="en-US"/>
        </w:rPr>
        <w:t>a</w:t>
      </w:r>
      <w:r w:rsidRPr="00B907A3">
        <w:rPr>
          <w:rFonts w:ascii="Garamond" w:eastAsia="Calibri" w:hAnsi="Garamond"/>
          <w:sz w:val="24"/>
          <w:lang w:eastAsia="en-US"/>
        </w:rPr>
        <w:t xml:space="preserve">, për të </w:t>
      </w:r>
      <w:r w:rsidR="00376467" w:rsidRPr="00B907A3">
        <w:rPr>
          <w:rFonts w:ascii="Garamond" w:eastAsia="Calibri" w:hAnsi="Garamond"/>
          <w:sz w:val="24"/>
          <w:lang w:eastAsia="en-US"/>
        </w:rPr>
        <w:t>reduktuar</w:t>
      </w:r>
      <w:r w:rsidRPr="00B907A3">
        <w:rPr>
          <w:rFonts w:ascii="Garamond" w:eastAsia="Calibri" w:hAnsi="Garamond"/>
          <w:sz w:val="24"/>
          <w:lang w:eastAsia="en-US"/>
        </w:rPr>
        <w:t xml:space="preserve"> </w:t>
      </w:r>
      <w:r w:rsidR="00342D2B" w:rsidRPr="00B907A3">
        <w:rPr>
          <w:rFonts w:ascii="Garamond" w:eastAsia="Calibri" w:hAnsi="Garamond"/>
          <w:sz w:val="24"/>
          <w:lang w:eastAsia="en-US"/>
        </w:rPr>
        <w:t xml:space="preserve">numrin e </w:t>
      </w:r>
      <w:r w:rsidR="007536C0" w:rsidRPr="00B907A3">
        <w:rPr>
          <w:rFonts w:ascii="Garamond" w:eastAsia="Calibri" w:hAnsi="Garamond"/>
          <w:sz w:val="24"/>
          <w:lang w:eastAsia="en-US"/>
        </w:rPr>
        <w:t>fataliteteve</w:t>
      </w:r>
      <w:r w:rsidR="00342D2B" w:rsidRPr="00B907A3">
        <w:rPr>
          <w:rFonts w:ascii="Garamond" w:eastAsia="Calibri" w:hAnsi="Garamond"/>
          <w:sz w:val="24"/>
          <w:lang w:eastAsia="en-US"/>
        </w:rPr>
        <w:t xml:space="preserve"> dhe </w:t>
      </w:r>
      <w:r w:rsidRPr="00B907A3">
        <w:rPr>
          <w:rFonts w:ascii="Garamond" w:eastAsia="Calibri" w:hAnsi="Garamond"/>
          <w:sz w:val="24"/>
          <w:lang w:eastAsia="en-US"/>
        </w:rPr>
        <w:t>lëndime</w:t>
      </w:r>
      <w:r w:rsidR="00342D2B" w:rsidRPr="00B907A3">
        <w:rPr>
          <w:rFonts w:ascii="Garamond" w:eastAsia="Calibri" w:hAnsi="Garamond"/>
          <w:sz w:val="24"/>
          <w:lang w:eastAsia="en-US"/>
        </w:rPr>
        <w:t xml:space="preserve">ve </w:t>
      </w:r>
      <w:r w:rsidRPr="00B907A3">
        <w:rPr>
          <w:rFonts w:ascii="Garamond" w:eastAsia="Calibri" w:hAnsi="Garamond"/>
          <w:sz w:val="24"/>
          <w:lang w:eastAsia="en-US"/>
        </w:rPr>
        <w:t xml:space="preserve">në </w:t>
      </w:r>
      <w:r w:rsidR="00342D2B" w:rsidRPr="00B907A3">
        <w:rPr>
          <w:rFonts w:ascii="Garamond" w:eastAsia="Calibri" w:hAnsi="Garamond"/>
          <w:sz w:val="24"/>
          <w:lang w:eastAsia="en-US"/>
        </w:rPr>
        <w:t xml:space="preserve">qarkullimin </w:t>
      </w:r>
      <w:r w:rsidRPr="00B907A3">
        <w:rPr>
          <w:rFonts w:ascii="Garamond" w:eastAsia="Calibri" w:hAnsi="Garamond"/>
          <w:sz w:val="24"/>
          <w:lang w:eastAsia="en-US"/>
        </w:rPr>
        <w:t xml:space="preserve">rrugor. Këto dokumente që lidhen me sigurinë rrugore theksojnë nevojën për një koordinim të </w:t>
      </w:r>
      <w:r w:rsidR="00342D2B" w:rsidRPr="00B907A3">
        <w:rPr>
          <w:rFonts w:ascii="Garamond" w:eastAsia="Calibri" w:hAnsi="Garamond"/>
          <w:sz w:val="24"/>
          <w:lang w:eastAsia="en-US"/>
        </w:rPr>
        <w:t xml:space="preserve">qëndrueshëm </w:t>
      </w:r>
      <w:r w:rsidRPr="00B907A3">
        <w:rPr>
          <w:rFonts w:ascii="Garamond" w:eastAsia="Calibri" w:hAnsi="Garamond"/>
          <w:sz w:val="24"/>
          <w:lang w:eastAsia="en-US"/>
        </w:rPr>
        <w:t xml:space="preserve">ndërsektorial (duke angazhuar </w:t>
      </w:r>
      <w:r w:rsidR="00342D2B" w:rsidRPr="00B907A3">
        <w:rPr>
          <w:rFonts w:ascii="Garamond" w:eastAsia="Calibri" w:hAnsi="Garamond"/>
          <w:sz w:val="24"/>
          <w:lang w:eastAsia="en-US"/>
        </w:rPr>
        <w:t xml:space="preserve">ministrinë përgjegjëse për </w:t>
      </w:r>
      <w:r w:rsidR="00294E2D" w:rsidRPr="00B907A3">
        <w:rPr>
          <w:rFonts w:ascii="Garamond" w:eastAsia="Calibri" w:hAnsi="Garamond"/>
          <w:sz w:val="24"/>
          <w:lang w:eastAsia="en-US"/>
        </w:rPr>
        <w:t>rendin publi</w:t>
      </w:r>
      <w:r w:rsidR="00297C65" w:rsidRPr="00B907A3">
        <w:rPr>
          <w:rFonts w:ascii="Garamond" w:eastAsia="Calibri" w:hAnsi="Garamond"/>
          <w:sz w:val="24"/>
          <w:lang w:eastAsia="en-US"/>
        </w:rPr>
        <w:t>k</w:t>
      </w:r>
      <w:r w:rsidRPr="00B907A3">
        <w:rPr>
          <w:rFonts w:ascii="Garamond" w:eastAsia="Calibri" w:hAnsi="Garamond"/>
          <w:sz w:val="24"/>
          <w:lang w:eastAsia="en-US"/>
        </w:rPr>
        <w:t xml:space="preserve">, transportin, </w:t>
      </w:r>
      <w:r w:rsidR="00297C65" w:rsidRPr="00B907A3">
        <w:rPr>
          <w:rFonts w:ascii="Garamond" w:eastAsia="Calibri" w:hAnsi="Garamond"/>
          <w:sz w:val="24"/>
          <w:lang w:eastAsia="en-US"/>
        </w:rPr>
        <w:t xml:space="preserve">shëndetësinë, </w:t>
      </w:r>
      <w:r w:rsidRPr="00B907A3">
        <w:rPr>
          <w:rFonts w:ascii="Garamond" w:eastAsia="Calibri" w:hAnsi="Garamond"/>
          <w:sz w:val="24"/>
          <w:lang w:eastAsia="en-US"/>
        </w:rPr>
        <w:t xml:space="preserve">arsimin, mjedisin dhe ministri të tjera) dhe integrimin e </w:t>
      </w:r>
      <w:r w:rsidR="00342D2B" w:rsidRPr="00B907A3">
        <w:rPr>
          <w:rFonts w:ascii="Garamond" w:eastAsia="Calibri" w:hAnsi="Garamond"/>
          <w:sz w:val="24"/>
          <w:lang w:eastAsia="en-US"/>
        </w:rPr>
        <w:t xml:space="preserve">aspektit të </w:t>
      </w:r>
      <w:r w:rsidRPr="00B907A3">
        <w:rPr>
          <w:rFonts w:ascii="Garamond" w:eastAsia="Calibri" w:hAnsi="Garamond"/>
          <w:sz w:val="24"/>
          <w:lang w:eastAsia="en-US"/>
        </w:rPr>
        <w:t xml:space="preserve">sigurisë në të gjitha planifikimet, </w:t>
      </w:r>
      <w:r w:rsidR="00342D2B" w:rsidRPr="00B907A3">
        <w:rPr>
          <w:rFonts w:ascii="Garamond" w:eastAsia="Calibri" w:hAnsi="Garamond"/>
          <w:sz w:val="24"/>
          <w:lang w:eastAsia="en-US"/>
        </w:rPr>
        <w:t xml:space="preserve">aktet ligjore dhe nënligjore për </w:t>
      </w:r>
      <w:r w:rsidRPr="00B907A3">
        <w:rPr>
          <w:rFonts w:ascii="Garamond" w:eastAsia="Calibri" w:hAnsi="Garamond"/>
          <w:sz w:val="24"/>
          <w:lang w:eastAsia="en-US"/>
        </w:rPr>
        <w:t>infrastrukturë</w:t>
      </w:r>
      <w:r w:rsidR="00342D2B" w:rsidRPr="00B907A3">
        <w:rPr>
          <w:rFonts w:ascii="Garamond" w:eastAsia="Calibri" w:hAnsi="Garamond"/>
          <w:sz w:val="24"/>
          <w:lang w:eastAsia="en-US"/>
        </w:rPr>
        <w:t xml:space="preserve">n </w:t>
      </w:r>
      <w:r w:rsidRPr="00B907A3">
        <w:rPr>
          <w:rFonts w:ascii="Garamond" w:eastAsia="Calibri" w:hAnsi="Garamond"/>
          <w:sz w:val="24"/>
          <w:lang w:eastAsia="en-US"/>
        </w:rPr>
        <w:t xml:space="preserve">rrugore. Përveç kësaj, këto dokumente gjithashtu i nxisin vendet të promovojnë </w:t>
      </w:r>
      <w:r w:rsidR="00342D2B" w:rsidRPr="00B907A3">
        <w:rPr>
          <w:rFonts w:ascii="Garamond" w:eastAsia="Calibri" w:hAnsi="Garamond"/>
          <w:sz w:val="24"/>
          <w:lang w:eastAsia="en-US"/>
        </w:rPr>
        <w:t>mobilitet t</w:t>
      </w:r>
      <w:r w:rsidRPr="00B907A3">
        <w:rPr>
          <w:rFonts w:ascii="Garamond" w:eastAsia="Calibri" w:hAnsi="Garamond"/>
          <w:sz w:val="24"/>
          <w:lang w:eastAsia="en-US"/>
        </w:rPr>
        <w:t>ë</w:t>
      </w:r>
      <w:r w:rsidR="00342D2B" w:rsidRPr="00B907A3">
        <w:rPr>
          <w:rFonts w:ascii="Garamond" w:eastAsia="Calibri" w:hAnsi="Garamond"/>
          <w:sz w:val="24"/>
          <w:lang w:eastAsia="en-US"/>
        </w:rPr>
        <w:t xml:space="preserve"> </w:t>
      </w:r>
      <w:r w:rsidRPr="00B907A3">
        <w:rPr>
          <w:rFonts w:ascii="Garamond" w:eastAsia="Calibri" w:hAnsi="Garamond"/>
          <w:sz w:val="24"/>
          <w:lang w:eastAsia="en-US"/>
        </w:rPr>
        <w:t xml:space="preserve">sigurt, </w:t>
      </w:r>
      <w:r w:rsidR="00753545" w:rsidRPr="00B907A3">
        <w:rPr>
          <w:rFonts w:ascii="Garamond" w:eastAsia="Calibri" w:hAnsi="Garamond"/>
          <w:sz w:val="24"/>
          <w:lang w:eastAsia="en-US"/>
        </w:rPr>
        <w:t>t</w:t>
      </w:r>
      <w:r w:rsidR="007F5429" w:rsidRPr="00B907A3">
        <w:rPr>
          <w:rFonts w:ascii="Garamond" w:eastAsia="Calibri" w:hAnsi="Garamond"/>
          <w:sz w:val="24"/>
          <w:lang w:eastAsia="en-US"/>
        </w:rPr>
        <w:t xml:space="preserve">ë </w:t>
      </w:r>
      <w:r w:rsidRPr="00B907A3">
        <w:rPr>
          <w:rFonts w:ascii="Garamond" w:eastAsia="Calibri" w:hAnsi="Garamond"/>
          <w:sz w:val="24"/>
          <w:lang w:eastAsia="en-US"/>
        </w:rPr>
        <w:t xml:space="preserve">gjelbër dhe të barabartë (p.sh., duke investuar në </w:t>
      </w:r>
      <w:r w:rsidR="007F5429" w:rsidRPr="00B907A3">
        <w:rPr>
          <w:rFonts w:ascii="Garamond" w:eastAsia="Calibri" w:hAnsi="Garamond"/>
          <w:sz w:val="24"/>
          <w:lang w:eastAsia="en-US"/>
        </w:rPr>
        <w:t xml:space="preserve">alternativa </w:t>
      </w:r>
      <w:r w:rsidRPr="00B907A3">
        <w:rPr>
          <w:rFonts w:ascii="Garamond" w:eastAsia="Calibri" w:hAnsi="Garamond"/>
          <w:sz w:val="24"/>
          <w:lang w:eastAsia="en-US"/>
        </w:rPr>
        <w:t xml:space="preserve">më të mira për </w:t>
      </w:r>
      <w:r w:rsidR="007F5429" w:rsidRPr="00B907A3">
        <w:rPr>
          <w:rFonts w:ascii="Garamond" w:eastAsia="Calibri" w:hAnsi="Garamond"/>
          <w:sz w:val="24"/>
          <w:lang w:eastAsia="en-US"/>
        </w:rPr>
        <w:t>të ecur në këmbë</w:t>
      </w:r>
      <w:r w:rsidRPr="00B907A3">
        <w:rPr>
          <w:rFonts w:ascii="Garamond" w:eastAsia="Calibri" w:hAnsi="Garamond"/>
          <w:sz w:val="24"/>
          <w:lang w:eastAsia="en-US"/>
        </w:rPr>
        <w:t xml:space="preserve">, </w:t>
      </w:r>
      <w:r w:rsidR="007F5429" w:rsidRPr="00B907A3">
        <w:rPr>
          <w:rFonts w:ascii="Garamond" w:eastAsia="Calibri" w:hAnsi="Garamond"/>
          <w:sz w:val="24"/>
          <w:lang w:eastAsia="en-US"/>
        </w:rPr>
        <w:t>me bi</w:t>
      </w:r>
      <w:r w:rsidRPr="00B907A3">
        <w:rPr>
          <w:rFonts w:ascii="Garamond" w:eastAsia="Calibri" w:hAnsi="Garamond"/>
          <w:sz w:val="24"/>
          <w:lang w:eastAsia="en-US"/>
        </w:rPr>
        <w:t>çi</w:t>
      </w:r>
      <w:r w:rsidR="007F5429" w:rsidRPr="00B907A3">
        <w:rPr>
          <w:rFonts w:ascii="Garamond" w:eastAsia="Calibri" w:hAnsi="Garamond"/>
          <w:sz w:val="24"/>
          <w:lang w:eastAsia="en-US"/>
        </w:rPr>
        <w:t>klet</w:t>
      </w:r>
      <w:r w:rsidRPr="00B907A3">
        <w:rPr>
          <w:rFonts w:ascii="Garamond" w:eastAsia="Calibri" w:hAnsi="Garamond"/>
          <w:sz w:val="24"/>
          <w:lang w:eastAsia="en-US"/>
        </w:rPr>
        <w:t xml:space="preserve">ë </w:t>
      </w:r>
      <w:r w:rsidR="007F5429" w:rsidRPr="00B907A3">
        <w:rPr>
          <w:rFonts w:ascii="Garamond" w:eastAsia="Calibri" w:hAnsi="Garamond"/>
          <w:sz w:val="24"/>
          <w:lang w:eastAsia="en-US"/>
        </w:rPr>
        <w:t xml:space="preserve">apo përmes </w:t>
      </w:r>
      <w:r w:rsidRPr="00B907A3">
        <w:rPr>
          <w:rFonts w:ascii="Garamond" w:eastAsia="Calibri" w:hAnsi="Garamond"/>
          <w:sz w:val="24"/>
          <w:lang w:eastAsia="en-US"/>
        </w:rPr>
        <w:t>transport</w:t>
      </w:r>
      <w:r w:rsidR="007F5429" w:rsidRPr="00B907A3">
        <w:rPr>
          <w:rFonts w:ascii="Garamond" w:eastAsia="Calibri" w:hAnsi="Garamond"/>
          <w:sz w:val="24"/>
          <w:lang w:eastAsia="en-US"/>
        </w:rPr>
        <w:t>it</w:t>
      </w:r>
      <w:r w:rsidRPr="00B907A3">
        <w:rPr>
          <w:rFonts w:ascii="Garamond" w:eastAsia="Calibri" w:hAnsi="Garamond"/>
          <w:sz w:val="24"/>
          <w:lang w:eastAsia="en-US"/>
        </w:rPr>
        <w:t xml:space="preserve"> publik, etj.). Zakonisht, dokumentet e orientuara drejt sigurisë rrugore theksojnë rëndësinë e bashkëpunimit ndërkombëtar: ato bëjnë thirrje për më shumë shkëmbim </w:t>
      </w:r>
      <w:r w:rsidR="00F37279" w:rsidRPr="00B907A3">
        <w:rPr>
          <w:rFonts w:ascii="Garamond" w:eastAsia="Calibri" w:hAnsi="Garamond"/>
          <w:sz w:val="24"/>
          <w:lang w:eastAsia="en-US"/>
        </w:rPr>
        <w:t>t</w:t>
      </w:r>
      <w:r w:rsidR="00376467" w:rsidRPr="00B907A3">
        <w:rPr>
          <w:rFonts w:ascii="Garamond" w:eastAsia="Calibri" w:hAnsi="Garamond"/>
          <w:sz w:val="24"/>
          <w:lang w:eastAsia="en-US"/>
        </w:rPr>
        <w:t>ë</w:t>
      </w:r>
      <w:r w:rsidR="00F37279" w:rsidRPr="00B907A3">
        <w:rPr>
          <w:rFonts w:ascii="Garamond" w:eastAsia="Calibri" w:hAnsi="Garamond"/>
          <w:sz w:val="24"/>
          <w:lang w:eastAsia="en-US"/>
        </w:rPr>
        <w:t xml:space="preserve"> njohurive</w:t>
      </w:r>
      <w:r w:rsidRPr="00B907A3">
        <w:rPr>
          <w:rFonts w:ascii="Garamond" w:eastAsia="Calibri" w:hAnsi="Garamond"/>
          <w:sz w:val="24"/>
          <w:lang w:eastAsia="en-US"/>
        </w:rPr>
        <w:t xml:space="preserve">, mbështetje teknike, transferim teknologjie dhe kërkime në teknologji inovative (p.sh., inteligjencë artificiale) </w:t>
      </w:r>
      <w:r w:rsidR="00F37279" w:rsidRPr="00B907A3">
        <w:rPr>
          <w:rFonts w:ascii="Garamond" w:eastAsia="Calibri" w:hAnsi="Garamond"/>
          <w:sz w:val="24"/>
          <w:lang w:eastAsia="en-US"/>
        </w:rPr>
        <w:t xml:space="preserve">midis vendeve, </w:t>
      </w:r>
      <w:r w:rsidRPr="00B907A3">
        <w:rPr>
          <w:rFonts w:ascii="Garamond" w:eastAsia="Calibri" w:hAnsi="Garamond"/>
          <w:sz w:val="24"/>
          <w:lang w:eastAsia="en-US"/>
        </w:rPr>
        <w:t xml:space="preserve">për të përmirësuar sigurinë rrugore, si dhe bashkëpunim më të ngushtë me shoqërinë civile dhe </w:t>
      </w:r>
      <w:r w:rsidR="00F37279" w:rsidRPr="00B907A3">
        <w:rPr>
          <w:rFonts w:ascii="Garamond" w:eastAsia="Calibri" w:hAnsi="Garamond"/>
          <w:sz w:val="24"/>
          <w:lang w:eastAsia="en-US"/>
        </w:rPr>
        <w:t>universitetet</w:t>
      </w:r>
      <w:r w:rsidR="00BF5BB5" w:rsidRPr="00B907A3">
        <w:rPr>
          <w:rFonts w:ascii="Garamond" w:eastAsia="Calibri" w:hAnsi="Garamond"/>
          <w:sz w:val="24"/>
          <w:lang w:eastAsia="en-US"/>
        </w:rPr>
        <w:t>.</w:t>
      </w:r>
    </w:p>
    <w:p w14:paraId="7E25FEF8" w14:textId="778114FB" w:rsidR="003C3A5C" w:rsidRPr="00B907A3" w:rsidRDefault="00405360" w:rsidP="008C4E07">
      <w:pPr>
        <w:spacing w:after="0"/>
        <w:ind w:firstLine="284"/>
        <w:rPr>
          <w:rFonts w:ascii="Garamond" w:hAnsi="Garamond"/>
          <w:sz w:val="24"/>
          <w:lang w:eastAsia="sl-SI"/>
        </w:rPr>
      </w:pPr>
      <w:r w:rsidRPr="00B907A3">
        <w:rPr>
          <w:rFonts w:ascii="Garamond" w:hAnsi="Garamond"/>
          <w:sz w:val="24"/>
          <w:lang w:eastAsia="sl-SI"/>
        </w:rPr>
        <w:t xml:space="preserve">Siguria rrugore është një nga prioritetet e shëndetit publik dhe zhvillimit në Shqipëri. Pavarësisht përmirësimeve pozitive vitet e fundit, Shqipëria ende përballet me sfida të rëndësishme në lidhje me </w:t>
      </w:r>
      <w:r w:rsidR="00376467" w:rsidRPr="00B907A3">
        <w:rPr>
          <w:rFonts w:ascii="Garamond" w:hAnsi="Garamond"/>
          <w:sz w:val="24"/>
          <w:lang w:eastAsia="sl-SI"/>
        </w:rPr>
        <w:t>reduktimin</w:t>
      </w:r>
      <w:r w:rsidRPr="00B907A3">
        <w:rPr>
          <w:rFonts w:ascii="Garamond" w:hAnsi="Garamond"/>
          <w:sz w:val="24"/>
          <w:lang w:eastAsia="sl-SI"/>
        </w:rPr>
        <w:t xml:space="preserve"> e </w:t>
      </w:r>
      <w:r w:rsidR="00404717" w:rsidRPr="00B907A3">
        <w:rPr>
          <w:rFonts w:ascii="Garamond" w:hAnsi="Garamond"/>
          <w:sz w:val="24"/>
          <w:lang w:eastAsia="sl-SI"/>
        </w:rPr>
        <w:t>fataliteteve</w:t>
      </w:r>
      <w:r w:rsidR="00F37279" w:rsidRPr="00B907A3">
        <w:rPr>
          <w:rFonts w:ascii="Garamond" w:hAnsi="Garamond"/>
          <w:sz w:val="24"/>
          <w:lang w:eastAsia="sl-SI"/>
        </w:rPr>
        <w:t xml:space="preserve"> </w:t>
      </w:r>
      <w:r w:rsidR="00376467" w:rsidRPr="00B907A3">
        <w:rPr>
          <w:rFonts w:ascii="Garamond" w:hAnsi="Garamond"/>
          <w:sz w:val="24"/>
          <w:lang w:eastAsia="sl-SI"/>
        </w:rPr>
        <w:t>dhe lëndimeve</w:t>
      </w:r>
      <w:r w:rsidRPr="00B907A3">
        <w:rPr>
          <w:rFonts w:ascii="Garamond" w:hAnsi="Garamond"/>
          <w:sz w:val="24"/>
          <w:lang w:eastAsia="sl-SI"/>
        </w:rPr>
        <w:t xml:space="preserve"> të rënda </w:t>
      </w:r>
      <w:r w:rsidR="00F37279" w:rsidRPr="00B907A3">
        <w:rPr>
          <w:rFonts w:ascii="Garamond" w:hAnsi="Garamond"/>
          <w:sz w:val="24"/>
          <w:lang w:eastAsia="sl-SI"/>
        </w:rPr>
        <w:t>si pasoj</w:t>
      </w:r>
      <w:r w:rsidRPr="00B907A3">
        <w:rPr>
          <w:rFonts w:ascii="Garamond" w:hAnsi="Garamond"/>
          <w:sz w:val="24"/>
          <w:lang w:eastAsia="sl-SI"/>
        </w:rPr>
        <w:t>ë</w:t>
      </w:r>
      <w:r w:rsidR="00F37279" w:rsidRPr="00B907A3">
        <w:rPr>
          <w:rFonts w:ascii="Garamond" w:hAnsi="Garamond"/>
          <w:sz w:val="24"/>
          <w:lang w:eastAsia="sl-SI"/>
        </w:rPr>
        <w:t xml:space="preserve"> e</w:t>
      </w:r>
      <w:r w:rsidRPr="00B907A3">
        <w:rPr>
          <w:rFonts w:ascii="Garamond" w:hAnsi="Garamond"/>
          <w:sz w:val="24"/>
          <w:lang w:eastAsia="sl-SI"/>
        </w:rPr>
        <w:t xml:space="preserve"> aksidente</w:t>
      </w:r>
      <w:r w:rsidR="00F37279" w:rsidRPr="00B907A3">
        <w:rPr>
          <w:rFonts w:ascii="Garamond" w:hAnsi="Garamond"/>
          <w:sz w:val="24"/>
          <w:lang w:eastAsia="sl-SI"/>
        </w:rPr>
        <w:t>ve</w:t>
      </w:r>
      <w:r w:rsidRPr="00B907A3">
        <w:rPr>
          <w:rFonts w:ascii="Garamond" w:hAnsi="Garamond"/>
          <w:sz w:val="24"/>
          <w:lang w:eastAsia="sl-SI"/>
        </w:rPr>
        <w:t xml:space="preserve"> rrugore</w:t>
      </w:r>
      <w:r w:rsidR="00ED4BCF" w:rsidRPr="00B907A3">
        <w:rPr>
          <w:rFonts w:ascii="Garamond" w:hAnsi="Garamond"/>
          <w:sz w:val="24"/>
          <w:lang w:eastAsia="sl-SI"/>
        </w:rPr>
        <w:t xml:space="preserve">. </w:t>
      </w:r>
    </w:p>
    <w:p w14:paraId="0F463657" w14:textId="45C22CC1" w:rsidR="00ED4BCF" w:rsidRPr="00B907A3" w:rsidRDefault="00405360" w:rsidP="008C4E07">
      <w:pPr>
        <w:shd w:val="clear" w:color="auto" w:fill="E2EFD9" w:themeFill="accent6" w:themeFillTint="33"/>
        <w:spacing w:after="0"/>
        <w:ind w:firstLine="284"/>
        <w:rPr>
          <w:rFonts w:ascii="Garamond" w:hAnsi="Garamond"/>
          <w:sz w:val="24"/>
          <w:lang w:eastAsia="sl-SI"/>
        </w:rPr>
      </w:pPr>
      <w:r w:rsidRPr="00B907A3">
        <w:rPr>
          <w:rFonts w:ascii="Garamond" w:hAnsi="Garamond"/>
          <w:sz w:val="24"/>
          <w:lang w:eastAsia="sl-SI"/>
        </w:rPr>
        <w:t xml:space="preserve">Strategjia aktuale synon ta përafrojë Shqipërinë me standardet e Bashkimit Evropian (BE) duke zbatuar </w:t>
      </w:r>
      <w:r w:rsidRPr="00B907A3">
        <w:rPr>
          <w:rFonts w:ascii="Garamond" w:hAnsi="Garamond"/>
          <w:b/>
          <w:bCs/>
          <w:sz w:val="24"/>
          <w:u w:val="single"/>
          <w:lang w:eastAsia="sl-SI"/>
        </w:rPr>
        <w:t>qasje</w:t>
      </w:r>
      <w:r w:rsidR="00A969F6" w:rsidRPr="00B907A3">
        <w:rPr>
          <w:rFonts w:ascii="Garamond" w:hAnsi="Garamond"/>
          <w:b/>
          <w:bCs/>
          <w:sz w:val="24"/>
          <w:u w:val="single"/>
          <w:lang w:eastAsia="sl-SI"/>
        </w:rPr>
        <w:t>n</w:t>
      </w:r>
      <w:r w:rsidRPr="00B907A3">
        <w:rPr>
          <w:rFonts w:ascii="Garamond" w:hAnsi="Garamond"/>
          <w:b/>
          <w:bCs/>
          <w:sz w:val="24"/>
          <w:u w:val="single"/>
          <w:lang w:eastAsia="sl-SI"/>
        </w:rPr>
        <w:t xml:space="preserve"> </w:t>
      </w:r>
      <w:r w:rsidR="007951BD">
        <w:rPr>
          <w:rFonts w:ascii="Garamond" w:hAnsi="Garamond"/>
          <w:b/>
          <w:bCs/>
          <w:sz w:val="24"/>
          <w:u w:val="single"/>
          <w:lang w:eastAsia="sl-SI"/>
        </w:rPr>
        <w:t>“</w:t>
      </w:r>
      <w:r w:rsidRPr="00B907A3">
        <w:rPr>
          <w:rFonts w:ascii="Garamond" w:hAnsi="Garamond"/>
          <w:b/>
          <w:bCs/>
          <w:sz w:val="24"/>
          <w:u w:val="single"/>
          <w:lang w:eastAsia="sl-SI"/>
        </w:rPr>
        <w:t>Vizioni Zero</w:t>
      </w:r>
      <w:r w:rsidR="007951BD">
        <w:rPr>
          <w:rFonts w:ascii="Garamond" w:hAnsi="Garamond"/>
          <w:b/>
          <w:bCs/>
          <w:sz w:val="24"/>
          <w:u w:val="single"/>
          <w:lang w:eastAsia="sl-SI"/>
        </w:rPr>
        <w:t>”</w:t>
      </w:r>
      <w:r w:rsidR="00A969F6" w:rsidRPr="00B907A3">
        <w:rPr>
          <w:rFonts w:ascii="Garamond" w:hAnsi="Garamond"/>
          <w:sz w:val="24"/>
          <w:lang w:eastAsia="sl-SI"/>
        </w:rPr>
        <w:t xml:space="preserve">, </w:t>
      </w:r>
      <w:r w:rsidR="001626E3" w:rsidRPr="00B907A3">
        <w:rPr>
          <w:rFonts w:ascii="Garamond" w:hAnsi="Garamond"/>
          <w:sz w:val="24"/>
          <w:lang w:eastAsia="sl-SI"/>
        </w:rPr>
        <w:t xml:space="preserve">që synon drejt </w:t>
      </w:r>
      <w:r w:rsidR="007951BD" w:rsidRPr="00B907A3">
        <w:rPr>
          <w:rFonts w:ascii="Garamond" w:hAnsi="Garamond"/>
          <w:sz w:val="24"/>
          <w:lang w:eastAsia="sl-SI"/>
        </w:rPr>
        <w:t>eliminimit</w:t>
      </w:r>
      <w:r w:rsidR="00A460E7" w:rsidRPr="00B907A3">
        <w:rPr>
          <w:rFonts w:ascii="Garamond" w:hAnsi="Garamond"/>
          <w:sz w:val="24"/>
          <w:lang w:eastAsia="sl-SI"/>
        </w:rPr>
        <w:t xml:space="preserve"> </w:t>
      </w:r>
      <w:r w:rsidR="001626E3" w:rsidRPr="00B907A3">
        <w:rPr>
          <w:rFonts w:ascii="Garamond" w:hAnsi="Garamond"/>
          <w:sz w:val="24"/>
          <w:lang w:eastAsia="sl-SI"/>
        </w:rPr>
        <w:t xml:space="preserve">në </w:t>
      </w:r>
      <w:r w:rsidR="007951BD">
        <w:rPr>
          <w:rFonts w:ascii="Garamond" w:hAnsi="Garamond"/>
          <w:sz w:val="24"/>
          <w:lang w:eastAsia="sl-SI"/>
        </w:rPr>
        <w:t>“</w:t>
      </w:r>
      <w:r w:rsidR="00376467" w:rsidRPr="00B907A3">
        <w:rPr>
          <w:rFonts w:ascii="Garamond" w:hAnsi="Garamond"/>
          <w:sz w:val="24"/>
          <w:lang w:eastAsia="sl-SI"/>
        </w:rPr>
        <w:t>zero</w:t>
      </w:r>
      <w:r w:rsidR="007951BD">
        <w:rPr>
          <w:rFonts w:ascii="Garamond" w:hAnsi="Garamond"/>
          <w:sz w:val="24"/>
          <w:lang w:eastAsia="sl-SI"/>
        </w:rPr>
        <w:t>”</w:t>
      </w:r>
      <w:r w:rsidR="00376467" w:rsidRPr="00B907A3">
        <w:rPr>
          <w:rFonts w:ascii="Garamond" w:hAnsi="Garamond"/>
          <w:sz w:val="24"/>
          <w:lang w:eastAsia="sl-SI"/>
        </w:rPr>
        <w:t xml:space="preserve"> të </w:t>
      </w:r>
      <w:r w:rsidR="00A460E7" w:rsidRPr="00B907A3">
        <w:rPr>
          <w:rFonts w:ascii="Garamond" w:hAnsi="Garamond"/>
          <w:sz w:val="24"/>
          <w:lang w:eastAsia="sl-SI"/>
        </w:rPr>
        <w:t>fataliteteve</w:t>
      </w:r>
      <w:r w:rsidRPr="00B907A3">
        <w:rPr>
          <w:rFonts w:ascii="Garamond" w:hAnsi="Garamond"/>
          <w:sz w:val="24"/>
          <w:lang w:eastAsia="sl-SI"/>
        </w:rPr>
        <w:t xml:space="preserve"> dhe lëndimeve </w:t>
      </w:r>
      <w:r w:rsidR="001626E3" w:rsidRPr="00B907A3">
        <w:rPr>
          <w:rFonts w:ascii="Garamond" w:hAnsi="Garamond"/>
          <w:sz w:val="24"/>
          <w:lang w:eastAsia="sl-SI"/>
        </w:rPr>
        <w:t xml:space="preserve">të rënda si pasojë e aksidenteve </w:t>
      </w:r>
      <w:r w:rsidRPr="00B907A3">
        <w:rPr>
          <w:rFonts w:ascii="Garamond" w:hAnsi="Garamond"/>
          <w:sz w:val="24"/>
          <w:lang w:eastAsia="sl-SI"/>
        </w:rPr>
        <w:t>rrugore</w:t>
      </w:r>
      <w:r w:rsidR="00376467" w:rsidRPr="00B907A3">
        <w:rPr>
          <w:rFonts w:ascii="Garamond" w:hAnsi="Garamond"/>
          <w:sz w:val="24"/>
          <w:lang w:eastAsia="sl-SI"/>
        </w:rPr>
        <w:t xml:space="preserve"> </w:t>
      </w:r>
      <w:r w:rsidR="00A460E7" w:rsidRPr="00B907A3">
        <w:rPr>
          <w:rFonts w:ascii="Garamond" w:hAnsi="Garamond"/>
          <w:sz w:val="24"/>
          <w:lang w:eastAsia="sl-SI"/>
        </w:rPr>
        <w:t>b</w:t>
      </w:r>
      <w:r w:rsidR="001626E3" w:rsidRPr="00B907A3">
        <w:rPr>
          <w:rFonts w:ascii="Garamond" w:hAnsi="Garamond"/>
          <w:sz w:val="24"/>
          <w:lang w:eastAsia="sl-SI"/>
        </w:rPr>
        <w:t xml:space="preserve">renda vitit </w:t>
      </w:r>
      <w:r w:rsidRPr="00B907A3">
        <w:rPr>
          <w:rFonts w:ascii="Garamond" w:hAnsi="Garamond"/>
          <w:sz w:val="24"/>
          <w:lang w:eastAsia="sl-SI"/>
        </w:rPr>
        <w:t>2050</w:t>
      </w:r>
      <w:r w:rsidR="00ED4BCF" w:rsidRPr="00B907A3">
        <w:rPr>
          <w:rFonts w:ascii="Garamond" w:hAnsi="Garamond"/>
          <w:sz w:val="24"/>
          <w:lang w:eastAsia="sl-SI"/>
        </w:rPr>
        <w:t>.</w:t>
      </w:r>
    </w:p>
    <w:p w14:paraId="09C25B88" w14:textId="2031222B" w:rsidR="003C3A5C" w:rsidRPr="00B907A3" w:rsidRDefault="00405360" w:rsidP="008C4E07">
      <w:pPr>
        <w:shd w:val="clear" w:color="auto" w:fill="E2EFD9" w:themeFill="accent6" w:themeFillTint="33"/>
        <w:spacing w:after="0"/>
        <w:ind w:firstLine="284"/>
        <w:rPr>
          <w:rFonts w:ascii="Garamond" w:hAnsi="Garamond"/>
          <w:sz w:val="24"/>
          <w:lang w:eastAsia="sl-SI"/>
        </w:rPr>
      </w:pPr>
      <w:r w:rsidRPr="00B907A3">
        <w:rPr>
          <w:rFonts w:ascii="Garamond" w:hAnsi="Garamond"/>
          <w:sz w:val="24"/>
          <w:shd w:val="clear" w:color="auto" w:fill="E2EFD9" w:themeFill="accent6" w:themeFillTint="33"/>
          <w:lang w:eastAsia="sl-SI"/>
        </w:rPr>
        <w:t xml:space="preserve">Është e rëndësishme të theksohet se Strategjia </w:t>
      </w:r>
      <w:r w:rsidR="001626E3" w:rsidRPr="00B907A3">
        <w:rPr>
          <w:rFonts w:ascii="Garamond" w:hAnsi="Garamond"/>
          <w:sz w:val="24"/>
          <w:shd w:val="clear" w:color="auto" w:fill="E2EFD9" w:themeFill="accent6" w:themeFillTint="33"/>
          <w:lang w:eastAsia="sl-SI"/>
        </w:rPr>
        <w:t>p</w:t>
      </w:r>
      <w:r w:rsidR="001626E3" w:rsidRPr="00B907A3">
        <w:rPr>
          <w:rFonts w:ascii="Garamond" w:hAnsi="Garamond"/>
          <w:sz w:val="24"/>
          <w:lang w:eastAsia="sl-SI"/>
        </w:rPr>
        <w:t xml:space="preserve">ër </w:t>
      </w:r>
      <w:r w:rsidRPr="00B907A3">
        <w:rPr>
          <w:rFonts w:ascii="Garamond" w:hAnsi="Garamond"/>
          <w:sz w:val="24"/>
          <w:shd w:val="clear" w:color="auto" w:fill="E2EFD9" w:themeFill="accent6" w:themeFillTint="33"/>
          <w:lang w:eastAsia="sl-SI"/>
        </w:rPr>
        <w:t>Siguri</w:t>
      </w:r>
      <w:r w:rsidR="001626E3" w:rsidRPr="00B907A3">
        <w:rPr>
          <w:rFonts w:ascii="Garamond" w:hAnsi="Garamond"/>
          <w:sz w:val="24"/>
          <w:shd w:val="clear" w:color="auto" w:fill="E2EFD9" w:themeFill="accent6" w:themeFillTint="33"/>
          <w:lang w:eastAsia="sl-SI"/>
        </w:rPr>
        <w:t>n</w:t>
      </w:r>
      <w:r w:rsidRPr="00B907A3">
        <w:rPr>
          <w:rFonts w:ascii="Garamond" w:hAnsi="Garamond"/>
          <w:sz w:val="24"/>
          <w:shd w:val="clear" w:color="auto" w:fill="E2EFD9" w:themeFill="accent6" w:themeFillTint="33"/>
          <w:lang w:eastAsia="sl-SI"/>
        </w:rPr>
        <w:t>ë Rrugore (</w:t>
      </w:r>
      <w:r w:rsidR="001626E3" w:rsidRPr="00B907A3">
        <w:rPr>
          <w:rFonts w:ascii="Garamond" w:hAnsi="Garamond"/>
          <w:sz w:val="24"/>
          <w:shd w:val="clear" w:color="auto" w:fill="E2EFD9" w:themeFill="accent6" w:themeFillTint="33"/>
          <w:lang w:eastAsia="sl-SI"/>
        </w:rPr>
        <w:t>SSR</w:t>
      </w:r>
      <w:r w:rsidR="007E7033" w:rsidRPr="00B907A3">
        <w:rPr>
          <w:rFonts w:ascii="Garamond" w:hAnsi="Garamond"/>
          <w:sz w:val="24"/>
          <w:shd w:val="clear" w:color="auto" w:fill="E2EFD9" w:themeFill="accent6" w:themeFillTint="33"/>
          <w:lang w:eastAsia="sl-SI"/>
        </w:rPr>
        <w:t>r</w:t>
      </w:r>
      <w:r w:rsidRPr="00B907A3">
        <w:rPr>
          <w:rFonts w:ascii="Garamond" w:hAnsi="Garamond"/>
          <w:sz w:val="24"/>
          <w:shd w:val="clear" w:color="auto" w:fill="E2EFD9" w:themeFill="accent6" w:themeFillTint="33"/>
          <w:lang w:eastAsia="sl-SI"/>
        </w:rPr>
        <w:t xml:space="preserve">) 2030 ndjek parimet e </w:t>
      </w:r>
      <w:r w:rsidRPr="00B907A3">
        <w:rPr>
          <w:rFonts w:ascii="Garamond" w:hAnsi="Garamond"/>
          <w:b/>
          <w:bCs/>
          <w:sz w:val="24"/>
          <w:u w:val="single"/>
          <w:shd w:val="clear" w:color="auto" w:fill="E2EFD9" w:themeFill="accent6" w:themeFillTint="33"/>
          <w:lang w:eastAsia="sl-SI"/>
        </w:rPr>
        <w:t>Qasjes së Sistemit të Sigurt</w:t>
      </w:r>
      <w:r w:rsidR="001626E3" w:rsidRPr="00B907A3">
        <w:rPr>
          <w:rFonts w:ascii="Garamond" w:hAnsi="Garamond"/>
          <w:b/>
          <w:bCs/>
          <w:sz w:val="24"/>
          <w:u w:val="single"/>
          <w:shd w:val="clear" w:color="auto" w:fill="E2EFD9" w:themeFill="accent6" w:themeFillTint="33"/>
          <w:lang w:eastAsia="sl-SI"/>
        </w:rPr>
        <w:t xml:space="preserve"> (</w:t>
      </w:r>
      <w:r w:rsidR="00343999" w:rsidRPr="00B907A3">
        <w:rPr>
          <w:rFonts w:ascii="Garamond" w:hAnsi="Garamond"/>
          <w:b/>
          <w:bCs/>
          <w:sz w:val="24"/>
          <w:u w:val="single"/>
          <w:shd w:val="clear" w:color="auto" w:fill="E2EFD9" w:themeFill="accent6" w:themeFillTint="33"/>
          <w:lang w:eastAsia="sl-SI"/>
        </w:rPr>
        <w:t>Q</w:t>
      </w:r>
      <w:r w:rsidR="001626E3" w:rsidRPr="00B907A3">
        <w:rPr>
          <w:rFonts w:ascii="Garamond" w:hAnsi="Garamond"/>
          <w:b/>
          <w:bCs/>
          <w:sz w:val="24"/>
          <w:u w:val="single"/>
          <w:shd w:val="clear" w:color="auto" w:fill="E2EFD9" w:themeFill="accent6" w:themeFillTint="33"/>
          <w:lang w:eastAsia="sl-SI"/>
        </w:rPr>
        <w:t>SS)</w:t>
      </w:r>
      <w:r w:rsidRPr="00B907A3">
        <w:rPr>
          <w:rFonts w:ascii="Garamond" w:hAnsi="Garamond"/>
          <w:sz w:val="24"/>
          <w:shd w:val="clear" w:color="auto" w:fill="E2EFD9" w:themeFill="accent6" w:themeFillTint="33"/>
          <w:lang w:eastAsia="sl-SI"/>
        </w:rPr>
        <w:t xml:space="preserve">, duke u përqendruar </w:t>
      </w:r>
      <w:r w:rsidR="001626E3" w:rsidRPr="00B907A3">
        <w:rPr>
          <w:rFonts w:ascii="Garamond" w:hAnsi="Garamond"/>
          <w:sz w:val="24"/>
          <w:shd w:val="clear" w:color="auto" w:fill="E2EFD9" w:themeFill="accent6" w:themeFillTint="33"/>
          <w:lang w:eastAsia="sl-SI"/>
        </w:rPr>
        <w:t xml:space="preserve">tek </w:t>
      </w:r>
      <w:r w:rsidRPr="00B907A3">
        <w:rPr>
          <w:rFonts w:ascii="Garamond" w:hAnsi="Garamond"/>
          <w:sz w:val="24"/>
          <w:shd w:val="clear" w:color="auto" w:fill="E2EFD9" w:themeFill="accent6" w:themeFillTint="33"/>
          <w:lang w:eastAsia="sl-SI"/>
        </w:rPr>
        <w:t>përmirësimi</w:t>
      </w:r>
      <w:r w:rsidR="001626E3" w:rsidRPr="00B907A3">
        <w:rPr>
          <w:rFonts w:ascii="Garamond" w:hAnsi="Garamond"/>
          <w:sz w:val="24"/>
          <w:shd w:val="clear" w:color="auto" w:fill="E2EFD9" w:themeFill="accent6" w:themeFillTint="33"/>
          <w:lang w:eastAsia="sl-SI"/>
        </w:rPr>
        <w:t xml:space="preserve"> i</w:t>
      </w:r>
      <w:r w:rsidR="00887CC6">
        <w:rPr>
          <w:rFonts w:ascii="Garamond" w:hAnsi="Garamond"/>
          <w:sz w:val="24"/>
          <w:shd w:val="clear" w:color="auto" w:fill="E2EFD9" w:themeFill="accent6" w:themeFillTint="33"/>
          <w:lang w:eastAsia="sl-SI"/>
        </w:rPr>
        <w:t xml:space="preserve"> </w:t>
      </w:r>
      <w:r w:rsidRPr="00B907A3">
        <w:rPr>
          <w:rFonts w:ascii="Garamond" w:hAnsi="Garamond"/>
          <w:sz w:val="24"/>
          <w:shd w:val="clear" w:color="auto" w:fill="E2EFD9" w:themeFill="accent6" w:themeFillTint="33"/>
          <w:lang w:eastAsia="sl-SI"/>
        </w:rPr>
        <w:t>menaxhimit të sigurisë rrugore, infrastruktur</w:t>
      </w:r>
      <w:r w:rsidR="001626E3" w:rsidRPr="00B907A3">
        <w:rPr>
          <w:rFonts w:ascii="Garamond" w:hAnsi="Garamond"/>
          <w:sz w:val="24"/>
          <w:shd w:val="clear" w:color="auto" w:fill="E2EFD9" w:themeFill="accent6" w:themeFillTint="33"/>
          <w:lang w:eastAsia="sl-SI"/>
        </w:rPr>
        <w:t>a m</w:t>
      </w:r>
      <w:r w:rsidR="001626E3" w:rsidRPr="00B907A3">
        <w:rPr>
          <w:rFonts w:ascii="Garamond" w:hAnsi="Garamond"/>
          <w:sz w:val="24"/>
          <w:lang w:eastAsia="sl-SI"/>
        </w:rPr>
        <w:t>ë e sigurt</w:t>
      </w:r>
      <w:r w:rsidRPr="00B907A3">
        <w:rPr>
          <w:rFonts w:ascii="Garamond" w:hAnsi="Garamond"/>
          <w:sz w:val="24"/>
          <w:shd w:val="clear" w:color="auto" w:fill="E2EFD9" w:themeFill="accent6" w:themeFillTint="33"/>
          <w:lang w:eastAsia="sl-SI"/>
        </w:rPr>
        <w:t>, automjetet, përdoruesit e rrugës dhe reagimet ndaj emergjencave</w:t>
      </w:r>
      <w:r w:rsidR="00ED4BCF" w:rsidRPr="00B907A3">
        <w:rPr>
          <w:rFonts w:ascii="Garamond" w:hAnsi="Garamond"/>
          <w:sz w:val="24"/>
          <w:lang w:eastAsia="sl-SI"/>
        </w:rPr>
        <w:t xml:space="preserve">. </w:t>
      </w:r>
    </w:p>
    <w:p w14:paraId="764F2B3C" w14:textId="5F5DAD9C" w:rsidR="00ED4BCF" w:rsidRPr="00B907A3" w:rsidRDefault="00A21955" w:rsidP="008C4E07">
      <w:pPr>
        <w:spacing w:after="0"/>
        <w:ind w:firstLine="284"/>
        <w:rPr>
          <w:rFonts w:ascii="Garamond" w:eastAsia="Calibri" w:hAnsi="Garamond"/>
          <w:sz w:val="24"/>
          <w:lang w:eastAsia="en-US"/>
        </w:rPr>
      </w:pPr>
      <w:r w:rsidRPr="00B907A3">
        <w:rPr>
          <w:rFonts w:ascii="Garamond" w:hAnsi="Garamond"/>
          <w:sz w:val="24"/>
          <w:lang w:eastAsia="sl-SI"/>
        </w:rPr>
        <w:t>Strategjia ë</w:t>
      </w:r>
      <w:r w:rsidR="00405360" w:rsidRPr="00B907A3">
        <w:rPr>
          <w:rFonts w:ascii="Garamond" w:hAnsi="Garamond"/>
          <w:sz w:val="24"/>
          <w:lang w:eastAsia="sl-SI"/>
        </w:rPr>
        <w:t>shtë hartuar për të ngritur standardet e sigurisë rrugore të Shqipërisë në një nivel më të lartë në mënyrë që të përmbushë</w:t>
      </w:r>
      <w:r w:rsidRPr="00B907A3">
        <w:rPr>
          <w:rFonts w:ascii="Garamond" w:hAnsi="Garamond"/>
          <w:sz w:val="24"/>
          <w:lang w:eastAsia="sl-SI"/>
        </w:rPr>
        <w:t>n</w:t>
      </w:r>
      <w:r w:rsidR="00405360" w:rsidRPr="00B907A3">
        <w:rPr>
          <w:rFonts w:ascii="Garamond" w:hAnsi="Garamond"/>
          <w:sz w:val="24"/>
          <w:lang w:eastAsia="sl-SI"/>
        </w:rPr>
        <w:t xml:space="preserve"> standardet e BE-së. </w:t>
      </w:r>
      <w:r w:rsidRPr="00B907A3">
        <w:rPr>
          <w:rFonts w:ascii="Garamond" w:hAnsi="Garamond"/>
          <w:sz w:val="24"/>
          <w:lang w:eastAsia="sl-SI"/>
        </w:rPr>
        <w:t>SSR</w:t>
      </w:r>
      <w:r w:rsidR="00361D3C" w:rsidRPr="00B907A3">
        <w:rPr>
          <w:rFonts w:ascii="Garamond" w:hAnsi="Garamond"/>
          <w:sz w:val="24"/>
          <w:lang w:eastAsia="sl-SI"/>
        </w:rPr>
        <w:t>r</w:t>
      </w:r>
      <w:r w:rsidR="00405360" w:rsidRPr="00B907A3">
        <w:rPr>
          <w:rFonts w:ascii="Garamond" w:hAnsi="Garamond"/>
          <w:sz w:val="24"/>
          <w:lang w:eastAsia="sl-SI"/>
        </w:rPr>
        <w:t xml:space="preserve"> mbështetet në praktikat më të mira nga vendet më të suksesshme të BE-së, duke marrë parasysh nevojat specifike të Shqipërisë</w:t>
      </w:r>
      <w:r w:rsidR="00A52493" w:rsidRPr="00B907A3">
        <w:rPr>
          <w:rFonts w:ascii="Garamond" w:hAnsi="Garamond"/>
          <w:sz w:val="24"/>
          <w:lang w:eastAsia="sl-SI"/>
        </w:rPr>
        <w:t>.</w:t>
      </w:r>
    </w:p>
    <w:p w14:paraId="40D04415" w14:textId="2083DFB4" w:rsidR="000559EA" w:rsidRPr="00B907A3" w:rsidRDefault="00405360" w:rsidP="008C4E07">
      <w:pPr>
        <w:spacing w:after="0"/>
        <w:ind w:firstLine="284"/>
        <w:rPr>
          <w:rFonts w:ascii="Garamond" w:hAnsi="Garamond"/>
          <w:sz w:val="24"/>
          <w:lang w:eastAsia="sl-SI"/>
        </w:rPr>
      </w:pPr>
      <w:r w:rsidRPr="00B907A3">
        <w:rPr>
          <w:rFonts w:ascii="Garamond" w:eastAsia="Calibri" w:hAnsi="Garamond"/>
          <w:sz w:val="24"/>
          <w:lang w:eastAsia="en-US"/>
        </w:rPr>
        <w:t xml:space="preserve">Ndërsa </w:t>
      </w:r>
      <w:r w:rsidR="009109E3" w:rsidRPr="00B907A3">
        <w:rPr>
          <w:rFonts w:ascii="Garamond" w:eastAsia="Calibri" w:hAnsi="Garamond"/>
          <w:sz w:val="24"/>
          <w:lang w:eastAsia="en-US"/>
        </w:rPr>
        <w:t>d</w:t>
      </w:r>
      <w:r w:rsidRPr="00B907A3">
        <w:rPr>
          <w:rFonts w:ascii="Garamond" w:eastAsia="Calibri" w:hAnsi="Garamond"/>
          <w:sz w:val="24"/>
          <w:lang w:eastAsia="en-US"/>
        </w:rPr>
        <w:t>ekada e dytë e Veprimit (20</w:t>
      </w:r>
      <w:r w:rsidR="008D3F73" w:rsidRPr="00B907A3">
        <w:rPr>
          <w:rFonts w:ascii="Garamond" w:eastAsia="Calibri" w:hAnsi="Garamond"/>
          <w:sz w:val="24"/>
          <w:lang w:eastAsia="en-US"/>
        </w:rPr>
        <w:t>2</w:t>
      </w:r>
      <w:r w:rsidRPr="00B907A3">
        <w:rPr>
          <w:rFonts w:ascii="Garamond" w:eastAsia="Calibri" w:hAnsi="Garamond"/>
          <w:sz w:val="24"/>
          <w:lang w:eastAsia="en-US"/>
        </w:rPr>
        <w:t>1</w:t>
      </w:r>
      <w:r w:rsidR="007951BD">
        <w:rPr>
          <w:rFonts w:ascii="Garamond" w:hAnsi="Garamond"/>
          <w:sz w:val="24"/>
        </w:rPr>
        <w:t>–</w:t>
      </w:r>
      <w:r w:rsidRPr="00B907A3">
        <w:rPr>
          <w:rFonts w:ascii="Garamond" w:eastAsia="Calibri" w:hAnsi="Garamond"/>
          <w:sz w:val="24"/>
          <w:lang w:eastAsia="en-US"/>
        </w:rPr>
        <w:t xml:space="preserve">2030) është në mes të zbatimit të saj, ndërsa është bërë </w:t>
      </w:r>
      <w:r w:rsidR="00A21955" w:rsidRPr="00B907A3">
        <w:rPr>
          <w:rFonts w:ascii="Garamond" w:eastAsia="Calibri" w:hAnsi="Garamond"/>
          <w:sz w:val="24"/>
          <w:lang w:eastAsia="en-US"/>
        </w:rPr>
        <w:t xml:space="preserve">progres </w:t>
      </w:r>
      <w:r w:rsidRPr="00B907A3">
        <w:rPr>
          <w:rFonts w:ascii="Garamond" w:eastAsia="Calibri" w:hAnsi="Garamond"/>
          <w:sz w:val="24"/>
          <w:lang w:eastAsia="en-US"/>
        </w:rPr>
        <w:t xml:space="preserve">në disa fusha, duhet bërë shumë më tepër për të përmbushur </w:t>
      </w:r>
      <w:r w:rsidR="00A21955" w:rsidRPr="00B907A3">
        <w:rPr>
          <w:rFonts w:ascii="Garamond" w:eastAsia="Calibri" w:hAnsi="Garamond"/>
          <w:sz w:val="24"/>
          <w:lang w:eastAsia="en-US"/>
        </w:rPr>
        <w:t xml:space="preserve">objektivin </w:t>
      </w:r>
      <w:r w:rsidRPr="00B907A3">
        <w:rPr>
          <w:rFonts w:ascii="Garamond" w:eastAsia="Calibri" w:hAnsi="Garamond"/>
          <w:sz w:val="24"/>
          <w:lang w:eastAsia="en-US"/>
        </w:rPr>
        <w:t xml:space="preserve">e </w:t>
      </w:r>
      <w:r w:rsidR="00876F5A" w:rsidRPr="00B907A3">
        <w:rPr>
          <w:rFonts w:ascii="Garamond" w:eastAsia="Calibri" w:hAnsi="Garamond"/>
          <w:sz w:val="24"/>
          <w:lang w:eastAsia="en-US"/>
        </w:rPr>
        <w:t>d</w:t>
      </w:r>
      <w:r w:rsidRPr="00B907A3">
        <w:rPr>
          <w:rFonts w:ascii="Garamond" w:eastAsia="Calibri" w:hAnsi="Garamond"/>
          <w:sz w:val="24"/>
          <w:lang w:eastAsia="en-US"/>
        </w:rPr>
        <w:t>ekadës: përgjysmimi</w:t>
      </w:r>
      <w:r w:rsidR="00A21955" w:rsidRPr="00B907A3">
        <w:rPr>
          <w:rFonts w:ascii="Garamond" w:eastAsia="Calibri" w:hAnsi="Garamond"/>
          <w:sz w:val="24"/>
          <w:lang w:eastAsia="en-US"/>
        </w:rPr>
        <w:t xml:space="preserve"> i numrit t</w:t>
      </w:r>
      <w:r w:rsidR="00A21955" w:rsidRPr="00B907A3">
        <w:rPr>
          <w:rFonts w:ascii="Garamond" w:hAnsi="Garamond"/>
          <w:sz w:val="24"/>
          <w:lang w:eastAsia="sl-SI"/>
        </w:rPr>
        <w:t xml:space="preserve">ë vdekjeve dhe </w:t>
      </w:r>
      <w:r w:rsidRPr="00B907A3">
        <w:rPr>
          <w:rFonts w:ascii="Garamond" w:eastAsia="Calibri" w:hAnsi="Garamond"/>
          <w:sz w:val="24"/>
          <w:lang w:eastAsia="en-US"/>
        </w:rPr>
        <w:t>lëndimeve të rënda</w:t>
      </w:r>
      <w:r w:rsidR="00A21955" w:rsidRPr="00B907A3">
        <w:rPr>
          <w:rFonts w:ascii="Garamond" w:eastAsia="Calibri" w:hAnsi="Garamond"/>
          <w:sz w:val="24"/>
          <w:lang w:eastAsia="en-US"/>
        </w:rPr>
        <w:t xml:space="preserve"> si pasoj</w:t>
      </w:r>
      <w:r w:rsidR="00A21955" w:rsidRPr="00B907A3">
        <w:rPr>
          <w:rFonts w:ascii="Garamond" w:hAnsi="Garamond"/>
          <w:sz w:val="24"/>
          <w:lang w:eastAsia="sl-SI"/>
        </w:rPr>
        <w:t xml:space="preserve">ë e </w:t>
      </w:r>
      <w:r w:rsidR="00A21955" w:rsidRPr="00B907A3">
        <w:rPr>
          <w:rFonts w:ascii="Garamond" w:eastAsia="Calibri" w:hAnsi="Garamond"/>
          <w:sz w:val="24"/>
          <w:lang w:eastAsia="en-US"/>
        </w:rPr>
        <w:t>aksidenteve rrugore</w:t>
      </w:r>
      <w:r w:rsidRPr="00B907A3">
        <w:rPr>
          <w:rFonts w:ascii="Garamond" w:eastAsia="Calibri" w:hAnsi="Garamond"/>
          <w:sz w:val="24"/>
          <w:lang w:eastAsia="en-US"/>
        </w:rPr>
        <w:t xml:space="preserve">. Kjo është arsyeja pse </w:t>
      </w:r>
      <w:r w:rsidR="000559EA" w:rsidRPr="00B907A3">
        <w:rPr>
          <w:rFonts w:ascii="Garamond" w:eastAsia="Calibri" w:hAnsi="Garamond"/>
          <w:sz w:val="24"/>
          <w:lang w:eastAsia="en-US"/>
        </w:rPr>
        <w:t xml:space="preserve">është </w:t>
      </w:r>
      <w:r w:rsidRPr="00B907A3">
        <w:rPr>
          <w:rFonts w:ascii="Garamond" w:eastAsia="Calibri" w:hAnsi="Garamond"/>
          <w:sz w:val="24"/>
          <w:lang w:eastAsia="en-US"/>
        </w:rPr>
        <w:t xml:space="preserve">përgatitur Strategjia e dytë </w:t>
      </w:r>
      <w:r w:rsidR="000559EA" w:rsidRPr="00B907A3">
        <w:rPr>
          <w:rFonts w:ascii="Garamond" w:eastAsia="Calibri" w:hAnsi="Garamond"/>
          <w:sz w:val="24"/>
          <w:lang w:eastAsia="en-US"/>
        </w:rPr>
        <w:t xml:space="preserve">për Sigurinë Rrugore </w:t>
      </w:r>
      <w:r w:rsidRPr="00B907A3">
        <w:rPr>
          <w:rFonts w:ascii="Garamond" w:eastAsia="Calibri" w:hAnsi="Garamond"/>
          <w:sz w:val="24"/>
          <w:lang w:eastAsia="en-US"/>
        </w:rPr>
        <w:t>(</w:t>
      </w:r>
      <w:r w:rsidR="000559EA" w:rsidRPr="00B907A3">
        <w:rPr>
          <w:rFonts w:ascii="Garamond" w:eastAsia="Calibri" w:hAnsi="Garamond"/>
          <w:sz w:val="24"/>
          <w:lang w:eastAsia="en-US"/>
        </w:rPr>
        <w:t>SSR</w:t>
      </w:r>
      <w:r w:rsidR="00047643" w:rsidRPr="00B907A3">
        <w:rPr>
          <w:rFonts w:ascii="Garamond" w:eastAsia="Calibri" w:hAnsi="Garamond"/>
          <w:sz w:val="24"/>
          <w:lang w:eastAsia="en-US"/>
        </w:rPr>
        <w:t>r</w:t>
      </w:r>
      <w:r w:rsidRPr="00B907A3">
        <w:rPr>
          <w:rFonts w:ascii="Garamond" w:eastAsia="Calibri" w:hAnsi="Garamond"/>
          <w:sz w:val="24"/>
          <w:lang w:eastAsia="en-US"/>
        </w:rPr>
        <w:t>)</w:t>
      </w:r>
      <w:r w:rsidR="009D2BDF" w:rsidRPr="00B907A3">
        <w:rPr>
          <w:rFonts w:ascii="Garamond" w:eastAsia="Calibri" w:hAnsi="Garamond"/>
          <w:sz w:val="24"/>
          <w:lang w:eastAsia="en-US"/>
        </w:rPr>
        <w:t xml:space="preserve"> </w:t>
      </w:r>
      <w:r w:rsidR="000559EA" w:rsidRPr="00B907A3">
        <w:rPr>
          <w:rFonts w:ascii="Garamond" w:eastAsia="Calibri" w:hAnsi="Garamond"/>
          <w:sz w:val="24"/>
          <w:lang w:eastAsia="en-US"/>
        </w:rPr>
        <w:t xml:space="preserve">dhe </w:t>
      </w:r>
      <w:r w:rsidR="00D648AA" w:rsidRPr="00B907A3">
        <w:rPr>
          <w:rFonts w:ascii="Garamond" w:eastAsia="Calibri" w:hAnsi="Garamond"/>
          <w:sz w:val="24"/>
          <w:lang w:eastAsia="en-US"/>
        </w:rPr>
        <w:t xml:space="preserve">Plani i </w:t>
      </w:r>
      <w:r w:rsidR="000559EA" w:rsidRPr="00B907A3">
        <w:rPr>
          <w:rFonts w:ascii="Garamond" w:eastAsia="Calibri" w:hAnsi="Garamond"/>
          <w:sz w:val="24"/>
          <w:lang w:eastAsia="en-US"/>
        </w:rPr>
        <w:t xml:space="preserve">saj i Veprimit </w:t>
      </w:r>
      <w:r w:rsidRPr="00B907A3">
        <w:rPr>
          <w:rFonts w:ascii="Garamond" w:eastAsia="Calibri" w:hAnsi="Garamond"/>
          <w:sz w:val="24"/>
          <w:lang w:eastAsia="en-US"/>
        </w:rPr>
        <w:t>(</w:t>
      </w:r>
      <w:r w:rsidR="00D648AA" w:rsidRPr="00B907A3">
        <w:rPr>
          <w:rFonts w:ascii="Garamond" w:eastAsia="Calibri" w:hAnsi="Garamond"/>
          <w:sz w:val="24"/>
          <w:lang w:eastAsia="en-US"/>
        </w:rPr>
        <w:t>PVSR</w:t>
      </w:r>
      <w:r w:rsidR="00047643" w:rsidRPr="00B907A3">
        <w:rPr>
          <w:rFonts w:ascii="Garamond" w:eastAsia="Calibri" w:hAnsi="Garamond"/>
          <w:sz w:val="24"/>
          <w:lang w:eastAsia="en-US"/>
        </w:rPr>
        <w:t>r</w:t>
      </w:r>
      <w:r w:rsidRPr="00B907A3">
        <w:rPr>
          <w:rFonts w:ascii="Garamond" w:eastAsia="Calibri" w:hAnsi="Garamond"/>
          <w:sz w:val="24"/>
          <w:lang w:eastAsia="en-US"/>
        </w:rPr>
        <w:t>)</w:t>
      </w:r>
      <w:r w:rsidR="009D2BDF" w:rsidRPr="00B907A3">
        <w:rPr>
          <w:rFonts w:ascii="Garamond" w:eastAsia="Calibri" w:hAnsi="Garamond"/>
          <w:sz w:val="24"/>
          <w:lang w:eastAsia="en-US"/>
        </w:rPr>
        <w:t>.</w:t>
      </w:r>
      <w:r w:rsidRPr="00B907A3">
        <w:rPr>
          <w:rFonts w:ascii="Garamond" w:eastAsia="Calibri" w:hAnsi="Garamond"/>
          <w:sz w:val="24"/>
          <w:lang w:eastAsia="en-US"/>
        </w:rPr>
        <w:t xml:space="preserve"> Këto dokumente strategjike </w:t>
      </w:r>
      <w:r w:rsidR="000559EA" w:rsidRPr="00B907A3">
        <w:rPr>
          <w:rFonts w:ascii="Garamond" w:eastAsia="Calibri" w:hAnsi="Garamond"/>
          <w:sz w:val="24"/>
          <w:lang w:eastAsia="en-US"/>
        </w:rPr>
        <w:t xml:space="preserve">janë hartuar </w:t>
      </w:r>
      <w:r w:rsidRPr="00B907A3">
        <w:rPr>
          <w:rFonts w:ascii="Garamond" w:eastAsia="Calibri" w:hAnsi="Garamond"/>
          <w:sz w:val="24"/>
          <w:lang w:eastAsia="en-US"/>
        </w:rPr>
        <w:t>bazuar në praktikat më të mira nga vendet më të suksesshme të BE-së, duke përfshirë vendet e rajoneve fqinje dhe vendet me një madhësi dhe gjatësi të ngjashme të rrjetit rrugor me Shqipërinë, duke marrë parasysh nevojat specifike të Shqipërisë, të tilla si përmirësimi i zbatimit të ligjit dhe sjelljes së përdoruesve të rrugës, modernizimi i infrastrukturës dhe rritja e ndërgjegjësimit publik për çështjet që lidhen me sigurinë rrugore</w:t>
      </w:r>
      <w:r w:rsidR="00870795" w:rsidRPr="00B907A3">
        <w:rPr>
          <w:rFonts w:ascii="Garamond" w:hAnsi="Garamond"/>
          <w:sz w:val="24"/>
          <w:lang w:eastAsia="sl-SI"/>
        </w:rPr>
        <w:t>.</w:t>
      </w:r>
    </w:p>
    <w:p w14:paraId="0FA9765C" w14:textId="6CD51DB2" w:rsidR="00F83C04" w:rsidRPr="00B907A3" w:rsidRDefault="008C4E07" w:rsidP="008C4E07">
      <w:pPr>
        <w:pStyle w:val="Heading2"/>
        <w:numPr>
          <w:ilvl w:val="0"/>
          <w:numId w:val="0"/>
        </w:numPr>
        <w:spacing w:after="0"/>
        <w:ind w:firstLine="284"/>
        <w:rPr>
          <w:rFonts w:ascii="Garamond" w:hAnsi="Garamond"/>
          <w:color w:val="auto"/>
          <w:lang w:val="sq-AL"/>
        </w:rPr>
      </w:pPr>
      <w:bookmarkStart w:id="8" w:name="_Toc208840555"/>
      <w:r w:rsidRPr="00B907A3">
        <w:rPr>
          <w:rFonts w:ascii="Garamond" w:hAnsi="Garamond"/>
          <w:color w:val="auto"/>
          <w:lang w:val="sq-AL"/>
        </w:rPr>
        <w:t xml:space="preserve">1.1 </w:t>
      </w:r>
      <w:r w:rsidR="00405360" w:rsidRPr="00B907A3">
        <w:rPr>
          <w:rFonts w:ascii="Garamond" w:hAnsi="Garamond"/>
          <w:color w:val="auto"/>
          <w:lang w:val="sq-AL"/>
        </w:rPr>
        <w:t>Kostot e aksidenteve rrugore</w:t>
      </w:r>
      <w:bookmarkEnd w:id="8"/>
      <w:r w:rsidR="00A43B48" w:rsidRPr="00B907A3">
        <w:rPr>
          <w:rFonts w:ascii="Garamond" w:hAnsi="Garamond"/>
          <w:color w:val="auto"/>
          <w:lang w:val="sq-AL"/>
        </w:rPr>
        <w:t xml:space="preserve"> </w:t>
      </w:r>
    </w:p>
    <w:p w14:paraId="51C48BE0" w14:textId="0DF6A689" w:rsidR="00C95B0D" w:rsidRPr="00B907A3" w:rsidRDefault="00405360"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Përveç jetëve të humbura dhe vuajtjeve të mëdha njerëzore/familjare që</w:t>
      </w:r>
      <w:r w:rsidR="00823CC3" w:rsidRPr="00B907A3">
        <w:rPr>
          <w:rFonts w:ascii="Garamond" w:eastAsia="Calibri" w:hAnsi="Garamond"/>
          <w:spacing w:val="-2"/>
          <w:w w:val="105"/>
          <w:sz w:val="24"/>
          <w:lang w:eastAsia="en-US"/>
        </w:rPr>
        <w:t xml:space="preserve"> shkakton çdo </w:t>
      </w:r>
      <w:r w:rsidRPr="00B907A3">
        <w:rPr>
          <w:rFonts w:ascii="Garamond" w:eastAsia="Calibri" w:hAnsi="Garamond"/>
          <w:spacing w:val="-2"/>
          <w:w w:val="105"/>
          <w:sz w:val="24"/>
          <w:lang w:eastAsia="en-US"/>
        </w:rPr>
        <w:t>aksident</w:t>
      </w:r>
      <w:r w:rsidR="00823CC3"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tragjik</w:t>
      </w:r>
      <w:r w:rsidR="00823CC3" w:rsidRPr="00B907A3">
        <w:rPr>
          <w:rFonts w:ascii="Garamond" w:eastAsia="Calibri" w:hAnsi="Garamond"/>
          <w:spacing w:val="-2"/>
          <w:w w:val="105"/>
          <w:sz w:val="24"/>
          <w:lang w:eastAsia="en-US"/>
        </w:rPr>
        <w:t xml:space="preserve"> n</w:t>
      </w:r>
      <w:r w:rsidRPr="00B907A3">
        <w:rPr>
          <w:rFonts w:ascii="Garamond" w:eastAsia="Calibri" w:hAnsi="Garamond"/>
          <w:spacing w:val="-2"/>
          <w:w w:val="105"/>
          <w:sz w:val="24"/>
          <w:lang w:eastAsia="en-US"/>
        </w:rPr>
        <w:t>ë</w:t>
      </w:r>
      <w:r w:rsidR="00823CC3" w:rsidRPr="00B907A3">
        <w:rPr>
          <w:rFonts w:ascii="Garamond" w:eastAsia="Calibri" w:hAnsi="Garamond"/>
          <w:spacing w:val="-2"/>
          <w:w w:val="105"/>
          <w:sz w:val="24"/>
          <w:lang w:eastAsia="en-US"/>
        </w:rPr>
        <w:t xml:space="preserve"> qarkullimin </w:t>
      </w:r>
      <w:r w:rsidRPr="00B907A3">
        <w:rPr>
          <w:rFonts w:ascii="Garamond" w:eastAsia="Calibri" w:hAnsi="Garamond"/>
          <w:spacing w:val="-2"/>
          <w:w w:val="105"/>
          <w:sz w:val="24"/>
          <w:lang w:eastAsia="en-US"/>
        </w:rPr>
        <w:t xml:space="preserve">rrugor, </w:t>
      </w:r>
      <w:r w:rsidR="00823CC3" w:rsidRPr="00B907A3">
        <w:rPr>
          <w:rFonts w:ascii="Garamond" w:eastAsia="Calibri" w:hAnsi="Garamond"/>
          <w:spacing w:val="-2"/>
          <w:w w:val="105"/>
          <w:sz w:val="24"/>
          <w:lang w:eastAsia="en-US"/>
        </w:rPr>
        <w:t xml:space="preserve">ato kanë edhe ndikim ekonomik </w:t>
      </w:r>
      <w:r w:rsidRPr="00B907A3">
        <w:rPr>
          <w:rFonts w:ascii="Garamond" w:eastAsia="Calibri" w:hAnsi="Garamond"/>
          <w:spacing w:val="-2"/>
          <w:w w:val="105"/>
          <w:sz w:val="24"/>
          <w:lang w:eastAsia="en-US"/>
        </w:rPr>
        <w:t xml:space="preserve">që lidhen me kostot direkte, siç janë shpenzimet mjekësore, shërbimi </w:t>
      </w:r>
      <w:r w:rsidR="00823CC3" w:rsidRPr="00B907A3">
        <w:rPr>
          <w:rFonts w:ascii="Garamond" w:eastAsia="Calibri" w:hAnsi="Garamond"/>
          <w:spacing w:val="-2"/>
          <w:w w:val="105"/>
          <w:sz w:val="24"/>
          <w:lang w:eastAsia="en-US"/>
        </w:rPr>
        <w:t>i urgjencës</w:t>
      </w:r>
      <w:r w:rsidRPr="00B907A3">
        <w:rPr>
          <w:rFonts w:ascii="Garamond" w:eastAsia="Calibri" w:hAnsi="Garamond"/>
          <w:spacing w:val="-2"/>
          <w:w w:val="105"/>
          <w:sz w:val="24"/>
          <w:lang w:eastAsia="en-US"/>
        </w:rPr>
        <w:t xml:space="preserve">, dëmtimi i automjeteve dhe dëmtimi i infrastrukturës, si dhe kostot indirekte, siç është </w:t>
      </w:r>
      <w:r w:rsidR="00823CC3" w:rsidRPr="00B907A3">
        <w:rPr>
          <w:rFonts w:ascii="Garamond" w:eastAsia="Calibri" w:hAnsi="Garamond"/>
          <w:spacing w:val="-2"/>
          <w:w w:val="105"/>
          <w:sz w:val="24"/>
          <w:lang w:eastAsia="en-US"/>
        </w:rPr>
        <w:t xml:space="preserve">ulja e </w:t>
      </w:r>
      <w:r w:rsidRPr="00B907A3">
        <w:rPr>
          <w:rFonts w:ascii="Garamond" w:eastAsia="Calibri" w:hAnsi="Garamond"/>
          <w:spacing w:val="-2"/>
          <w:w w:val="105"/>
          <w:sz w:val="24"/>
          <w:lang w:eastAsia="en-US"/>
        </w:rPr>
        <w:t xml:space="preserve">produktivitetit dhe </w:t>
      </w:r>
      <w:r w:rsidR="00823CC3" w:rsidRPr="00B907A3">
        <w:rPr>
          <w:rFonts w:ascii="Garamond" w:eastAsia="Calibri" w:hAnsi="Garamond"/>
          <w:spacing w:val="-2"/>
          <w:w w:val="105"/>
          <w:sz w:val="24"/>
          <w:lang w:eastAsia="en-US"/>
        </w:rPr>
        <w:t xml:space="preserve">humbja e </w:t>
      </w:r>
      <w:r w:rsidRPr="00B907A3">
        <w:rPr>
          <w:rFonts w:ascii="Garamond" w:eastAsia="Calibri" w:hAnsi="Garamond"/>
          <w:spacing w:val="-2"/>
          <w:w w:val="105"/>
          <w:sz w:val="24"/>
          <w:lang w:eastAsia="en-US"/>
        </w:rPr>
        <w:t>të ardhurave (të një familjeje dhe të vendi</w:t>
      </w:r>
      <w:r w:rsidR="00823CC3" w:rsidRPr="00B907A3">
        <w:rPr>
          <w:rFonts w:ascii="Garamond" w:eastAsia="Calibri" w:hAnsi="Garamond"/>
          <w:spacing w:val="-2"/>
          <w:w w:val="105"/>
          <w:sz w:val="24"/>
          <w:lang w:eastAsia="en-US"/>
        </w:rPr>
        <w:t>t në përgjithësi</w:t>
      </w:r>
      <w:r w:rsidR="00550FFF" w:rsidRPr="00B907A3">
        <w:rPr>
          <w:rFonts w:ascii="Garamond" w:eastAsia="Calibri" w:hAnsi="Garamond"/>
          <w:spacing w:val="-2"/>
          <w:w w:val="105"/>
          <w:sz w:val="24"/>
          <w:lang w:eastAsia="en-US"/>
        </w:rPr>
        <w:t>)</w:t>
      </w:r>
      <w:r w:rsidR="00477267" w:rsidRPr="00B907A3">
        <w:rPr>
          <w:rFonts w:ascii="Garamond" w:eastAsia="Calibri" w:hAnsi="Garamond"/>
          <w:spacing w:val="-2"/>
          <w:w w:val="105"/>
          <w:sz w:val="24"/>
          <w:lang w:eastAsia="en-US"/>
        </w:rPr>
        <w:t>.</w:t>
      </w:r>
    </w:p>
    <w:p w14:paraId="30BFA3B4" w14:textId="72AD02BA" w:rsidR="00043D4C" w:rsidRPr="00B907A3" w:rsidRDefault="00405360"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Në shumicën e aksidenteve të</w:t>
      </w:r>
      <w:r w:rsidR="00A35CAA" w:rsidRPr="00B907A3">
        <w:rPr>
          <w:rFonts w:ascii="Garamond" w:eastAsia="Calibri" w:hAnsi="Garamond"/>
          <w:spacing w:val="-2"/>
          <w:w w:val="105"/>
          <w:sz w:val="24"/>
          <w:lang w:eastAsia="en-US"/>
        </w:rPr>
        <w:t xml:space="preserve"> qarkullimit </w:t>
      </w:r>
      <w:r w:rsidRPr="00B907A3">
        <w:rPr>
          <w:rFonts w:ascii="Garamond" w:eastAsia="Calibri" w:hAnsi="Garamond"/>
          <w:spacing w:val="-2"/>
          <w:w w:val="105"/>
          <w:sz w:val="24"/>
          <w:lang w:eastAsia="en-US"/>
        </w:rPr>
        <w:t xml:space="preserve">rrugor në vend, ka pasoja serioze socio-ekonomike. Shumica e pasojave mund të shprehen ekonomikisht në formën e kostove, humbjeve dhe dëmeve. Shkalla dhe rëndësia e plotë e këtyre pasojave shpesh nuk </w:t>
      </w:r>
      <w:r w:rsidR="00E43BDB" w:rsidRPr="00B907A3">
        <w:rPr>
          <w:rFonts w:ascii="Garamond" w:eastAsia="Calibri" w:hAnsi="Garamond"/>
          <w:spacing w:val="-2"/>
          <w:w w:val="105"/>
          <w:sz w:val="24"/>
          <w:lang w:eastAsia="en-US"/>
        </w:rPr>
        <w:t xml:space="preserve">është e dukshme pasi </w:t>
      </w:r>
      <w:r w:rsidRPr="00B907A3">
        <w:rPr>
          <w:rFonts w:ascii="Garamond" w:eastAsia="Calibri" w:hAnsi="Garamond"/>
          <w:spacing w:val="-2"/>
          <w:w w:val="105"/>
          <w:sz w:val="24"/>
          <w:lang w:eastAsia="en-US"/>
        </w:rPr>
        <w:t xml:space="preserve">ato </w:t>
      </w:r>
      <w:r w:rsidR="00E43BDB" w:rsidRPr="00B907A3">
        <w:rPr>
          <w:rFonts w:ascii="Garamond" w:eastAsia="Calibri" w:hAnsi="Garamond"/>
          <w:spacing w:val="-2"/>
          <w:w w:val="105"/>
          <w:sz w:val="24"/>
          <w:lang w:eastAsia="en-US"/>
        </w:rPr>
        <w:t xml:space="preserve">shkarkohen </w:t>
      </w:r>
      <w:r w:rsidRPr="00B907A3">
        <w:rPr>
          <w:rFonts w:ascii="Garamond" w:eastAsia="Calibri" w:hAnsi="Garamond"/>
          <w:spacing w:val="-2"/>
          <w:w w:val="105"/>
          <w:sz w:val="24"/>
          <w:lang w:eastAsia="en-US"/>
        </w:rPr>
        <w:t>në disa sektorë, p.sh., brenda sektorit të shëndetësisë, sektorit të punë</w:t>
      </w:r>
      <w:r w:rsidR="00E43BDB" w:rsidRPr="00B907A3">
        <w:rPr>
          <w:rFonts w:ascii="Garamond" w:eastAsia="Calibri" w:hAnsi="Garamond"/>
          <w:spacing w:val="-2"/>
          <w:w w:val="105"/>
          <w:sz w:val="24"/>
          <w:lang w:eastAsia="en-US"/>
        </w:rPr>
        <w:t>simit</w:t>
      </w:r>
      <w:r w:rsidRPr="00B907A3">
        <w:rPr>
          <w:rFonts w:ascii="Garamond" w:eastAsia="Calibri" w:hAnsi="Garamond"/>
          <w:spacing w:val="-2"/>
          <w:w w:val="105"/>
          <w:sz w:val="24"/>
          <w:lang w:eastAsia="en-US"/>
        </w:rPr>
        <w:t xml:space="preserve">, duke </w:t>
      </w:r>
      <w:r w:rsidR="00E43BDB" w:rsidRPr="00B907A3">
        <w:rPr>
          <w:rFonts w:ascii="Garamond" w:eastAsia="Calibri" w:hAnsi="Garamond"/>
          <w:spacing w:val="-2"/>
          <w:w w:val="105"/>
          <w:sz w:val="24"/>
          <w:lang w:eastAsia="en-US"/>
        </w:rPr>
        <w:t xml:space="preserve">shkaktuar </w:t>
      </w:r>
      <w:r w:rsidRPr="00B907A3">
        <w:rPr>
          <w:rFonts w:ascii="Garamond" w:eastAsia="Calibri" w:hAnsi="Garamond"/>
          <w:spacing w:val="-2"/>
          <w:w w:val="105"/>
          <w:sz w:val="24"/>
          <w:lang w:eastAsia="en-US"/>
        </w:rPr>
        <w:t xml:space="preserve">kosto </w:t>
      </w:r>
      <w:r w:rsidR="00E43BDB" w:rsidRPr="00B907A3">
        <w:rPr>
          <w:rFonts w:ascii="Garamond" w:eastAsia="Calibri" w:hAnsi="Garamond"/>
          <w:spacing w:val="-2"/>
          <w:w w:val="105"/>
          <w:sz w:val="24"/>
          <w:lang w:eastAsia="en-US"/>
        </w:rPr>
        <w:t xml:space="preserve">tek </w:t>
      </w:r>
      <w:r w:rsidRPr="00B907A3">
        <w:rPr>
          <w:rFonts w:ascii="Garamond" w:eastAsia="Calibri" w:hAnsi="Garamond"/>
          <w:spacing w:val="-2"/>
          <w:w w:val="105"/>
          <w:sz w:val="24"/>
          <w:lang w:eastAsia="en-US"/>
        </w:rPr>
        <w:t xml:space="preserve">individët dhe familjet. </w:t>
      </w:r>
      <w:r w:rsidR="00E43BDB" w:rsidRPr="00B907A3">
        <w:rPr>
          <w:rFonts w:ascii="Garamond" w:eastAsia="Calibri" w:hAnsi="Garamond"/>
          <w:spacing w:val="-2"/>
          <w:w w:val="105"/>
          <w:sz w:val="24"/>
          <w:lang w:eastAsia="en-US"/>
        </w:rPr>
        <w:t xml:space="preserve">Nga ana tjetër, </w:t>
      </w:r>
      <w:r w:rsidRPr="00B907A3">
        <w:rPr>
          <w:rFonts w:ascii="Garamond" w:eastAsia="Calibri" w:hAnsi="Garamond"/>
          <w:spacing w:val="-2"/>
          <w:w w:val="105"/>
          <w:sz w:val="24"/>
          <w:lang w:eastAsia="en-US"/>
        </w:rPr>
        <w:t xml:space="preserve">nëse pasojat e aksidenteve rrugore nuk kuptohen, është e vështirë të pritet që vendimmarrësit të jenë të gatshëm të bëjnë investime për të zvogëluar </w:t>
      </w:r>
      <w:r w:rsidR="00E43BDB" w:rsidRPr="00B907A3">
        <w:rPr>
          <w:rFonts w:ascii="Garamond" w:eastAsia="Calibri" w:hAnsi="Garamond"/>
          <w:spacing w:val="-2"/>
          <w:w w:val="105"/>
          <w:sz w:val="24"/>
          <w:lang w:eastAsia="en-US"/>
        </w:rPr>
        <w:t>risqet nga qarkullimi rrugor</w:t>
      </w:r>
      <w:r w:rsidR="006A724D" w:rsidRPr="00B907A3">
        <w:rPr>
          <w:rFonts w:ascii="Garamond" w:eastAsia="Calibri" w:hAnsi="Garamond"/>
          <w:spacing w:val="-2"/>
          <w:w w:val="105"/>
          <w:sz w:val="24"/>
          <w:lang w:eastAsia="en-US"/>
        </w:rPr>
        <w:t>.</w:t>
      </w:r>
    </w:p>
    <w:p w14:paraId="1D394AE8" w14:textId="516ED0A7" w:rsidR="00F12AA6" w:rsidRPr="00B907A3" w:rsidRDefault="00DA1071" w:rsidP="008C4E07">
      <w:pPr>
        <w:spacing w:after="0"/>
        <w:ind w:firstLine="284"/>
        <w:rPr>
          <w:rFonts w:ascii="Garamond" w:hAnsi="Garamond"/>
          <w:sz w:val="24"/>
          <w:shd w:val="clear" w:color="auto" w:fill="FFFFFF"/>
        </w:rPr>
      </w:pPr>
      <w:r w:rsidRPr="00B907A3">
        <w:rPr>
          <w:rFonts w:ascii="Garamond" w:hAnsi="Garamond"/>
          <w:sz w:val="24"/>
          <w:shd w:val="clear" w:color="auto" w:fill="FFFFFF"/>
        </w:rPr>
        <w:t>Kostot e aksidenteve në Shqipëri</w:t>
      </w:r>
      <w:r w:rsidR="00E43BDB" w:rsidRPr="00B907A3">
        <w:rPr>
          <w:rFonts w:ascii="Garamond" w:hAnsi="Garamond"/>
          <w:sz w:val="24"/>
          <w:shd w:val="clear" w:color="auto" w:fill="FFFFFF"/>
        </w:rPr>
        <w:t xml:space="preserve"> janë vlerësuar </w:t>
      </w:r>
      <w:r w:rsidRPr="00B907A3">
        <w:rPr>
          <w:rFonts w:ascii="Garamond" w:hAnsi="Garamond"/>
          <w:sz w:val="24"/>
          <w:shd w:val="clear" w:color="auto" w:fill="FFFFFF"/>
        </w:rPr>
        <w:t xml:space="preserve">në </w:t>
      </w:r>
      <w:r w:rsidR="007951BD">
        <w:rPr>
          <w:rFonts w:ascii="Garamond" w:hAnsi="Garamond"/>
          <w:sz w:val="24"/>
          <w:shd w:val="clear" w:color="auto" w:fill="FFFFFF"/>
        </w:rPr>
        <w:t>“</w:t>
      </w:r>
      <w:r w:rsidR="009D2BDF" w:rsidRPr="00B907A3">
        <w:rPr>
          <w:rFonts w:ascii="Garamond" w:hAnsi="Garamond"/>
          <w:sz w:val="24"/>
          <w:shd w:val="clear" w:color="auto" w:fill="FFFFFF"/>
        </w:rPr>
        <w:t xml:space="preserve">Udhëzimet e </w:t>
      </w:r>
      <w:r w:rsidR="00E43BDB" w:rsidRPr="00B907A3">
        <w:rPr>
          <w:rFonts w:ascii="Garamond" w:hAnsi="Garamond"/>
          <w:sz w:val="24"/>
          <w:shd w:val="clear" w:color="auto" w:fill="FFFFFF"/>
        </w:rPr>
        <w:t xml:space="preserve">Programit </w:t>
      </w:r>
      <w:r w:rsidR="009D2BDF" w:rsidRPr="00B907A3">
        <w:rPr>
          <w:rFonts w:ascii="Garamond" w:hAnsi="Garamond"/>
          <w:sz w:val="24"/>
          <w:shd w:val="clear" w:color="auto" w:fill="FFFFFF"/>
        </w:rPr>
        <w:t xml:space="preserve">të </w:t>
      </w:r>
      <w:r w:rsidR="00E43BDB" w:rsidRPr="00B907A3">
        <w:rPr>
          <w:rFonts w:ascii="Garamond" w:hAnsi="Garamond"/>
          <w:sz w:val="24"/>
          <w:shd w:val="clear" w:color="auto" w:fill="FFFFFF"/>
        </w:rPr>
        <w:t>Veprimit Masiv</w:t>
      </w:r>
      <w:r w:rsidR="007951BD">
        <w:rPr>
          <w:rFonts w:ascii="Garamond" w:hAnsi="Garamond"/>
          <w:sz w:val="24"/>
          <w:shd w:val="clear" w:color="auto" w:fill="FFFFFF"/>
        </w:rPr>
        <w:t>”</w:t>
      </w:r>
      <w:r w:rsidR="009D2BDF" w:rsidRPr="00B907A3">
        <w:rPr>
          <w:rFonts w:ascii="Garamond" w:hAnsi="Garamond"/>
          <w:sz w:val="24"/>
          <w:shd w:val="clear" w:color="auto" w:fill="FFFFFF"/>
        </w:rPr>
        <w:t xml:space="preserve"> </w:t>
      </w:r>
      <w:r w:rsidR="00E43BDB" w:rsidRPr="00B907A3">
        <w:rPr>
          <w:rFonts w:ascii="Garamond" w:hAnsi="Garamond"/>
          <w:sz w:val="24"/>
          <w:shd w:val="clear" w:color="auto" w:fill="FFFFFF"/>
        </w:rPr>
        <w:t xml:space="preserve">të hartuara </w:t>
      </w:r>
      <w:r w:rsidRPr="00B907A3">
        <w:rPr>
          <w:rFonts w:ascii="Garamond" w:hAnsi="Garamond"/>
          <w:sz w:val="24"/>
          <w:shd w:val="clear" w:color="auto" w:fill="FFFFFF"/>
        </w:rPr>
        <w:t xml:space="preserve">si </w:t>
      </w:r>
      <w:r w:rsidR="00E43BDB" w:rsidRPr="00B907A3">
        <w:rPr>
          <w:rFonts w:ascii="Garamond" w:hAnsi="Garamond"/>
          <w:sz w:val="24"/>
          <w:shd w:val="clear" w:color="auto" w:fill="FFFFFF"/>
        </w:rPr>
        <w:t xml:space="preserve">në kuadër të </w:t>
      </w:r>
      <w:r w:rsidRPr="00B907A3">
        <w:rPr>
          <w:rFonts w:ascii="Garamond" w:hAnsi="Garamond"/>
          <w:sz w:val="24"/>
          <w:shd w:val="clear" w:color="auto" w:fill="FFFFFF"/>
        </w:rPr>
        <w:t xml:space="preserve">Projektit të </w:t>
      </w:r>
      <w:r w:rsidR="00F1712D" w:rsidRPr="00B907A3">
        <w:rPr>
          <w:rFonts w:ascii="Garamond" w:hAnsi="Garamond"/>
          <w:sz w:val="24"/>
          <w:shd w:val="clear" w:color="auto" w:fill="FFFFFF"/>
        </w:rPr>
        <w:t>Bankës Botërore</w:t>
      </w:r>
      <w:r w:rsidR="00866FFC" w:rsidRPr="00B907A3">
        <w:rPr>
          <w:rFonts w:ascii="Garamond" w:hAnsi="Garamond"/>
          <w:sz w:val="24"/>
          <w:shd w:val="clear" w:color="auto" w:fill="FFFFFF"/>
        </w:rPr>
        <w:t xml:space="preserve"> e vitit</w:t>
      </w:r>
      <w:r w:rsidR="003D7B04" w:rsidRPr="00B907A3">
        <w:rPr>
          <w:rFonts w:ascii="Garamond" w:hAnsi="Garamond"/>
          <w:sz w:val="24"/>
          <w:shd w:val="clear" w:color="auto" w:fill="FFFFFF"/>
        </w:rPr>
        <w:t xml:space="preserve"> 2021</w:t>
      </w:r>
      <w:r w:rsidRPr="00B907A3">
        <w:rPr>
          <w:rFonts w:ascii="Garamond" w:hAnsi="Garamond"/>
          <w:sz w:val="24"/>
          <w:shd w:val="clear" w:color="auto" w:fill="FFFFFF"/>
        </w:rPr>
        <w:t xml:space="preserve">: </w:t>
      </w:r>
      <w:r w:rsidR="007951BD">
        <w:rPr>
          <w:rFonts w:ascii="Garamond" w:hAnsi="Garamond"/>
          <w:sz w:val="24"/>
          <w:shd w:val="clear" w:color="auto" w:fill="FFFFFF"/>
        </w:rPr>
        <w:t>“</w:t>
      </w:r>
      <w:r w:rsidRPr="00B907A3">
        <w:rPr>
          <w:rFonts w:ascii="Garamond" w:hAnsi="Garamond"/>
          <w:sz w:val="24"/>
          <w:shd w:val="clear" w:color="auto" w:fill="FFFFFF"/>
        </w:rPr>
        <w:t xml:space="preserve">Projekti i Mirëmbajtjes dhe Sigurisë Rrugore të Bazuar në Rezultate </w:t>
      </w:r>
      <w:r w:rsidR="007951BD">
        <w:rPr>
          <w:rFonts w:ascii="Garamond" w:hAnsi="Garamond"/>
          <w:sz w:val="24"/>
          <w:shd w:val="clear" w:color="auto" w:fill="FFFFFF"/>
        </w:rPr>
        <w:t>“</w:t>
      </w:r>
      <w:r w:rsidRPr="00B907A3">
        <w:rPr>
          <w:rFonts w:ascii="Garamond" w:hAnsi="Garamond"/>
          <w:sz w:val="24"/>
          <w:shd w:val="clear" w:color="auto" w:fill="FFFFFF"/>
        </w:rPr>
        <w:t xml:space="preserve"> 2021. Këto kosto u vlerësuan si më poshtë: kostoja e aksidenteve </w:t>
      </w:r>
      <w:r w:rsidR="00E43BDB" w:rsidRPr="00B907A3">
        <w:rPr>
          <w:rFonts w:ascii="Garamond" w:hAnsi="Garamond"/>
          <w:sz w:val="24"/>
          <w:shd w:val="clear" w:color="auto" w:fill="FFFFFF"/>
        </w:rPr>
        <w:t xml:space="preserve">me pasojë </w:t>
      </w:r>
      <w:r w:rsidR="009936EB" w:rsidRPr="00B907A3">
        <w:rPr>
          <w:rFonts w:ascii="Garamond" w:hAnsi="Garamond"/>
          <w:sz w:val="24"/>
          <w:shd w:val="clear" w:color="auto" w:fill="FFFFFF"/>
        </w:rPr>
        <w:t>fatale</w:t>
      </w:r>
      <w:r w:rsidRPr="00B907A3">
        <w:rPr>
          <w:rFonts w:ascii="Garamond" w:hAnsi="Garamond"/>
          <w:sz w:val="24"/>
          <w:shd w:val="clear" w:color="auto" w:fill="FFFFFF"/>
        </w:rPr>
        <w:t xml:space="preserve"> 135</w:t>
      </w:r>
      <w:r w:rsidR="008530AD" w:rsidRPr="00B907A3">
        <w:rPr>
          <w:rFonts w:ascii="Garamond" w:hAnsi="Garamond"/>
          <w:sz w:val="24"/>
          <w:shd w:val="clear" w:color="auto" w:fill="FFFFFF"/>
        </w:rPr>
        <w:t xml:space="preserve"> </w:t>
      </w:r>
      <w:r w:rsidRPr="00B907A3">
        <w:rPr>
          <w:rFonts w:ascii="Garamond" w:hAnsi="Garamond"/>
          <w:sz w:val="24"/>
          <w:shd w:val="clear" w:color="auto" w:fill="FFFFFF"/>
        </w:rPr>
        <w:t>391 EUR, e të plagosurve rëndë: 22</w:t>
      </w:r>
      <w:r w:rsidR="008530AD" w:rsidRPr="00B907A3">
        <w:rPr>
          <w:rFonts w:ascii="Garamond" w:hAnsi="Garamond"/>
          <w:sz w:val="24"/>
          <w:shd w:val="clear" w:color="auto" w:fill="FFFFFF"/>
        </w:rPr>
        <w:t xml:space="preserve"> </w:t>
      </w:r>
      <w:r w:rsidRPr="00B907A3">
        <w:rPr>
          <w:rFonts w:ascii="Garamond" w:hAnsi="Garamond"/>
          <w:sz w:val="24"/>
          <w:shd w:val="clear" w:color="auto" w:fill="FFFFFF"/>
        </w:rPr>
        <w:t>988 EUR dhe e të plagosurve lehtë: 2</w:t>
      </w:r>
      <w:r w:rsidR="008530AD" w:rsidRPr="00B907A3">
        <w:rPr>
          <w:rFonts w:ascii="Garamond" w:hAnsi="Garamond"/>
          <w:sz w:val="24"/>
          <w:shd w:val="clear" w:color="auto" w:fill="FFFFFF"/>
        </w:rPr>
        <w:t xml:space="preserve"> </w:t>
      </w:r>
      <w:r w:rsidRPr="00B907A3">
        <w:rPr>
          <w:rFonts w:ascii="Garamond" w:hAnsi="Garamond"/>
          <w:sz w:val="24"/>
          <w:shd w:val="clear" w:color="auto" w:fill="FFFFFF"/>
        </w:rPr>
        <w:t xml:space="preserve">526 EUR. </w:t>
      </w:r>
      <w:r w:rsidRPr="00B907A3">
        <w:rPr>
          <w:rFonts w:ascii="Garamond" w:hAnsi="Garamond"/>
          <w:sz w:val="24"/>
          <w:shd w:val="clear" w:color="auto" w:fill="FFFFFF"/>
        </w:rPr>
        <w:lastRenderedPageBreak/>
        <w:t xml:space="preserve">Bazuar në këto vlerësime, kostot totale të aksidenteve në Shqipëri u vlerësuan në 35.3 milionë EUR </w:t>
      </w:r>
      <w:r w:rsidR="003D7B04" w:rsidRPr="00B907A3">
        <w:rPr>
          <w:rFonts w:ascii="Garamond" w:hAnsi="Garamond"/>
          <w:sz w:val="24"/>
          <w:shd w:val="clear" w:color="auto" w:fill="FFFFFF"/>
        </w:rPr>
        <w:t>p</w:t>
      </w:r>
      <w:r w:rsidRPr="00B907A3">
        <w:rPr>
          <w:rFonts w:ascii="Garamond" w:hAnsi="Garamond"/>
          <w:sz w:val="24"/>
          <w:shd w:val="clear" w:color="auto" w:fill="FFFFFF"/>
        </w:rPr>
        <w:t>ë</w:t>
      </w:r>
      <w:r w:rsidR="003D7B04" w:rsidRPr="00B907A3">
        <w:rPr>
          <w:rFonts w:ascii="Garamond" w:hAnsi="Garamond"/>
          <w:sz w:val="24"/>
          <w:shd w:val="clear" w:color="auto" w:fill="FFFFFF"/>
        </w:rPr>
        <w:t>r</w:t>
      </w:r>
      <w:r w:rsidRPr="00B907A3">
        <w:rPr>
          <w:rFonts w:ascii="Garamond" w:hAnsi="Garamond"/>
          <w:sz w:val="24"/>
          <w:shd w:val="clear" w:color="auto" w:fill="FFFFFF"/>
        </w:rPr>
        <w:t xml:space="preserve"> vitin 2018</w:t>
      </w:r>
      <w:r w:rsidR="00F12AA6" w:rsidRPr="00B907A3">
        <w:rPr>
          <w:rFonts w:ascii="Garamond" w:hAnsi="Garamond"/>
          <w:sz w:val="24"/>
          <w:shd w:val="clear" w:color="auto" w:fill="FFFFFF"/>
        </w:rPr>
        <w:t>.</w:t>
      </w:r>
    </w:p>
    <w:p w14:paraId="7ECCABEB" w14:textId="61AF5196" w:rsidR="0073609C" w:rsidRPr="00B907A3" w:rsidRDefault="004A68CB" w:rsidP="008C4E07">
      <w:pPr>
        <w:spacing w:after="0"/>
        <w:ind w:firstLine="284"/>
        <w:rPr>
          <w:rFonts w:ascii="Garamond" w:hAnsi="Garamond"/>
          <w:sz w:val="24"/>
          <w:shd w:val="clear" w:color="auto" w:fill="FFFFFF"/>
        </w:rPr>
      </w:pPr>
      <w:r w:rsidRPr="00B907A3">
        <w:rPr>
          <w:rFonts w:ascii="Garamond" w:hAnsi="Garamond"/>
          <w:sz w:val="24"/>
          <w:shd w:val="clear" w:color="auto" w:fill="FFFFFF"/>
        </w:rPr>
        <w:t xml:space="preserve">Ka </w:t>
      </w:r>
      <w:r w:rsidR="00DA1071" w:rsidRPr="00B907A3">
        <w:rPr>
          <w:rFonts w:ascii="Garamond" w:hAnsi="Garamond"/>
          <w:sz w:val="24"/>
          <w:shd w:val="clear" w:color="auto" w:fill="FFFFFF"/>
        </w:rPr>
        <w:t xml:space="preserve">metoda </w:t>
      </w:r>
      <w:r w:rsidRPr="00B907A3">
        <w:rPr>
          <w:rFonts w:ascii="Garamond" w:hAnsi="Garamond"/>
          <w:sz w:val="24"/>
          <w:shd w:val="clear" w:color="auto" w:fill="FFFFFF"/>
        </w:rPr>
        <w:t xml:space="preserve">të njohura </w:t>
      </w:r>
      <w:r w:rsidR="00C052FB" w:rsidRPr="00B907A3">
        <w:rPr>
          <w:rFonts w:ascii="Garamond" w:hAnsi="Garamond"/>
          <w:sz w:val="24"/>
          <w:shd w:val="clear" w:color="auto" w:fill="FFFFFF"/>
        </w:rPr>
        <w:t xml:space="preserve">gjerësisht </w:t>
      </w:r>
      <w:r w:rsidR="00DA1071" w:rsidRPr="00B907A3">
        <w:rPr>
          <w:rFonts w:ascii="Garamond" w:hAnsi="Garamond"/>
          <w:sz w:val="24"/>
          <w:shd w:val="clear" w:color="auto" w:fill="FFFFFF"/>
        </w:rPr>
        <w:t xml:space="preserve">për vlerësimin e kostove ekonomike. Modeli i parë është </w:t>
      </w:r>
      <w:r w:rsidR="003077C3" w:rsidRPr="00B907A3">
        <w:rPr>
          <w:rFonts w:ascii="Garamond" w:hAnsi="Garamond"/>
          <w:sz w:val="24"/>
          <w:shd w:val="clear" w:color="auto" w:fill="FFFFFF"/>
        </w:rPr>
        <w:t xml:space="preserve">hartuar </w:t>
      </w:r>
      <w:r w:rsidR="00DA1071" w:rsidRPr="00B907A3">
        <w:rPr>
          <w:rFonts w:ascii="Garamond" w:hAnsi="Garamond"/>
          <w:sz w:val="24"/>
          <w:shd w:val="clear" w:color="auto" w:fill="FFFFFF"/>
        </w:rPr>
        <w:t>nga Programi Ndërkombëtar i Vlerësimit të Rrugëve (</w:t>
      </w:r>
      <w:r w:rsidR="003077C3" w:rsidRPr="00B907A3">
        <w:rPr>
          <w:rFonts w:ascii="Garamond" w:hAnsi="Garamond"/>
          <w:sz w:val="24"/>
          <w:shd w:val="clear" w:color="auto" w:fill="FFFFFF"/>
        </w:rPr>
        <w:t>iRAP</w:t>
      </w:r>
      <w:r w:rsidR="00DA1071" w:rsidRPr="00B907A3">
        <w:rPr>
          <w:rFonts w:ascii="Garamond" w:hAnsi="Garamond"/>
          <w:sz w:val="24"/>
          <w:shd w:val="clear" w:color="auto" w:fill="FFFFFF"/>
        </w:rPr>
        <w:t xml:space="preserve">) dhe </w:t>
      </w:r>
      <w:r w:rsidR="00707726" w:rsidRPr="00B907A3">
        <w:rPr>
          <w:rFonts w:ascii="Garamond" w:hAnsi="Garamond"/>
          <w:sz w:val="24"/>
          <w:shd w:val="clear" w:color="auto" w:fill="FFFFFF"/>
        </w:rPr>
        <w:t xml:space="preserve">Instrumenti Global për Sigurinë Rrugore i Bankës Botërore </w:t>
      </w:r>
      <w:r w:rsidR="00DA1071" w:rsidRPr="00B907A3">
        <w:rPr>
          <w:rFonts w:ascii="Garamond" w:hAnsi="Garamond"/>
          <w:sz w:val="24"/>
          <w:shd w:val="clear" w:color="auto" w:fill="FFFFFF"/>
        </w:rPr>
        <w:t xml:space="preserve">dhe i dyti, në kuadër të Projektit të financuar nga BE: </w:t>
      </w:r>
      <w:r w:rsidR="007951BD">
        <w:rPr>
          <w:rFonts w:ascii="Garamond" w:hAnsi="Garamond"/>
          <w:sz w:val="24"/>
          <w:shd w:val="clear" w:color="auto" w:fill="FFFFFF"/>
        </w:rPr>
        <w:t>“</w:t>
      </w:r>
      <w:r w:rsidR="00DA1071" w:rsidRPr="007951BD">
        <w:rPr>
          <w:rFonts w:ascii="Garamond" w:hAnsi="Garamond"/>
          <w:i/>
          <w:sz w:val="24"/>
          <w:shd w:val="clear" w:color="auto" w:fill="FFFFFF"/>
        </w:rPr>
        <w:t>SafetyCube</w:t>
      </w:r>
      <w:r w:rsidR="007951BD">
        <w:rPr>
          <w:rFonts w:ascii="Garamond" w:hAnsi="Garamond"/>
          <w:sz w:val="24"/>
          <w:shd w:val="clear" w:color="auto" w:fill="FFFFFF"/>
        </w:rPr>
        <w:t>”</w:t>
      </w:r>
      <w:r w:rsidR="00DA1071" w:rsidRPr="00B907A3">
        <w:rPr>
          <w:rFonts w:ascii="Garamond" w:hAnsi="Garamond"/>
          <w:sz w:val="24"/>
          <w:shd w:val="clear" w:color="auto" w:fill="FFFFFF"/>
        </w:rPr>
        <w:t xml:space="preserve"> (2017) i cili është konfirmuar në Manualin e KE-së mbi kostot e jashtme të transportit (2019). Sipas modelit </w:t>
      </w:r>
      <w:r w:rsidR="003077C3" w:rsidRPr="00B907A3">
        <w:rPr>
          <w:rFonts w:ascii="Garamond" w:hAnsi="Garamond"/>
          <w:sz w:val="24"/>
          <w:shd w:val="clear" w:color="auto" w:fill="FFFFFF"/>
        </w:rPr>
        <w:t>iRAP</w:t>
      </w:r>
      <w:r w:rsidR="00EF7B48" w:rsidRPr="00B907A3">
        <w:rPr>
          <w:rStyle w:val="FootnoteReference"/>
          <w:rFonts w:ascii="Garamond" w:hAnsi="Garamond"/>
          <w:sz w:val="24"/>
          <w:shd w:val="clear" w:color="auto" w:fill="FFFFFF"/>
        </w:rPr>
        <w:footnoteReference w:id="2"/>
      </w:r>
      <w:r w:rsidR="00DA1071" w:rsidRPr="00B907A3">
        <w:rPr>
          <w:rFonts w:ascii="Garamond" w:hAnsi="Garamond"/>
          <w:sz w:val="24"/>
          <w:shd w:val="clear" w:color="auto" w:fill="FFFFFF"/>
        </w:rPr>
        <w:t xml:space="preserve">, një kosto e vlerësuar e aksidenteve rrugore (vlerat </w:t>
      </w:r>
      <w:r w:rsidR="002A3CB7" w:rsidRPr="00B907A3">
        <w:rPr>
          <w:rFonts w:ascii="Garamond" w:hAnsi="Garamond"/>
          <w:sz w:val="24"/>
          <w:shd w:val="clear" w:color="auto" w:fill="FFFFFF"/>
        </w:rPr>
        <w:t>nominale</w:t>
      </w:r>
      <w:r w:rsidR="00DA1071" w:rsidRPr="00B907A3">
        <w:rPr>
          <w:rFonts w:ascii="Garamond" w:hAnsi="Garamond"/>
          <w:sz w:val="24"/>
          <w:shd w:val="clear" w:color="auto" w:fill="FFFFFF"/>
        </w:rPr>
        <w:t xml:space="preserve">) në Shqipëri duke përdorur Produktin e Brendshëm Bruto/frymë për vitin 2023 dhe të dhënat në lidhje me </w:t>
      </w:r>
      <w:r w:rsidR="00A3623E" w:rsidRPr="00B907A3">
        <w:rPr>
          <w:rFonts w:ascii="Garamond" w:hAnsi="Garamond"/>
          <w:sz w:val="24"/>
          <w:shd w:val="clear" w:color="auto" w:fill="FFFFFF"/>
        </w:rPr>
        <w:t>fatalitetet</w:t>
      </w:r>
      <w:r w:rsidR="003077C3" w:rsidRPr="00B907A3">
        <w:rPr>
          <w:rFonts w:ascii="Garamond" w:hAnsi="Garamond"/>
          <w:sz w:val="24"/>
          <w:shd w:val="clear" w:color="auto" w:fill="FFFFFF"/>
        </w:rPr>
        <w:t xml:space="preserve"> </w:t>
      </w:r>
      <w:r w:rsidR="00DA1071" w:rsidRPr="00B907A3">
        <w:rPr>
          <w:rFonts w:ascii="Garamond" w:hAnsi="Garamond"/>
          <w:sz w:val="24"/>
          <w:shd w:val="clear" w:color="auto" w:fill="FFFFFF"/>
        </w:rPr>
        <w:t xml:space="preserve">dhe personat e plagosur rëndë vlerësohen në 413 milionë dollarë amerikanë, që është rreth 1.7% e </w:t>
      </w:r>
      <w:r w:rsidR="00944D6B" w:rsidRPr="00B907A3">
        <w:rPr>
          <w:rFonts w:ascii="Garamond" w:hAnsi="Garamond"/>
          <w:sz w:val="24"/>
          <w:shd w:val="clear" w:color="auto" w:fill="FFFFFF"/>
        </w:rPr>
        <w:t>PBB</w:t>
      </w:r>
      <w:r w:rsidR="00DA1071" w:rsidRPr="00B907A3">
        <w:rPr>
          <w:rFonts w:ascii="Garamond" w:hAnsi="Garamond"/>
          <w:sz w:val="24"/>
          <w:shd w:val="clear" w:color="auto" w:fill="FFFFFF"/>
        </w:rPr>
        <w:t xml:space="preserve">-së. </w:t>
      </w:r>
    </w:p>
    <w:p w14:paraId="26B1DED8" w14:textId="3738B0D4" w:rsidR="00043D4C" w:rsidRPr="00B907A3" w:rsidRDefault="00DA1071" w:rsidP="008C4E07">
      <w:pPr>
        <w:spacing w:after="0"/>
        <w:ind w:firstLine="284"/>
        <w:rPr>
          <w:rFonts w:ascii="Garamond" w:hAnsi="Garamond"/>
          <w:sz w:val="24"/>
        </w:rPr>
      </w:pPr>
      <w:r w:rsidRPr="00B907A3">
        <w:rPr>
          <w:rFonts w:ascii="Garamond" w:hAnsi="Garamond"/>
          <w:sz w:val="24"/>
        </w:rPr>
        <w:t xml:space="preserve">Për më tepër, metodologjia e përdorur në </w:t>
      </w:r>
      <w:r w:rsidR="003077C3" w:rsidRPr="00B907A3">
        <w:rPr>
          <w:rFonts w:ascii="Garamond" w:hAnsi="Garamond"/>
          <w:sz w:val="24"/>
        </w:rPr>
        <w:t xml:space="preserve">vendet e </w:t>
      </w:r>
      <w:r w:rsidRPr="00B907A3">
        <w:rPr>
          <w:rFonts w:ascii="Garamond" w:hAnsi="Garamond"/>
          <w:sz w:val="24"/>
        </w:rPr>
        <w:t>BE</w:t>
      </w:r>
      <w:r w:rsidR="003077C3" w:rsidRPr="00B907A3">
        <w:rPr>
          <w:rFonts w:ascii="Garamond" w:hAnsi="Garamond"/>
          <w:sz w:val="24"/>
        </w:rPr>
        <w:t>-së</w:t>
      </w:r>
      <w:r w:rsidR="006D52BD" w:rsidRPr="00B907A3">
        <w:rPr>
          <w:rStyle w:val="FootnoteReference"/>
          <w:rFonts w:ascii="Garamond" w:hAnsi="Garamond"/>
          <w:sz w:val="24"/>
        </w:rPr>
        <w:footnoteReference w:id="3"/>
      </w:r>
      <w:r w:rsidRPr="00B907A3">
        <w:rPr>
          <w:rFonts w:ascii="Garamond" w:hAnsi="Garamond"/>
          <w:sz w:val="24"/>
        </w:rPr>
        <w:t xml:space="preserve"> tregon vlerësime dukshëm më të larta, pasi, sipas metodologjisë së pranuar nga BE, niveli i kostove ekonomike vjetore </w:t>
      </w:r>
      <w:r w:rsidR="006B19A1" w:rsidRPr="00B907A3">
        <w:rPr>
          <w:rFonts w:ascii="Garamond" w:hAnsi="Garamond"/>
          <w:sz w:val="24"/>
        </w:rPr>
        <w:t xml:space="preserve">në Shqipëri </w:t>
      </w:r>
      <w:r w:rsidRPr="00B907A3">
        <w:rPr>
          <w:rFonts w:ascii="Garamond" w:hAnsi="Garamond"/>
          <w:sz w:val="24"/>
        </w:rPr>
        <w:t>vlerësohet në 2</w:t>
      </w:r>
      <w:r w:rsidR="00883A6C" w:rsidRPr="00B907A3">
        <w:rPr>
          <w:rFonts w:ascii="Garamond" w:hAnsi="Garamond"/>
          <w:sz w:val="24"/>
        </w:rPr>
        <w:t xml:space="preserve"> </w:t>
      </w:r>
      <w:r w:rsidRPr="00B907A3">
        <w:rPr>
          <w:rFonts w:ascii="Garamond" w:hAnsi="Garamond"/>
          <w:sz w:val="24"/>
        </w:rPr>
        <w:t>224</w:t>
      </w:r>
      <w:r w:rsidR="00883A6C" w:rsidRPr="00B907A3">
        <w:rPr>
          <w:rFonts w:ascii="Garamond" w:hAnsi="Garamond"/>
          <w:sz w:val="24"/>
        </w:rPr>
        <w:t xml:space="preserve"> </w:t>
      </w:r>
      <w:r w:rsidRPr="00B907A3">
        <w:rPr>
          <w:rFonts w:ascii="Garamond" w:hAnsi="Garamond"/>
          <w:sz w:val="24"/>
        </w:rPr>
        <w:t>851</w:t>
      </w:r>
      <w:r w:rsidR="00AC2D1B" w:rsidRPr="00B907A3">
        <w:rPr>
          <w:rFonts w:ascii="Garamond" w:hAnsi="Garamond"/>
          <w:sz w:val="24"/>
        </w:rPr>
        <w:t xml:space="preserve"> </w:t>
      </w:r>
      <w:r w:rsidRPr="00B907A3">
        <w:rPr>
          <w:rFonts w:ascii="Garamond" w:hAnsi="Garamond"/>
          <w:sz w:val="24"/>
        </w:rPr>
        <w:t xml:space="preserve">419 dollarë amerikanë, që është rreth 9% e </w:t>
      </w:r>
      <w:r w:rsidR="00944D6B" w:rsidRPr="00B907A3">
        <w:rPr>
          <w:rFonts w:ascii="Garamond" w:hAnsi="Garamond"/>
          <w:sz w:val="24"/>
        </w:rPr>
        <w:t>PBB</w:t>
      </w:r>
      <w:r w:rsidR="006D52BD" w:rsidRPr="00B907A3">
        <w:rPr>
          <w:rFonts w:ascii="Garamond" w:hAnsi="Garamond"/>
          <w:sz w:val="24"/>
        </w:rPr>
        <w:t xml:space="preserve"> </w:t>
      </w:r>
      <w:r w:rsidRPr="00B907A3">
        <w:rPr>
          <w:rFonts w:ascii="Garamond" w:hAnsi="Garamond"/>
          <w:sz w:val="24"/>
        </w:rPr>
        <w:t>-s</w:t>
      </w:r>
      <w:bookmarkStart w:id="9" w:name="_Hlk204947247"/>
      <w:r w:rsidRPr="00B907A3">
        <w:rPr>
          <w:rFonts w:ascii="Garamond" w:hAnsi="Garamond"/>
          <w:sz w:val="24"/>
        </w:rPr>
        <w:t>ë</w:t>
      </w:r>
      <w:bookmarkEnd w:id="9"/>
      <w:r w:rsidRPr="00B907A3">
        <w:rPr>
          <w:rFonts w:ascii="Garamond" w:hAnsi="Garamond"/>
          <w:sz w:val="24"/>
        </w:rPr>
        <w:t xml:space="preserve"> dhe mbi pesë herë më i lartë se vlerat e modelit të vlerësimit </w:t>
      </w:r>
      <w:r w:rsidR="00396D90" w:rsidRPr="00B907A3">
        <w:rPr>
          <w:rFonts w:ascii="Garamond" w:hAnsi="Garamond"/>
          <w:sz w:val="24"/>
        </w:rPr>
        <w:t>iRAP</w:t>
      </w:r>
      <w:r w:rsidR="00043D4C" w:rsidRPr="00B907A3">
        <w:rPr>
          <w:rFonts w:ascii="Garamond" w:hAnsi="Garamond"/>
          <w:sz w:val="24"/>
        </w:rPr>
        <w:t>.</w:t>
      </w:r>
      <w:r w:rsidR="00887CC6">
        <w:rPr>
          <w:rFonts w:ascii="Garamond" w:hAnsi="Garamond"/>
          <w:sz w:val="24"/>
        </w:rPr>
        <w:t xml:space="preserve"> </w:t>
      </w:r>
    </w:p>
    <w:p w14:paraId="12E1D8BC" w14:textId="0313EB56" w:rsidR="00043D4C" w:rsidRPr="00B907A3" w:rsidRDefault="00DA1071" w:rsidP="008C4E07">
      <w:pPr>
        <w:spacing w:after="0"/>
        <w:ind w:firstLine="284"/>
        <w:rPr>
          <w:rFonts w:ascii="Garamond" w:hAnsi="Garamond"/>
          <w:sz w:val="24"/>
        </w:rPr>
      </w:pPr>
      <w:r w:rsidRPr="00B907A3">
        <w:rPr>
          <w:rFonts w:ascii="Garamond" w:hAnsi="Garamond"/>
          <w:sz w:val="24"/>
        </w:rPr>
        <w:t xml:space="preserve">Përpjekjet e koordinuara për të zvogëluar aksidentet rrugore jo vetëm që do të lejojnë shpëtimin e jetëve njerëzore, por gjithashtu do të kursejnë një sasi të konsiderueshme parash për vendin dhe këto kursime mund të përdoren për të përmirësuar </w:t>
      </w:r>
      <w:r w:rsidR="00396D90" w:rsidRPr="00B907A3">
        <w:rPr>
          <w:rFonts w:ascii="Garamond" w:hAnsi="Garamond"/>
          <w:sz w:val="24"/>
        </w:rPr>
        <w:t xml:space="preserve">sektorë kyç si </w:t>
      </w:r>
      <w:r w:rsidRPr="00B907A3">
        <w:rPr>
          <w:rFonts w:ascii="Garamond" w:hAnsi="Garamond"/>
          <w:sz w:val="24"/>
        </w:rPr>
        <w:t xml:space="preserve">arsimi, </w:t>
      </w:r>
      <w:r w:rsidR="00396D90" w:rsidRPr="00B907A3">
        <w:rPr>
          <w:rFonts w:ascii="Garamond" w:hAnsi="Garamond"/>
          <w:sz w:val="24"/>
        </w:rPr>
        <w:t xml:space="preserve">kujdesi </w:t>
      </w:r>
      <w:r w:rsidRPr="00B907A3">
        <w:rPr>
          <w:rFonts w:ascii="Garamond" w:hAnsi="Garamond"/>
          <w:sz w:val="24"/>
        </w:rPr>
        <w:t>shëndetës</w:t>
      </w:r>
      <w:r w:rsidR="00396D90" w:rsidRPr="00B907A3">
        <w:rPr>
          <w:rFonts w:ascii="Garamond" w:hAnsi="Garamond"/>
          <w:sz w:val="24"/>
        </w:rPr>
        <w:t>or,</w:t>
      </w:r>
      <w:r w:rsidRPr="00B907A3">
        <w:rPr>
          <w:rFonts w:ascii="Garamond" w:hAnsi="Garamond"/>
          <w:sz w:val="24"/>
        </w:rPr>
        <w:t xml:space="preserve"> etj. Prandaj, të gjitha rekomandimet/ndërhyrjet prioritare të propozuara brenda </w:t>
      </w:r>
      <w:r w:rsidR="000B1794" w:rsidRPr="00B907A3">
        <w:rPr>
          <w:rFonts w:ascii="Garamond" w:hAnsi="Garamond"/>
          <w:sz w:val="24"/>
        </w:rPr>
        <w:t>P</w:t>
      </w:r>
      <w:r w:rsidR="00275DF2" w:rsidRPr="00B907A3">
        <w:rPr>
          <w:rFonts w:ascii="Garamond" w:hAnsi="Garamond"/>
          <w:sz w:val="24"/>
        </w:rPr>
        <w:t xml:space="preserve">lanit </w:t>
      </w:r>
      <w:r w:rsidR="000B1794" w:rsidRPr="00B907A3">
        <w:rPr>
          <w:rFonts w:ascii="Garamond" w:hAnsi="Garamond"/>
          <w:sz w:val="24"/>
        </w:rPr>
        <w:t>V</w:t>
      </w:r>
      <w:r w:rsidR="00275DF2" w:rsidRPr="00B907A3">
        <w:rPr>
          <w:rFonts w:ascii="Garamond" w:hAnsi="Garamond"/>
          <w:sz w:val="24"/>
        </w:rPr>
        <w:t xml:space="preserve">eprimit </w:t>
      </w:r>
      <w:r w:rsidR="000B1794" w:rsidRPr="00B907A3">
        <w:rPr>
          <w:rFonts w:ascii="Garamond" w:hAnsi="Garamond"/>
          <w:sz w:val="24"/>
        </w:rPr>
        <w:t>S</w:t>
      </w:r>
      <w:r w:rsidR="00275DF2" w:rsidRPr="00B907A3">
        <w:rPr>
          <w:rFonts w:ascii="Garamond" w:hAnsi="Garamond"/>
          <w:sz w:val="24"/>
        </w:rPr>
        <w:t xml:space="preserve">igurisë </w:t>
      </w:r>
      <w:r w:rsidR="000B1794" w:rsidRPr="00B907A3">
        <w:rPr>
          <w:rFonts w:ascii="Garamond" w:hAnsi="Garamond"/>
          <w:sz w:val="24"/>
        </w:rPr>
        <w:t>R</w:t>
      </w:r>
      <w:r w:rsidR="00F92C82" w:rsidRPr="00B907A3">
        <w:rPr>
          <w:rFonts w:ascii="Garamond" w:hAnsi="Garamond"/>
          <w:sz w:val="24"/>
        </w:rPr>
        <w:t>r</w:t>
      </w:r>
      <w:r w:rsidR="00275DF2" w:rsidRPr="00B907A3">
        <w:rPr>
          <w:rFonts w:ascii="Garamond" w:hAnsi="Garamond"/>
          <w:sz w:val="24"/>
        </w:rPr>
        <w:t>ugore</w:t>
      </w:r>
      <w:r w:rsidRPr="00B907A3">
        <w:rPr>
          <w:rFonts w:ascii="Garamond" w:hAnsi="Garamond"/>
          <w:sz w:val="24"/>
        </w:rPr>
        <w:t xml:space="preserve"> duhet të zbatohen, duke pasur parasysh këtë përfitim shtesë dhe një potencial të madh për kursime</w:t>
      </w:r>
      <w:r w:rsidR="0062120C" w:rsidRPr="00B907A3">
        <w:rPr>
          <w:rFonts w:ascii="Garamond" w:hAnsi="Garamond"/>
          <w:sz w:val="24"/>
        </w:rPr>
        <w:t>.</w:t>
      </w:r>
      <w:r w:rsidR="00043D4C" w:rsidRPr="00B907A3">
        <w:rPr>
          <w:rFonts w:ascii="Garamond" w:hAnsi="Garamond"/>
          <w:sz w:val="24"/>
        </w:rPr>
        <w:t xml:space="preserve"> </w:t>
      </w:r>
    </w:p>
    <w:p w14:paraId="7D446D0D" w14:textId="3354518B" w:rsidR="00043D4C" w:rsidRPr="00B907A3" w:rsidRDefault="001C5C7E" w:rsidP="008C4E07">
      <w:pPr>
        <w:spacing w:after="0"/>
        <w:ind w:firstLine="284"/>
        <w:rPr>
          <w:rFonts w:ascii="Garamond" w:hAnsi="Garamond"/>
          <w:sz w:val="24"/>
        </w:rPr>
      </w:pPr>
      <w:r w:rsidRPr="00B907A3">
        <w:rPr>
          <w:rFonts w:ascii="Garamond" w:hAnsi="Garamond"/>
          <w:sz w:val="24"/>
        </w:rPr>
        <w:t xml:space="preserve">Analiza e kostove </w:t>
      </w:r>
      <w:r w:rsidR="00DA1071" w:rsidRPr="00B907A3">
        <w:rPr>
          <w:rFonts w:ascii="Garamond" w:hAnsi="Garamond"/>
          <w:sz w:val="24"/>
        </w:rPr>
        <w:t>socio-ekonomike të aksidenteve rrugore</w:t>
      </w:r>
      <w:r w:rsidR="00DA1071" w:rsidRPr="00B907A3">
        <w:rPr>
          <w:rFonts w:ascii="Garamond" w:hAnsi="Garamond"/>
          <w:b/>
          <w:bCs/>
          <w:sz w:val="24"/>
        </w:rPr>
        <w:t xml:space="preserve"> </w:t>
      </w:r>
      <w:r w:rsidR="00127DF0" w:rsidRPr="00B907A3">
        <w:rPr>
          <w:rFonts w:ascii="Garamond" w:hAnsi="Garamond"/>
          <w:sz w:val="24"/>
        </w:rPr>
        <w:t xml:space="preserve">përdoret si bazë </w:t>
      </w:r>
      <w:r w:rsidR="00951BF3" w:rsidRPr="00B907A3">
        <w:rPr>
          <w:rFonts w:ascii="Garamond" w:hAnsi="Garamond"/>
          <w:sz w:val="24"/>
        </w:rPr>
        <w:t>për analizat e ardhshme që do sjellin masat përmirësuese</w:t>
      </w:r>
      <w:r w:rsidR="00704BEC" w:rsidRPr="00B907A3">
        <w:rPr>
          <w:rFonts w:ascii="Garamond" w:eastAsia="Calibri" w:hAnsi="Garamond"/>
          <w:spacing w:val="-2"/>
          <w:w w:val="105"/>
          <w:sz w:val="24"/>
          <w:lang w:eastAsia="en-US"/>
        </w:rPr>
        <w:t>.</w:t>
      </w:r>
      <w:r w:rsidR="00043D4C" w:rsidRPr="00B907A3">
        <w:rPr>
          <w:rFonts w:ascii="Garamond" w:hAnsi="Garamond"/>
          <w:sz w:val="24"/>
        </w:rPr>
        <w:t xml:space="preserve"> </w:t>
      </w:r>
    </w:p>
    <w:p w14:paraId="3B51AAD8" w14:textId="5D8C1A30" w:rsidR="00A43B48" w:rsidRPr="00B907A3" w:rsidRDefault="00A03CA0" w:rsidP="008C4E07">
      <w:pPr>
        <w:pStyle w:val="Heading2"/>
        <w:numPr>
          <w:ilvl w:val="0"/>
          <w:numId w:val="0"/>
        </w:numPr>
        <w:spacing w:after="0"/>
        <w:ind w:firstLine="284"/>
        <w:rPr>
          <w:rFonts w:ascii="Garamond" w:hAnsi="Garamond"/>
          <w:color w:val="auto"/>
          <w:lang w:val="sq-AL"/>
        </w:rPr>
      </w:pPr>
      <w:bookmarkStart w:id="10" w:name="_Toc208840556"/>
      <w:r w:rsidRPr="00B907A3">
        <w:rPr>
          <w:rFonts w:ascii="Garamond" w:hAnsi="Garamond"/>
          <w:color w:val="auto"/>
          <w:lang w:val="sq-AL"/>
        </w:rPr>
        <w:t xml:space="preserve">1.2 </w:t>
      </w:r>
      <w:r w:rsidR="00DA1071" w:rsidRPr="00B907A3">
        <w:rPr>
          <w:rFonts w:ascii="Garamond" w:hAnsi="Garamond"/>
          <w:color w:val="auto"/>
          <w:lang w:val="sq-AL"/>
        </w:rPr>
        <w:t>Mësimet e nxjerra nga Strategjia e parë e Sigurisë Rrugore e Shqipërisë</w:t>
      </w:r>
      <w:bookmarkEnd w:id="10"/>
    </w:p>
    <w:p w14:paraId="5AA8E211" w14:textId="598F01C3" w:rsidR="003D462C" w:rsidRPr="00B907A3" w:rsidRDefault="005B413A" w:rsidP="008C4E07">
      <w:pPr>
        <w:spacing w:after="0"/>
        <w:ind w:firstLine="284"/>
        <w:rPr>
          <w:rFonts w:ascii="Garamond" w:hAnsi="Garamond"/>
          <w:sz w:val="24"/>
        </w:rPr>
      </w:pPr>
      <w:r w:rsidRPr="00B907A3">
        <w:rPr>
          <w:rFonts w:ascii="Garamond" w:hAnsi="Garamond"/>
          <w:sz w:val="24"/>
        </w:rPr>
        <w:t>SSR</w:t>
      </w:r>
      <w:r w:rsidR="000606E6" w:rsidRPr="00B907A3">
        <w:rPr>
          <w:rFonts w:ascii="Garamond" w:hAnsi="Garamond"/>
          <w:sz w:val="24"/>
        </w:rPr>
        <w:t>r</w:t>
      </w:r>
      <w:r w:rsidR="00DA1071" w:rsidRPr="00B907A3">
        <w:rPr>
          <w:rFonts w:ascii="Garamond" w:hAnsi="Garamond"/>
          <w:sz w:val="24"/>
        </w:rPr>
        <w:t xml:space="preserve"> e parë u përgatit në vitin 2010 me mbështetjen e Bankës Botërore dhe konsulencë</w:t>
      </w:r>
      <w:r w:rsidR="00BD19C2" w:rsidRPr="00B907A3">
        <w:rPr>
          <w:rFonts w:ascii="Garamond" w:hAnsi="Garamond"/>
          <w:sz w:val="24"/>
        </w:rPr>
        <w:t xml:space="preserve">n e </w:t>
      </w:r>
      <w:r w:rsidR="00DA1071" w:rsidRPr="007951BD">
        <w:rPr>
          <w:rFonts w:ascii="Garamond" w:hAnsi="Garamond"/>
          <w:i/>
          <w:sz w:val="24"/>
        </w:rPr>
        <w:t>SweRoad</w:t>
      </w:r>
      <w:r w:rsidR="00DA1071" w:rsidRPr="00B907A3">
        <w:rPr>
          <w:rFonts w:ascii="Garamond" w:hAnsi="Garamond"/>
          <w:sz w:val="24"/>
        </w:rPr>
        <w:t xml:space="preserve">. </w:t>
      </w:r>
      <w:r w:rsidRPr="00B907A3">
        <w:rPr>
          <w:rFonts w:ascii="Garamond" w:hAnsi="Garamond"/>
          <w:sz w:val="24"/>
        </w:rPr>
        <w:t>SS</w:t>
      </w:r>
      <w:r w:rsidR="00BD19C2" w:rsidRPr="00B907A3">
        <w:rPr>
          <w:rFonts w:ascii="Garamond" w:hAnsi="Garamond"/>
          <w:sz w:val="24"/>
        </w:rPr>
        <w:t>R</w:t>
      </w:r>
      <w:r w:rsidR="000606E6" w:rsidRPr="00B907A3">
        <w:rPr>
          <w:rFonts w:ascii="Garamond" w:hAnsi="Garamond"/>
          <w:sz w:val="24"/>
        </w:rPr>
        <w:t>r</w:t>
      </w:r>
      <w:r w:rsidR="00DA1071" w:rsidRPr="00B907A3">
        <w:rPr>
          <w:rFonts w:ascii="Garamond" w:hAnsi="Garamond"/>
          <w:sz w:val="24"/>
        </w:rPr>
        <w:t xml:space="preserve"> mbështetet në udhëzimet e dhëna në Strategjinë e parë Rajonale </w:t>
      </w:r>
      <w:r w:rsidR="00BD19C2" w:rsidRPr="00B907A3">
        <w:rPr>
          <w:rFonts w:ascii="Garamond" w:hAnsi="Garamond"/>
          <w:sz w:val="24"/>
        </w:rPr>
        <w:t>p</w:t>
      </w:r>
      <w:r w:rsidR="00DA1071" w:rsidRPr="00B907A3">
        <w:rPr>
          <w:rFonts w:ascii="Garamond" w:hAnsi="Garamond"/>
          <w:sz w:val="24"/>
        </w:rPr>
        <w:t>ë</w:t>
      </w:r>
      <w:r w:rsidR="00BD19C2" w:rsidRPr="00B907A3">
        <w:rPr>
          <w:rFonts w:ascii="Garamond" w:hAnsi="Garamond"/>
          <w:sz w:val="24"/>
        </w:rPr>
        <w:t>r</w:t>
      </w:r>
      <w:r w:rsidR="00DA1071" w:rsidRPr="00B907A3">
        <w:rPr>
          <w:rFonts w:ascii="Garamond" w:hAnsi="Garamond"/>
          <w:sz w:val="24"/>
        </w:rPr>
        <w:t xml:space="preserve"> Siguri</w:t>
      </w:r>
      <w:r w:rsidR="00BD19C2" w:rsidRPr="00B907A3">
        <w:rPr>
          <w:rFonts w:ascii="Garamond" w:hAnsi="Garamond"/>
          <w:sz w:val="24"/>
        </w:rPr>
        <w:t>n</w:t>
      </w:r>
      <w:r w:rsidR="00DA1071" w:rsidRPr="00B907A3">
        <w:rPr>
          <w:rFonts w:ascii="Garamond" w:hAnsi="Garamond"/>
          <w:sz w:val="24"/>
        </w:rPr>
        <w:t>ë Rrugore</w:t>
      </w:r>
      <w:r w:rsidR="006D52BD" w:rsidRPr="00B907A3">
        <w:rPr>
          <w:rFonts w:ascii="Garamond" w:hAnsi="Garamond"/>
          <w:sz w:val="24"/>
        </w:rPr>
        <w:t xml:space="preserve">, </w:t>
      </w:r>
      <w:r w:rsidR="00DA1071" w:rsidRPr="00B907A3">
        <w:rPr>
          <w:rFonts w:ascii="Garamond" w:hAnsi="Garamond"/>
          <w:sz w:val="24"/>
        </w:rPr>
        <w:t xml:space="preserve">të </w:t>
      </w:r>
      <w:r w:rsidR="00BD19C2" w:rsidRPr="00B907A3">
        <w:rPr>
          <w:rFonts w:ascii="Garamond" w:hAnsi="Garamond"/>
          <w:sz w:val="24"/>
        </w:rPr>
        <w:t xml:space="preserve">hartuar </w:t>
      </w:r>
      <w:r w:rsidR="00DA1071" w:rsidRPr="00B907A3">
        <w:rPr>
          <w:rFonts w:ascii="Garamond" w:hAnsi="Garamond"/>
          <w:sz w:val="24"/>
        </w:rPr>
        <w:t>nga Projekti SEETO</w:t>
      </w:r>
      <w:r w:rsidR="00275DF2" w:rsidRPr="00B907A3">
        <w:rPr>
          <w:rFonts w:ascii="Garamond" w:hAnsi="Garamond"/>
          <w:sz w:val="24"/>
        </w:rPr>
        <w:t xml:space="preserve"> (</w:t>
      </w:r>
      <w:r w:rsidR="00461EF1" w:rsidRPr="00B907A3">
        <w:rPr>
          <w:rFonts w:ascii="Garamond" w:hAnsi="Garamond"/>
          <w:sz w:val="24"/>
        </w:rPr>
        <w:t>Observatori Evropian i Transportit për Evropën Juglindore)</w:t>
      </w:r>
      <w:r w:rsidR="00DA1071" w:rsidRPr="00B907A3">
        <w:rPr>
          <w:rFonts w:ascii="Garamond" w:hAnsi="Garamond"/>
          <w:sz w:val="24"/>
        </w:rPr>
        <w:t xml:space="preserve">, si dhe në dokumentet ndërkombëtare që lidhen me sigurinë rrugore. Kjo ishte një qasje e përshtatur që përdori </w:t>
      </w:r>
      <w:r w:rsidR="007951BD">
        <w:rPr>
          <w:rFonts w:ascii="Garamond" w:hAnsi="Garamond"/>
          <w:sz w:val="24"/>
          <w:u w:val="single"/>
        </w:rPr>
        <w:t>“</w:t>
      </w:r>
      <w:r w:rsidR="00DA1071" w:rsidRPr="00B907A3">
        <w:rPr>
          <w:rFonts w:ascii="Garamond" w:hAnsi="Garamond"/>
          <w:sz w:val="24"/>
          <w:u w:val="single"/>
        </w:rPr>
        <w:t>Vizionin Zero</w:t>
      </w:r>
      <w:r w:rsidR="007951BD">
        <w:rPr>
          <w:rFonts w:ascii="Garamond" w:hAnsi="Garamond"/>
          <w:sz w:val="24"/>
          <w:u w:val="single"/>
        </w:rPr>
        <w:t>”</w:t>
      </w:r>
      <w:r w:rsidR="00DA1071" w:rsidRPr="00B907A3">
        <w:rPr>
          <w:rFonts w:ascii="Garamond" w:hAnsi="Garamond"/>
          <w:sz w:val="24"/>
        </w:rPr>
        <w:t xml:space="preserve"> si parim</w:t>
      </w:r>
      <w:r w:rsidR="00BD19C2" w:rsidRPr="00B907A3">
        <w:rPr>
          <w:rFonts w:ascii="Garamond" w:hAnsi="Garamond"/>
          <w:sz w:val="24"/>
        </w:rPr>
        <w:t xml:space="preserve">in </w:t>
      </w:r>
      <w:r w:rsidR="00DA1071" w:rsidRPr="00B907A3">
        <w:rPr>
          <w:rFonts w:ascii="Garamond" w:hAnsi="Garamond"/>
          <w:sz w:val="24"/>
        </w:rPr>
        <w:t xml:space="preserve">udhëzues për herë të parë. </w:t>
      </w:r>
      <w:r w:rsidRPr="00B907A3">
        <w:rPr>
          <w:rFonts w:ascii="Garamond" w:hAnsi="Garamond"/>
          <w:sz w:val="24"/>
        </w:rPr>
        <w:t>SS</w:t>
      </w:r>
      <w:r w:rsidR="00BD19C2" w:rsidRPr="00B907A3">
        <w:rPr>
          <w:rFonts w:ascii="Garamond" w:hAnsi="Garamond"/>
          <w:sz w:val="24"/>
        </w:rPr>
        <w:t>R</w:t>
      </w:r>
      <w:r w:rsidR="00D83730" w:rsidRPr="00B907A3">
        <w:rPr>
          <w:rFonts w:ascii="Garamond" w:hAnsi="Garamond"/>
          <w:sz w:val="24"/>
        </w:rPr>
        <w:t>r</w:t>
      </w:r>
      <w:r w:rsidR="00DA1071" w:rsidRPr="00B907A3">
        <w:rPr>
          <w:rFonts w:ascii="Garamond" w:hAnsi="Garamond"/>
          <w:sz w:val="24"/>
        </w:rPr>
        <w:t xml:space="preserve"> ishte një dokument afatgjatë që u pasua nga një Plan Veprimi. </w:t>
      </w:r>
      <w:r w:rsidR="00BD19C2" w:rsidRPr="00B907A3">
        <w:rPr>
          <w:rFonts w:ascii="Garamond" w:hAnsi="Garamond"/>
          <w:sz w:val="24"/>
        </w:rPr>
        <w:t xml:space="preserve">Masat </w:t>
      </w:r>
      <w:r w:rsidR="00DA1071" w:rsidRPr="00B907A3">
        <w:rPr>
          <w:rFonts w:ascii="Garamond" w:hAnsi="Garamond"/>
          <w:sz w:val="24"/>
        </w:rPr>
        <w:t xml:space="preserve">e propozuara u shpërndanë midis 15 sektorëve dhe u zgjodhën për të mbuluar të gjithë sektorët e sigurisë rrugore, me një theks të veçantë në pesë </w:t>
      </w:r>
      <w:r w:rsidR="00BD19C2" w:rsidRPr="00B907A3">
        <w:rPr>
          <w:rFonts w:ascii="Garamond" w:hAnsi="Garamond"/>
          <w:sz w:val="24"/>
        </w:rPr>
        <w:t xml:space="preserve">drejtimet </w:t>
      </w:r>
      <w:r w:rsidR="00DA1071" w:rsidRPr="00B907A3">
        <w:rPr>
          <w:rFonts w:ascii="Garamond" w:hAnsi="Garamond"/>
          <w:sz w:val="24"/>
        </w:rPr>
        <w:t>e mëposhtme me ndikim më të fortë dhe më të shpejtë: shpejtësia, zbatimi i ligjit, drejtimi i pakujdesshëm</w:t>
      </w:r>
      <w:r w:rsidR="00BD19C2" w:rsidRPr="00B907A3">
        <w:rPr>
          <w:rFonts w:ascii="Garamond" w:hAnsi="Garamond"/>
          <w:sz w:val="24"/>
        </w:rPr>
        <w:t xml:space="preserve"> i mjetit</w:t>
      </w:r>
      <w:r w:rsidR="00DA1071" w:rsidRPr="00B907A3">
        <w:rPr>
          <w:rFonts w:ascii="Garamond" w:hAnsi="Garamond"/>
          <w:sz w:val="24"/>
        </w:rPr>
        <w:t xml:space="preserve">, edukimi i përdoruesve të rrugës, krijimi i një mjedisi </w:t>
      </w:r>
      <w:r w:rsidR="00BD19C2" w:rsidRPr="00B907A3">
        <w:rPr>
          <w:rFonts w:ascii="Garamond" w:hAnsi="Garamond"/>
          <w:sz w:val="24"/>
        </w:rPr>
        <w:t xml:space="preserve">rrugor </w:t>
      </w:r>
      <w:r w:rsidR="00DA1071" w:rsidRPr="00B907A3">
        <w:rPr>
          <w:rFonts w:ascii="Garamond" w:hAnsi="Garamond"/>
          <w:sz w:val="24"/>
        </w:rPr>
        <w:t>të sigurt dhe miqësor (</w:t>
      </w:r>
      <w:r w:rsidR="002215AA" w:rsidRPr="00B907A3">
        <w:rPr>
          <w:rFonts w:ascii="Garamond" w:hAnsi="Garamond"/>
          <w:sz w:val="24"/>
        </w:rPr>
        <w:t>auditimi</w:t>
      </w:r>
      <w:r w:rsidR="00BD19C2" w:rsidRPr="00B907A3">
        <w:rPr>
          <w:rFonts w:ascii="Garamond" w:hAnsi="Garamond"/>
          <w:sz w:val="24"/>
        </w:rPr>
        <w:t xml:space="preserve"> </w:t>
      </w:r>
      <w:r w:rsidR="00DA1071" w:rsidRPr="00B907A3">
        <w:rPr>
          <w:rFonts w:ascii="Garamond" w:hAnsi="Garamond"/>
          <w:sz w:val="24"/>
        </w:rPr>
        <w:t>i sigurisë rrugore dhe përmirësimi i pikave të zeza), etj</w:t>
      </w:r>
      <w:r w:rsidR="00914FD6" w:rsidRPr="00B907A3">
        <w:rPr>
          <w:rFonts w:ascii="Garamond" w:hAnsi="Garamond"/>
          <w:sz w:val="24"/>
        </w:rPr>
        <w:t>.</w:t>
      </w:r>
      <w:r w:rsidR="00E3696A" w:rsidRPr="00B907A3">
        <w:rPr>
          <w:rFonts w:ascii="Garamond" w:hAnsi="Garamond"/>
          <w:sz w:val="24"/>
        </w:rPr>
        <w:t xml:space="preserve"> </w:t>
      </w:r>
    </w:p>
    <w:p w14:paraId="3EA2C21D" w14:textId="549E90FF" w:rsidR="006E19C0" w:rsidRPr="00B907A3" w:rsidRDefault="00DA1071" w:rsidP="008C4E07">
      <w:pPr>
        <w:spacing w:after="0"/>
        <w:ind w:firstLine="284"/>
        <w:rPr>
          <w:rFonts w:ascii="Garamond" w:hAnsi="Garamond"/>
          <w:sz w:val="24"/>
        </w:rPr>
      </w:pPr>
      <w:r w:rsidRPr="00B907A3">
        <w:rPr>
          <w:rFonts w:ascii="Garamond" w:hAnsi="Garamond"/>
          <w:sz w:val="24"/>
        </w:rPr>
        <w:t xml:space="preserve">Vizioni i </w:t>
      </w:r>
      <w:r w:rsidR="005B413A" w:rsidRPr="00B907A3">
        <w:rPr>
          <w:rFonts w:ascii="Garamond" w:hAnsi="Garamond"/>
          <w:sz w:val="24"/>
        </w:rPr>
        <w:t>SS</w:t>
      </w:r>
      <w:r w:rsidR="00E66C45" w:rsidRPr="00B907A3">
        <w:rPr>
          <w:rFonts w:ascii="Garamond" w:hAnsi="Garamond"/>
          <w:sz w:val="24"/>
        </w:rPr>
        <w:t>R</w:t>
      </w:r>
      <w:r w:rsidR="004A4C28" w:rsidRPr="00B907A3">
        <w:rPr>
          <w:rFonts w:ascii="Garamond" w:hAnsi="Garamond"/>
          <w:sz w:val="24"/>
        </w:rPr>
        <w:t>r</w:t>
      </w:r>
      <w:r w:rsidRPr="00B907A3">
        <w:rPr>
          <w:rFonts w:ascii="Garamond" w:hAnsi="Garamond"/>
          <w:sz w:val="24"/>
        </w:rPr>
        <w:t xml:space="preserve">-së ishte: </w:t>
      </w:r>
      <w:r w:rsidR="007951BD">
        <w:rPr>
          <w:rFonts w:ascii="Garamond" w:hAnsi="Garamond"/>
          <w:sz w:val="24"/>
        </w:rPr>
        <w:t>“</w:t>
      </w:r>
      <w:r w:rsidRPr="00B907A3">
        <w:rPr>
          <w:rFonts w:ascii="Garamond" w:hAnsi="Garamond"/>
          <w:i/>
          <w:iCs/>
          <w:sz w:val="24"/>
        </w:rPr>
        <w:t>Shqipëria do të përpiqet të bëhet një nga vendet më të sigurta në rajon për sa i përket Sigurisë Rrugore</w:t>
      </w:r>
      <w:r w:rsidR="007951BD">
        <w:rPr>
          <w:rFonts w:ascii="Garamond" w:hAnsi="Garamond"/>
          <w:sz w:val="24"/>
        </w:rPr>
        <w:t>”</w:t>
      </w:r>
      <w:r w:rsidRPr="00B907A3">
        <w:rPr>
          <w:rFonts w:ascii="Garamond" w:hAnsi="Garamond"/>
          <w:sz w:val="24"/>
        </w:rPr>
        <w:t xml:space="preserve">. Qëllimi ishte të arrihej një përmirësim i ndjeshëm në sigurinë rrugore në Shqipëri </w:t>
      </w:r>
      <w:r w:rsidR="00E66C45" w:rsidRPr="00B907A3">
        <w:rPr>
          <w:rFonts w:ascii="Garamond" w:hAnsi="Garamond"/>
          <w:sz w:val="24"/>
        </w:rPr>
        <w:t xml:space="preserve">brenda vitit </w:t>
      </w:r>
      <w:r w:rsidRPr="00B907A3">
        <w:rPr>
          <w:rFonts w:ascii="Garamond" w:hAnsi="Garamond"/>
          <w:sz w:val="24"/>
        </w:rPr>
        <w:t>2020, në mënyrë që r</w:t>
      </w:r>
      <w:r w:rsidR="00E66C45" w:rsidRPr="00B907A3">
        <w:rPr>
          <w:rFonts w:ascii="Garamond" w:hAnsi="Garamond"/>
          <w:sz w:val="24"/>
        </w:rPr>
        <w:t xml:space="preserve">isqet për humbje jete </w:t>
      </w:r>
      <w:r w:rsidR="004C4127" w:rsidRPr="00B907A3">
        <w:rPr>
          <w:rFonts w:ascii="Garamond" w:hAnsi="Garamond"/>
          <w:sz w:val="24"/>
        </w:rPr>
        <w:t>dhe</w:t>
      </w:r>
      <w:r w:rsidR="00E66C45" w:rsidRPr="00B907A3">
        <w:rPr>
          <w:rFonts w:ascii="Garamond" w:hAnsi="Garamond"/>
          <w:sz w:val="24"/>
        </w:rPr>
        <w:t xml:space="preserve"> </w:t>
      </w:r>
      <w:r w:rsidRPr="00B907A3">
        <w:rPr>
          <w:rFonts w:ascii="Garamond" w:hAnsi="Garamond"/>
          <w:sz w:val="24"/>
        </w:rPr>
        <w:t>lëndim</w:t>
      </w:r>
      <w:r w:rsidR="00E66C45" w:rsidRPr="00B907A3">
        <w:rPr>
          <w:rFonts w:ascii="Garamond" w:hAnsi="Garamond"/>
          <w:sz w:val="24"/>
        </w:rPr>
        <w:t xml:space="preserve">e si pasojë e </w:t>
      </w:r>
      <w:r w:rsidRPr="00B907A3">
        <w:rPr>
          <w:rFonts w:ascii="Garamond" w:hAnsi="Garamond"/>
          <w:sz w:val="24"/>
        </w:rPr>
        <w:t>aksidente</w:t>
      </w:r>
      <w:r w:rsidR="00E66C45" w:rsidRPr="00B907A3">
        <w:rPr>
          <w:rFonts w:ascii="Garamond" w:hAnsi="Garamond"/>
          <w:sz w:val="24"/>
        </w:rPr>
        <w:t xml:space="preserve">ve </w:t>
      </w:r>
      <w:r w:rsidRPr="00B907A3">
        <w:rPr>
          <w:rFonts w:ascii="Garamond" w:hAnsi="Garamond"/>
          <w:sz w:val="24"/>
        </w:rPr>
        <w:t xml:space="preserve">rrugore </w:t>
      </w:r>
      <w:r w:rsidR="00E66C45" w:rsidRPr="00B907A3">
        <w:rPr>
          <w:rFonts w:ascii="Garamond" w:hAnsi="Garamond"/>
          <w:sz w:val="24"/>
        </w:rPr>
        <w:t>të reduktoheshin me 50% krahasuar me 2009</w:t>
      </w:r>
      <w:r w:rsidRPr="00B907A3">
        <w:rPr>
          <w:rFonts w:ascii="Garamond" w:hAnsi="Garamond"/>
          <w:sz w:val="24"/>
        </w:rPr>
        <w:t xml:space="preserve">. Së fundmi, </w:t>
      </w:r>
      <w:r w:rsidR="005B413A" w:rsidRPr="00B907A3">
        <w:rPr>
          <w:rFonts w:ascii="Garamond" w:hAnsi="Garamond"/>
          <w:sz w:val="24"/>
        </w:rPr>
        <w:t>SS</w:t>
      </w:r>
      <w:r w:rsidR="00E66C45" w:rsidRPr="00B907A3">
        <w:rPr>
          <w:rFonts w:ascii="Garamond" w:hAnsi="Garamond"/>
          <w:sz w:val="24"/>
        </w:rPr>
        <w:t>R</w:t>
      </w:r>
      <w:r w:rsidR="004A4C28" w:rsidRPr="00B907A3">
        <w:rPr>
          <w:rFonts w:ascii="Garamond" w:hAnsi="Garamond"/>
          <w:sz w:val="24"/>
        </w:rPr>
        <w:t>r</w:t>
      </w:r>
      <w:r w:rsidRPr="00B907A3">
        <w:rPr>
          <w:rFonts w:ascii="Garamond" w:hAnsi="Garamond"/>
          <w:sz w:val="24"/>
        </w:rPr>
        <w:t xml:space="preserve"> përmbante </w:t>
      </w:r>
      <w:r w:rsidR="00E66C45" w:rsidRPr="00B907A3">
        <w:rPr>
          <w:rFonts w:ascii="Garamond" w:hAnsi="Garamond"/>
          <w:sz w:val="24"/>
        </w:rPr>
        <w:t>targetet</w:t>
      </w:r>
      <w:r w:rsidRPr="00B907A3">
        <w:rPr>
          <w:rFonts w:ascii="Garamond" w:hAnsi="Garamond"/>
          <w:sz w:val="24"/>
        </w:rPr>
        <w:t xml:space="preserve"> e mëposht</w:t>
      </w:r>
      <w:r w:rsidR="00DB76F6">
        <w:rPr>
          <w:rFonts w:ascii="Garamond" w:hAnsi="Garamond"/>
          <w:sz w:val="24"/>
        </w:rPr>
        <w:t>ëm</w:t>
      </w:r>
      <w:r w:rsidRPr="00B907A3">
        <w:rPr>
          <w:rFonts w:ascii="Garamond" w:hAnsi="Garamond"/>
          <w:sz w:val="24"/>
        </w:rPr>
        <w:t>: uljen e vdekjeve/10,000 automjete (</w:t>
      </w:r>
      <w:r w:rsidR="00E66C45" w:rsidRPr="00B907A3">
        <w:rPr>
          <w:rFonts w:ascii="Garamond" w:hAnsi="Garamond"/>
          <w:sz w:val="24"/>
        </w:rPr>
        <w:t>ris</w:t>
      </w:r>
      <w:r w:rsidR="004A4C28" w:rsidRPr="00B907A3">
        <w:rPr>
          <w:rFonts w:ascii="Garamond" w:hAnsi="Garamond"/>
          <w:sz w:val="24"/>
        </w:rPr>
        <w:t>k</w:t>
      </w:r>
      <w:r w:rsidR="00E66C45" w:rsidRPr="00B907A3">
        <w:rPr>
          <w:rFonts w:ascii="Garamond" w:hAnsi="Garamond"/>
          <w:sz w:val="24"/>
        </w:rPr>
        <w:t xml:space="preserve"> qarkullimi</w:t>
      </w:r>
      <w:r w:rsidRPr="00B907A3">
        <w:rPr>
          <w:rFonts w:ascii="Garamond" w:hAnsi="Garamond"/>
          <w:sz w:val="24"/>
        </w:rPr>
        <w:t>) me rreth 50%</w:t>
      </w:r>
      <w:r w:rsidR="00E66C45" w:rsidRPr="00B907A3">
        <w:rPr>
          <w:rFonts w:ascii="Garamond" w:hAnsi="Garamond"/>
          <w:sz w:val="24"/>
        </w:rPr>
        <w:t>, ose</w:t>
      </w:r>
      <w:r w:rsidRPr="00B907A3">
        <w:rPr>
          <w:rFonts w:ascii="Garamond" w:hAnsi="Garamond"/>
          <w:sz w:val="24"/>
        </w:rPr>
        <w:t xml:space="preserve"> nga 9.45 në vitin 2009 në rreth 5 </w:t>
      </w:r>
      <w:r w:rsidR="004615DE" w:rsidRPr="00B907A3">
        <w:rPr>
          <w:rFonts w:ascii="Garamond" w:hAnsi="Garamond"/>
          <w:sz w:val="24"/>
        </w:rPr>
        <w:t xml:space="preserve">brenda </w:t>
      </w:r>
      <w:r w:rsidRPr="00B907A3">
        <w:rPr>
          <w:rFonts w:ascii="Garamond" w:hAnsi="Garamond"/>
          <w:sz w:val="24"/>
        </w:rPr>
        <w:t>viti</w:t>
      </w:r>
      <w:r w:rsidR="004615DE" w:rsidRPr="00B907A3">
        <w:rPr>
          <w:rFonts w:ascii="Garamond" w:hAnsi="Garamond"/>
          <w:sz w:val="24"/>
        </w:rPr>
        <w:t>t</w:t>
      </w:r>
      <w:r w:rsidRPr="00B907A3">
        <w:rPr>
          <w:rFonts w:ascii="Garamond" w:hAnsi="Garamond"/>
          <w:sz w:val="24"/>
        </w:rPr>
        <w:t xml:space="preserve"> 2020, uljen e </w:t>
      </w:r>
      <w:r w:rsidR="004A4C28" w:rsidRPr="00B907A3">
        <w:rPr>
          <w:rFonts w:ascii="Garamond" w:hAnsi="Garamond"/>
          <w:sz w:val="24"/>
        </w:rPr>
        <w:t>fataliteteve</w:t>
      </w:r>
      <w:r w:rsidRPr="00B907A3">
        <w:rPr>
          <w:rFonts w:ascii="Garamond" w:hAnsi="Garamond"/>
          <w:sz w:val="24"/>
        </w:rPr>
        <w:t>e/100,000 banorë (një r</w:t>
      </w:r>
      <w:r w:rsidR="004615DE" w:rsidRPr="00B907A3">
        <w:rPr>
          <w:rFonts w:ascii="Garamond" w:hAnsi="Garamond"/>
          <w:sz w:val="24"/>
        </w:rPr>
        <w:t xml:space="preserve">isk </w:t>
      </w:r>
      <w:r w:rsidRPr="00B907A3">
        <w:rPr>
          <w:rFonts w:ascii="Garamond" w:hAnsi="Garamond"/>
          <w:sz w:val="24"/>
        </w:rPr>
        <w:t xml:space="preserve">publik) me rreth 50% nga 11.8 në vitin 2009 në rreth 6.0 </w:t>
      </w:r>
      <w:r w:rsidR="004615DE" w:rsidRPr="00B907A3">
        <w:rPr>
          <w:rFonts w:ascii="Garamond" w:hAnsi="Garamond"/>
          <w:sz w:val="24"/>
        </w:rPr>
        <w:t xml:space="preserve">brenda vitit </w:t>
      </w:r>
      <w:r w:rsidRPr="00B907A3">
        <w:rPr>
          <w:rFonts w:ascii="Garamond" w:hAnsi="Garamond"/>
          <w:sz w:val="24"/>
        </w:rPr>
        <w:t xml:space="preserve">2020, uljen e </w:t>
      </w:r>
      <w:r w:rsidR="004A4C28" w:rsidRPr="00B907A3">
        <w:rPr>
          <w:rFonts w:ascii="Garamond" w:hAnsi="Garamond"/>
          <w:sz w:val="24"/>
        </w:rPr>
        <w:t>fataliteteve</w:t>
      </w:r>
      <w:r w:rsidRPr="00B907A3">
        <w:rPr>
          <w:rFonts w:ascii="Garamond" w:hAnsi="Garamond"/>
          <w:sz w:val="24"/>
        </w:rPr>
        <w:t xml:space="preserve"> me 30% nga shifra e vitit 2009 deri në vitin 2015</w:t>
      </w:r>
      <w:r w:rsidR="00496F64" w:rsidRPr="00B907A3">
        <w:rPr>
          <w:rFonts w:ascii="Garamond" w:hAnsi="Garamond"/>
          <w:sz w:val="24"/>
        </w:rPr>
        <w:t>.</w:t>
      </w:r>
      <w:r w:rsidR="003D462C" w:rsidRPr="00B907A3">
        <w:rPr>
          <w:rFonts w:ascii="Garamond" w:hAnsi="Garamond"/>
          <w:sz w:val="24"/>
        </w:rPr>
        <w:t xml:space="preserve"> </w:t>
      </w:r>
    </w:p>
    <w:p w14:paraId="76C596BD" w14:textId="25AAA050" w:rsidR="003D462C" w:rsidRPr="00B907A3" w:rsidRDefault="005B413A" w:rsidP="008C4E07">
      <w:pPr>
        <w:spacing w:after="0"/>
        <w:ind w:firstLine="284"/>
        <w:rPr>
          <w:rFonts w:ascii="Garamond" w:hAnsi="Garamond"/>
          <w:sz w:val="24"/>
        </w:rPr>
      </w:pPr>
      <w:r w:rsidRPr="00B907A3">
        <w:rPr>
          <w:rFonts w:ascii="Garamond" w:hAnsi="Garamond"/>
          <w:sz w:val="24"/>
        </w:rPr>
        <w:t>SS</w:t>
      </w:r>
      <w:r w:rsidR="004C4127" w:rsidRPr="00B907A3">
        <w:rPr>
          <w:rFonts w:ascii="Garamond" w:hAnsi="Garamond"/>
          <w:sz w:val="24"/>
        </w:rPr>
        <w:t>R</w:t>
      </w:r>
      <w:r w:rsidR="004A4C28" w:rsidRPr="00B907A3">
        <w:rPr>
          <w:rFonts w:ascii="Garamond" w:hAnsi="Garamond"/>
          <w:sz w:val="24"/>
        </w:rPr>
        <w:t>r</w:t>
      </w:r>
      <w:r w:rsidR="00DA1071" w:rsidRPr="00B907A3">
        <w:rPr>
          <w:rFonts w:ascii="Garamond" w:hAnsi="Garamond"/>
          <w:sz w:val="24"/>
        </w:rPr>
        <w:t xml:space="preserve"> u miratua zyrtarisht nga Qeveria </w:t>
      </w:r>
      <w:r w:rsidR="004C4127" w:rsidRPr="00B907A3">
        <w:rPr>
          <w:rFonts w:ascii="Garamond" w:hAnsi="Garamond"/>
          <w:sz w:val="24"/>
        </w:rPr>
        <w:t>S</w:t>
      </w:r>
      <w:r w:rsidR="00DA1071" w:rsidRPr="00B907A3">
        <w:rPr>
          <w:rFonts w:ascii="Garamond" w:hAnsi="Garamond"/>
          <w:sz w:val="24"/>
        </w:rPr>
        <w:t>hqip</w:t>
      </w:r>
      <w:r w:rsidR="004C4127" w:rsidRPr="00B907A3">
        <w:rPr>
          <w:rFonts w:ascii="Garamond" w:hAnsi="Garamond"/>
          <w:sz w:val="24"/>
        </w:rPr>
        <w:t xml:space="preserve">tare </w:t>
      </w:r>
      <w:r w:rsidR="00DA1071" w:rsidRPr="00B907A3">
        <w:rPr>
          <w:rFonts w:ascii="Garamond" w:hAnsi="Garamond"/>
          <w:sz w:val="24"/>
        </w:rPr>
        <w:t>në vitin 2011 dhe u zbatua përmes Planit të Veprimit</w:t>
      </w:r>
      <w:r w:rsidR="005A4862" w:rsidRPr="00B907A3">
        <w:rPr>
          <w:rFonts w:ascii="Garamond" w:hAnsi="Garamond"/>
          <w:sz w:val="24"/>
        </w:rPr>
        <w:t>.</w:t>
      </w:r>
    </w:p>
    <w:p w14:paraId="124C363E" w14:textId="1040BE46" w:rsidR="006E19C0" w:rsidRPr="00B907A3" w:rsidRDefault="00DA1071" w:rsidP="008C4E07">
      <w:pPr>
        <w:spacing w:after="0"/>
        <w:ind w:firstLine="284"/>
        <w:rPr>
          <w:rFonts w:ascii="Garamond" w:hAnsi="Garamond"/>
          <w:sz w:val="24"/>
        </w:rPr>
      </w:pPr>
      <w:r w:rsidRPr="00B907A3">
        <w:rPr>
          <w:rFonts w:ascii="Garamond" w:hAnsi="Garamond"/>
          <w:sz w:val="24"/>
        </w:rPr>
        <w:t xml:space="preserve">Gjatë zbatimit të </w:t>
      </w:r>
      <w:r w:rsidR="005B413A" w:rsidRPr="00B907A3">
        <w:rPr>
          <w:rFonts w:ascii="Garamond" w:hAnsi="Garamond"/>
          <w:sz w:val="24"/>
        </w:rPr>
        <w:t>SS</w:t>
      </w:r>
      <w:r w:rsidR="004C4127" w:rsidRPr="00B907A3">
        <w:rPr>
          <w:rFonts w:ascii="Garamond" w:hAnsi="Garamond"/>
          <w:sz w:val="24"/>
        </w:rPr>
        <w:t>R</w:t>
      </w:r>
      <w:r w:rsidR="005B413A" w:rsidRPr="00B907A3">
        <w:rPr>
          <w:rFonts w:ascii="Garamond" w:hAnsi="Garamond"/>
          <w:sz w:val="24"/>
        </w:rPr>
        <w:t>R</w:t>
      </w:r>
      <w:r w:rsidRPr="00B907A3">
        <w:rPr>
          <w:rFonts w:ascii="Garamond" w:hAnsi="Garamond"/>
          <w:sz w:val="24"/>
        </w:rPr>
        <w:t xml:space="preserve">-së, u arritën rezultatet e mëposhtme në lidhje me uljen e numrit të </w:t>
      </w:r>
      <w:r w:rsidR="004C4127" w:rsidRPr="00B907A3">
        <w:rPr>
          <w:rFonts w:ascii="Garamond" w:hAnsi="Garamond"/>
          <w:sz w:val="24"/>
        </w:rPr>
        <w:t xml:space="preserve">vdekjeve si pasojë e aksidenteve rrugore </w:t>
      </w:r>
      <w:r w:rsidRPr="00B907A3">
        <w:rPr>
          <w:rFonts w:ascii="Garamond" w:hAnsi="Garamond"/>
          <w:sz w:val="24"/>
        </w:rPr>
        <w:t>(Figura 1-1</w:t>
      </w:r>
      <w:r w:rsidR="00474FEA" w:rsidRPr="00B907A3">
        <w:rPr>
          <w:rFonts w:ascii="Garamond" w:hAnsi="Garamond"/>
          <w:sz w:val="24"/>
        </w:rPr>
        <w:t>)</w:t>
      </w:r>
      <w:r w:rsidR="005A4862" w:rsidRPr="00B907A3">
        <w:rPr>
          <w:rFonts w:ascii="Garamond" w:hAnsi="Garamond"/>
          <w:sz w:val="24"/>
        </w:rPr>
        <w:t>.</w:t>
      </w:r>
    </w:p>
    <w:p w14:paraId="453732EA" w14:textId="4838109A" w:rsidR="008C3193" w:rsidRPr="00B907A3" w:rsidRDefault="000477DA" w:rsidP="008C4E07">
      <w:pPr>
        <w:spacing w:after="0"/>
        <w:ind w:firstLine="284"/>
        <w:rPr>
          <w:rFonts w:ascii="Garamond" w:hAnsi="Garamond"/>
          <w:sz w:val="24"/>
        </w:rPr>
      </w:pPr>
      <w:r w:rsidRPr="00B907A3">
        <w:rPr>
          <w:rFonts w:ascii="Garamond" w:hAnsi="Garamond"/>
          <w:sz w:val="24"/>
        </w:rPr>
        <w:t xml:space="preserve">Siç tregohet në Figurën 1-1, </w:t>
      </w:r>
      <w:r w:rsidR="005B413A" w:rsidRPr="00B907A3">
        <w:rPr>
          <w:rFonts w:ascii="Garamond" w:hAnsi="Garamond"/>
          <w:sz w:val="24"/>
        </w:rPr>
        <w:t>SS</w:t>
      </w:r>
      <w:r w:rsidR="008C3193" w:rsidRPr="00B907A3">
        <w:rPr>
          <w:rFonts w:ascii="Garamond" w:hAnsi="Garamond"/>
          <w:sz w:val="24"/>
        </w:rPr>
        <w:t>R</w:t>
      </w:r>
      <w:r w:rsidR="004A4C28" w:rsidRPr="00B907A3">
        <w:rPr>
          <w:rFonts w:ascii="Garamond" w:hAnsi="Garamond"/>
          <w:sz w:val="24"/>
        </w:rPr>
        <w:t>r</w:t>
      </w:r>
      <w:r w:rsidRPr="00B907A3">
        <w:rPr>
          <w:rFonts w:ascii="Garamond" w:hAnsi="Garamond"/>
          <w:sz w:val="24"/>
        </w:rPr>
        <w:t xml:space="preserve"> dhe plani </w:t>
      </w:r>
      <w:r w:rsidR="008C3193" w:rsidRPr="00B907A3">
        <w:rPr>
          <w:rFonts w:ascii="Garamond" w:hAnsi="Garamond"/>
          <w:sz w:val="24"/>
        </w:rPr>
        <w:t>i saj i veprimit (</w:t>
      </w:r>
      <w:r w:rsidR="000B1794" w:rsidRPr="00B907A3">
        <w:rPr>
          <w:rFonts w:ascii="Garamond" w:hAnsi="Garamond"/>
          <w:sz w:val="24"/>
        </w:rPr>
        <w:t>PVSR</w:t>
      </w:r>
      <w:r w:rsidR="004A4C28" w:rsidRPr="00B907A3">
        <w:rPr>
          <w:rFonts w:ascii="Garamond" w:hAnsi="Garamond"/>
          <w:sz w:val="24"/>
        </w:rPr>
        <w:t>r</w:t>
      </w:r>
      <w:r w:rsidR="008C3193" w:rsidRPr="00B907A3">
        <w:rPr>
          <w:rFonts w:ascii="Garamond" w:hAnsi="Garamond"/>
          <w:sz w:val="24"/>
        </w:rPr>
        <w:t>)</w:t>
      </w:r>
      <w:r w:rsidRPr="00B907A3">
        <w:rPr>
          <w:rFonts w:ascii="Garamond" w:hAnsi="Garamond"/>
          <w:sz w:val="24"/>
        </w:rPr>
        <w:t xml:space="preserve"> rezultuan efektivë, duke arritur një ulje të viktimave me 44% nga viti 2011 deri në vitin 2020. Ky është një rezultat shumë i mirë, i cili tregon se objektivi i vendosur për dekadën nga </w:t>
      </w:r>
      <w:r w:rsidR="005B413A" w:rsidRPr="00B907A3">
        <w:rPr>
          <w:rFonts w:ascii="Garamond" w:hAnsi="Garamond"/>
          <w:sz w:val="24"/>
        </w:rPr>
        <w:t>SS</w:t>
      </w:r>
      <w:r w:rsidR="008C3193" w:rsidRPr="00B907A3">
        <w:rPr>
          <w:rFonts w:ascii="Garamond" w:hAnsi="Garamond"/>
          <w:sz w:val="24"/>
        </w:rPr>
        <w:t>R</w:t>
      </w:r>
      <w:r w:rsidR="004A4C28" w:rsidRPr="00B907A3">
        <w:rPr>
          <w:rFonts w:ascii="Garamond" w:hAnsi="Garamond"/>
          <w:sz w:val="24"/>
        </w:rPr>
        <w:t>r</w:t>
      </w:r>
      <w:r w:rsidRPr="00B907A3">
        <w:rPr>
          <w:rFonts w:ascii="Garamond" w:hAnsi="Garamond"/>
          <w:sz w:val="24"/>
        </w:rPr>
        <w:t xml:space="preserve">, </w:t>
      </w:r>
      <w:r w:rsidR="008C3193" w:rsidRPr="00B907A3">
        <w:rPr>
          <w:rFonts w:ascii="Garamond" w:hAnsi="Garamond"/>
          <w:sz w:val="24"/>
        </w:rPr>
        <w:t xml:space="preserve">për </w:t>
      </w:r>
      <w:r w:rsidRPr="00B907A3">
        <w:rPr>
          <w:rFonts w:ascii="Garamond" w:hAnsi="Garamond"/>
          <w:sz w:val="24"/>
        </w:rPr>
        <w:t xml:space="preserve">një ulje </w:t>
      </w:r>
      <w:r w:rsidR="008C3193" w:rsidRPr="00B907A3">
        <w:rPr>
          <w:rFonts w:ascii="Garamond" w:hAnsi="Garamond"/>
          <w:sz w:val="24"/>
        </w:rPr>
        <w:t xml:space="preserve">me </w:t>
      </w:r>
      <w:r w:rsidRPr="00B907A3">
        <w:rPr>
          <w:rFonts w:ascii="Garamond" w:hAnsi="Garamond"/>
          <w:sz w:val="24"/>
        </w:rPr>
        <w:t xml:space="preserve">50% </w:t>
      </w:r>
      <w:r w:rsidR="008C3193" w:rsidRPr="00B907A3">
        <w:rPr>
          <w:rFonts w:ascii="Garamond" w:hAnsi="Garamond"/>
          <w:sz w:val="24"/>
        </w:rPr>
        <w:t>të numrit të vdekjeve</w:t>
      </w:r>
      <w:r w:rsidRPr="00B907A3">
        <w:rPr>
          <w:rFonts w:ascii="Garamond" w:hAnsi="Garamond"/>
          <w:sz w:val="24"/>
        </w:rPr>
        <w:t xml:space="preserve">, u arrit pothuajse plotësisht. </w:t>
      </w:r>
    </w:p>
    <w:p w14:paraId="7DF409EA" w14:textId="75E3374B" w:rsidR="007E383E" w:rsidRPr="00B907A3" w:rsidRDefault="00DA1071" w:rsidP="008C4E07">
      <w:pPr>
        <w:spacing w:after="0"/>
        <w:ind w:firstLine="284"/>
        <w:rPr>
          <w:rFonts w:ascii="Garamond" w:hAnsi="Garamond"/>
          <w:sz w:val="24"/>
        </w:rPr>
      </w:pPr>
      <w:r w:rsidRPr="00B907A3">
        <w:rPr>
          <w:rFonts w:ascii="Garamond" w:hAnsi="Garamond"/>
          <w:sz w:val="24"/>
        </w:rPr>
        <w:lastRenderedPageBreak/>
        <w:t xml:space="preserve">Trendi i vërejtur në numrin e viktimave </w:t>
      </w:r>
      <w:r w:rsidR="002B3C5D" w:rsidRPr="00B907A3">
        <w:rPr>
          <w:rFonts w:ascii="Garamond" w:hAnsi="Garamond"/>
          <w:sz w:val="24"/>
        </w:rPr>
        <w:t>t</w:t>
      </w:r>
      <w:r w:rsidRPr="00B907A3">
        <w:rPr>
          <w:rFonts w:ascii="Garamond" w:hAnsi="Garamond"/>
          <w:sz w:val="24"/>
        </w:rPr>
        <w:t>ë aksidente</w:t>
      </w:r>
      <w:r w:rsidR="002B3C5D" w:rsidRPr="00B907A3">
        <w:rPr>
          <w:rFonts w:ascii="Garamond" w:hAnsi="Garamond"/>
          <w:sz w:val="24"/>
        </w:rPr>
        <w:t>ve</w:t>
      </w:r>
      <w:r w:rsidRPr="00B907A3">
        <w:rPr>
          <w:rFonts w:ascii="Garamond" w:hAnsi="Garamond"/>
          <w:sz w:val="24"/>
        </w:rPr>
        <w:t xml:space="preserve"> rrugore tregon se vendi arriti të </w:t>
      </w:r>
      <w:r w:rsidR="00AF7B20" w:rsidRPr="00B907A3">
        <w:rPr>
          <w:rFonts w:ascii="Garamond" w:hAnsi="Garamond"/>
          <w:sz w:val="24"/>
        </w:rPr>
        <w:t>zbatoje</w:t>
      </w:r>
      <w:r w:rsidRPr="00B907A3">
        <w:rPr>
          <w:rFonts w:ascii="Garamond" w:hAnsi="Garamond"/>
          <w:sz w:val="24"/>
        </w:rPr>
        <w:t xml:space="preserve"> një </w:t>
      </w:r>
      <w:r w:rsidR="002B3C5D" w:rsidRPr="00B907A3">
        <w:rPr>
          <w:rFonts w:ascii="Garamond" w:hAnsi="Garamond"/>
          <w:sz w:val="24"/>
        </w:rPr>
        <w:t xml:space="preserve">sërë </w:t>
      </w:r>
      <w:r w:rsidRPr="00B907A3">
        <w:rPr>
          <w:rFonts w:ascii="Garamond" w:hAnsi="Garamond"/>
          <w:sz w:val="24"/>
        </w:rPr>
        <w:t>masa</w:t>
      </w:r>
      <w:r w:rsidR="002B3C5D" w:rsidRPr="00B907A3">
        <w:rPr>
          <w:rFonts w:ascii="Garamond" w:hAnsi="Garamond"/>
          <w:sz w:val="24"/>
        </w:rPr>
        <w:t xml:space="preserve">sh </w:t>
      </w:r>
      <w:r w:rsidRPr="00B907A3">
        <w:rPr>
          <w:rFonts w:ascii="Garamond" w:hAnsi="Garamond"/>
          <w:sz w:val="24"/>
        </w:rPr>
        <w:t xml:space="preserve">të ashtuquajtura </w:t>
      </w:r>
      <w:r w:rsidR="007951BD">
        <w:rPr>
          <w:rFonts w:ascii="Garamond" w:hAnsi="Garamond"/>
          <w:sz w:val="24"/>
        </w:rPr>
        <w:t>“</w:t>
      </w:r>
      <w:r w:rsidR="007951BD" w:rsidRPr="00B907A3">
        <w:rPr>
          <w:rFonts w:ascii="Garamond" w:hAnsi="Garamond"/>
          <w:sz w:val="24"/>
        </w:rPr>
        <w:t>lehtësisht</w:t>
      </w:r>
      <w:r w:rsidR="00AF7B20" w:rsidRPr="00B907A3">
        <w:rPr>
          <w:rFonts w:ascii="Garamond" w:hAnsi="Garamond"/>
          <w:sz w:val="24"/>
        </w:rPr>
        <w:t xml:space="preserve"> t</w:t>
      </w:r>
      <w:r w:rsidR="002B3C5D" w:rsidRPr="00B907A3">
        <w:rPr>
          <w:rFonts w:ascii="Garamond" w:hAnsi="Garamond"/>
          <w:sz w:val="24"/>
        </w:rPr>
        <w:t>ë</w:t>
      </w:r>
      <w:r w:rsidR="00AF7B20" w:rsidRPr="00B907A3">
        <w:rPr>
          <w:rFonts w:ascii="Garamond" w:hAnsi="Garamond"/>
          <w:sz w:val="24"/>
        </w:rPr>
        <w:t xml:space="preserve"> arritshme</w:t>
      </w:r>
      <w:r w:rsidR="007951BD">
        <w:rPr>
          <w:rFonts w:ascii="Garamond" w:hAnsi="Garamond"/>
          <w:sz w:val="24"/>
        </w:rPr>
        <w:t>”</w:t>
      </w:r>
      <w:r w:rsidRPr="00B907A3">
        <w:rPr>
          <w:rFonts w:ascii="Garamond" w:hAnsi="Garamond"/>
          <w:sz w:val="24"/>
        </w:rPr>
        <w:t xml:space="preserve"> që sjellin rezultatet e para relativisht shpejt (këto ishin masat fillestare shumë efektive, të tilla si </w:t>
      </w:r>
      <w:r w:rsidR="002B3C5D" w:rsidRPr="00B907A3">
        <w:rPr>
          <w:rFonts w:ascii="Garamond" w:hAnsi="Garamond"/>
          <w:sz w:val="24"/>
        </w:rPr>
        <w:t xml:space="preserve">përmirësimi i </w:t>
      </w:r>
      <w:r w:rsidRPr="00B907A3">
        <w:rPr>
          <w:rFonts w:ascii="Garamond" w:hAnsi="Garamond"/>
          <w:sz w:val="24"/>
        </w:rPr>
        <w:t>zbatimi</w:t>
      </w:r>
      <w:r w:rsidR="002B3C5D" w:rsidRPr="00B907A3">
        <w:rPr>
          <w:rFonts w:ascii="Garamond" w:hAnsi="Garamond"/>
          <w:sz w:val="24"/>
        </w:rPr>
        <w:t>t të ligjit</w:t>
      </w:r>
      <w:r w:rsidRPr="00B907A3">
        <w:rPr>
          <w:rFonts w:ascii="Garamond" w:hAnsi="Garamond"/>
          <w:sz w:val="24"/>
        </w:rPr>
        <w:t xml:space="preserve">, </w:t>
      </w:r>
      <w:r w:rsidR="002B3C5D" w:rsidRPr="00B907A3">
        <w:rPr>
          <w:rFonts w:ascii="Garamond" w:hAnsi="Garamond"/>
          <w:sz w:val="24"/>
        </w:rPr>
        <w:t>edukim më i</w:t>
      </w:r>
      <w:r w:rsidR="00887CC6">
        <w:rPr>
          <w:rFonts w:ascii="Garamond" w:hAnsi="Garamond"/>
          <w:sz w:val="24"/>
        </w:rPr>
        <w:t xml:space="preserve"> </w:t>
      </w:r>
      <w:r w:rsidR="002B3C5D" w:rsidRPr="00B907A3">
        <w:rPr>
          <w:rFonts w:ascii="Garamond" w:hAnsi="Garamond"/>
          <w:sz w:val="24"/>
        </w:rPr>
        <w:t xml:space="preserve">mirë, </w:t>
      </w:r>
      <w:r w:rsidRPr="00B907A3">
        <w:rPr>
          <w:rFonts w:ascii="Garamond" w:hAnsi="Garamond"/>
          <w:sz w:val="24"/>
        </w:rPr>
        <w:t>projektimi/ndërtimi</w:t>
      </w:r>
      <w:r w:rsidR="002B3C5D" w:rsidRPr="00B907A3">
        <w:rPr>
          <w:rFonts w:ascii="Garamond" w:hAnsi="Garamond"/>
          <w:sz w:val="24"/>
        </w:rPr>
        <w:t xml:space="preserve"> më i </w:t>
      </w:r>
      <w:r w:rsidRPr="00B907A3">
        <w:rPr>
          <w:rFonts w:ascii="Garamond" w:hAnsi="Garamond"/>
          <w:sz w:val="24"/>
        </w:rPr>
        <w:t xml:space="preserve">mirë </w:t>
      </w:r>
      <w:r w:rsidR="002B3C5D" w:rsidRPr="00B907A3">
        <w:rPr>
          <w:rFonts w:ascii="Garamond" w:hAnsi="Garamond"/>
          <w:sz w:val="24"/>
        </w:rPr>
        <w:t xml:space="preserve">i </w:t>
      </w:r>
      <w:r w:rsidRPr="00B907A3">
        <w:rPr>
          <w:rFonts w:ascii="Garamond" w:hAnsi="Garamond"/>
          <w:sz w:val="24"/>
        </w:rPr>
        <w:t xml:space="preserve">rrugëve, si dhe konsolidimi i shërbimeve të </w:t>
      </w:r>
      <w:r w:rsidR="000D08AD" w:rsidRPr="00B907A3">
        <w:rPr>
          <w:rFonts w:ascii="Garamond" w:hAnsi="Garamond"/>
          <w:sz w:val="24"/>
        </w:rPr>
        <w:t xml:space="preserve">kërkim </w:t>
      </w:r>
      <w:r w:rsidRPr="00B907A3">
        <w:rPr>
          <w:rFonts w:ascii="Garamond" w:hAnsi="Garamond"/>
          <w:sz w:val="24"/>
        </w:rPr>
        <w:t>shpëtimit). Zakonisht, hapat pasues në sigurinë rrugore (</w:t>
      </w:r>
      <w:r w:rsidR="005B413A" w:rsidRPr="00B907A3">
        <w:rPr>
          <w:rFonts w:ascii="Garamond" w:hAnsi="Garamond"/>
          <w:sz w:val="24"/>
        </w:rPr>
        <w:t>SS</w:t>
      </w:r>
      <w:r w:rsidR="002B3C5D" w:rsidRPr="00B907A3">
        <w:rPr>
          <w:rFonts w:ascii="Garamond" w:hAnsi="Garamond"/>
          <w:sz w:val="24"/>
        </w:rPr>
        <w:t>R</w:t>
      </w:r>
      <w:r w:rsidR="004A4C28" w:rsidRPr="00B907A3">
        <w:rPr>
          <w:rFonts w:ascii="Garamond" w:hAnsi="Garamond"/>
          <w:sz w:val="24"/>
        </w:rPr>
        <w:t>r</w:t>
      </w:r>
      <w:r w:rsidRPr="00B907A3">
        <w:rPr>
          <w:rFonts w:ascii="Garamond" w:hAnsi="Garamond"/>
          <w:sz w:val="24"/>
        </w:rPr>
        <w:t xml:space="preserve"> e dytë) dhe </w:t>
      </w:r>
      <w:r w:rsidR="002B3C5D" w:rsidRPr="00B907A3">
        <w:rPr>
          <w:rFonts w:ascii="Garamond" w:hAnsi="Garamond"/>
          <w:sz w:val="24"/>
        </w:rPr>
        <w:t xml:space="preserve">targeti/et </w:t>
      </w:r>
      <w:r w:rsidRPr="00B907A3">
        <w:rPr>
          <w:rFonts w:ascii="Garamond" w:hAnsi="Garamond"/>
          <w:sz w:val="24"/>
        </w:rPr>
        <w:t>e tyre janë shumë më komplekse për</w:t>
      </w:r>
      <w:r w:rsidR="00887CC6">
        <w:rPr>
          <w:rFonts w:ascii="Garamond" w:hAnsi="Garamond"/>
          <w:sz w:val="24"/>
        </w:rPr>
        <w:t xml:space="preserve"> </w:t>
      </w:r>
      <w:r w:rsidR="00DB76F6">
        <w:rPr>
          <w:rFonts w:ascii="Garamond" w:hAnsi="Garamond"/>
          <w:sz w:val="24"/>
        </w:rPr>
        <w:t>t’u</w:t>
      </w:r>
      <w:r w:rsidR="00887CC6">
        <w:rPr>
          <w:rFonts w:ascii="Garamond" w:hAnsi="Garamond"/>
          <w:sz w:val="24"/>
        </w:rPr>
        <w:t xml:space="preserve"> </w:t>
      </w:r>
      <w:r w:rsidRPr="00B907A3">
        <w:rPr>
          <w:rFonts w:ascii="Garamond" w:hAnsi="Garamond"/>
          <w:sz w:val="24"/>
        </w:rPr>
        <w:t xml:space="preserve">arritur për shkak </w:t>
      </w:r>
      <w:r w:rsidR="002B3C5D" w:rsidRPr="00B907A3">
        <w:rPr>
          <w:rFonts w:ascii="Garamond" w:hAnsi="Garamond"/>
          <w:sz w:val="24"/>
        </w:rPr>
        <w:t xml:space="preserve">se </w:t>
      </w:r>
      <w:r w:rsidRPr="00B907A3">
        <w:rPr>
          <w:rFonts w:ascii="Garamond" w:hAnsi="Garamond"/>
          <w:sz w:val="24"/>
        </w:rPr>
        <w:t>masa</w:t>
      </w:r>
      <w:r w:rsidR="002B3C5D" w:rsidRPr="00B907A3">
        <w:rPr>
          <w:rFonts w:ascii="Garamond" w:hAnsi="Garamond"/>
          <w:sz w:val="24"/>
        </w:rPr>
        <w:t>t m</w:t>
      </w:r>
      <w:r w:rsidRPr="00B907A3">
        <w:rPr>
          <w:rFonts w:ascii="Garamond" w:hAnsi="Garamond"/>
          <w:sz w:val="24"/>
        </w:rPr>
        <w:t>ë</w:t>
      </w:r>
      <w:r w:rsidR="002B3C5D" w:rsidRPr="00B907A3">
        <w:rPr>
          <w:rFonts w:ascii="Garamond" w:hAnsi="Garamond"/>
          <w:sz w:val="24"/>
        </w:rPr>
        <w:t xml:space="preserve"> të</w:t>
      </w:r>
      <w:r w:rsidRPr="00B907A3">
        <w:rPr>
          <w:rFonts w:ascii="Garamond" w:hAnsi="Garamond"/>
          <w:sz w:val="24"/>
        </w:rPr>
        <w:t xml:space="preserve"> lehta për</w:t>
      </w:r>
      <w:r w:rsidR="00887CC6">
        <w:rPr>
          <w:rFonts w:ascii="Garamond" w:hAnsi="Garamond"/>
          <w:sz w:val="24"/>
        </w:rPr>
        <w:t xml:space="preserve"> </w:t>
      </w:r>
      <w:r w:rsidR="00DB76F6">
        <w:rPr>
          <w:rFonts w:ascii="Garamond" w:hAnsi="Garamond"/>
          <w:sz w:val="24"/>
        </w:rPr>
        <w:t>t’u</w:t>
      </w:r>
      <w:r w:rsidR="00887CC6">
        <w:rPr>
          <w:rFonts w:ascii="Garamond" w:hAnsi="Garamond"/>
          <w:sz w:val="24"/>
        </w:rPr>
        <w:t xml:space="preserve"> </w:t>
      </w:r>
      <w:r w:rsidRPr="00B907A3">
        <w:rPr>
          <w:rFonts w:ascii="Garamond" w:hAnsi="Garamond"/>
          <w:sz w:val="24"/>
        </w:rPr>
        <w:t>arritur</w:t>
      </w:r>
      <w:r w:rsidR="002B3C5D" w:rsidRPr="00B907A3">
        <w:rPr>
          <w:rFonts w:ascii="Garamond" w:hAnsi="Garamond"/>
          <w:sz w:val="24"/>
        </w:rPr>
        <w:t xml:space="preserve"> janë zbatuar tashmë</w:t>
      </w:r>
      <w:r w:rsidRPr="00B907A3">
        <w:rPr>
          <w:rFonts w:ascii="Garamond" w:hAnsi="Garamond"/>
          <w:sz w:val="24"/>
        </w:rPr>
        <w:t xml:space="preserve">. Në të njëjtën kohë, është e nevojshme të </w:t>
      </w:r>
      <w:r w:rsidR="00A3316D" w:rsidRPr="00B907A3">
        <w:rPr>
          <w:rFonts w:ascii="Garamond" w:hAnsi="Garamond"/>
          <w:sz w:val="24"/>
        </w:rPr>
        <w:t xml:space="preserve">bëhen </w:t>
      </w:r>
      <w:r w:rsidRPr="00B907A3">
        <w:rPr>
          <w:rFonts w:ascii="Garamond" w:hAnsi="Garamond"/>
          <w:sz w:val="24"/>
        </w:rPr>
        <w:t xml:space="preserve">shumë përpjekje dhe </w:t>
      </w:r>
      <w:r w:rsidR="00A3316D" w:rsidRPr="00B907A3">
        <w:rPr>
          <w:rFonts w:ascii="Garamond" w:hAnsi="Garamond"/>
          <w:sz w:val="24"/>
        </w:rPr>
        <w:t xml:space="preserve">të alokohen </w:t>
      </w:r>
      <w:r w:rsidRPr="00B907A3">
        <w:rPr>
          <w:rFonts w:ascii="Garamond" w:hAnsi="Garamond"/>
          <w:sz w:val="24"/>
        </w:rPr>
        <w:t xml:space="preserve">fonde për zbatimin e një spektri të gjerë ndërhyrjesh në mënyrë që të përmirësohet më tej situata dhe të arrihen objektivat që janë vendosur. Në këtë kontekst, njohja e mësimeve të nxjerra nga </w:t>
      </w:r>
      <w:r w:rsidR="005B413A" w:rsidRPr="00B907A3">
        <w:rPr>
          <w:rFonts w:ascii="Garamond" w:hAnsi="Garamond"/>
          <w:sz w:val="24"/>
        </w:rPr>
        <w:t>SSR</w:t>
      </w:r>
      <w:r w:rsidR="004A4C28" w:rsidRPr="00B907A3">
        <w:rPr>
          <w:rFonts w:ascii="Garamond" w:hAnsi="Garamond"/>
          <w:sz w:val="24"/>
        </w:rPr>
        <w:t>r</w:t>
      </w:r>
      <w:r w:rsidRPr="00B907A3">
        <w:rPr>
          <w:rFonts w:ascii="Garamond" w:hAnsi="Garamond"/>
          <w:sz w:val="24"/>
        </w:rPr>
        <w:t xml:space="preserve"> e parë dhe zbatimi i asaj </w:t>
      </w:r>
      <w:r w:rsidR="007951BD" w:rsidRPr="00B907A3">
        <w:rPr>
          <w:rFonts w:ascii="Garamond" w:hAnsi="Garamond"/>
          <w:sz w:val="24"/>
        </w:rPr>
        <w:t>çka</w:t>
      </w:r>
      <w:r w:rsidR="00A3316D" w:rsidRPr="00B907A3">
        <w:rPr>
          <w:rFonts w:ascii="Garamond" w:hAnsi="Garamond"/>
          <w:sz w:val="24"/>
        </w:rPr>
        <w:t xml:space="preserve"> nuk u arrit nga strategjia e parë, </w:t>
      </w:r>
      <w:r w:rsidRPr="00B907A3">
        <w:rPr>
          <w:rFonts w:ascii="Garamond" w:hAnsi="Garamond"/>
          <w:sz w:val="24"/>
        </w:rPr>
        <w:t xml:space="preserve">është shumë e rëndësishme për suksesin e </w:t>
      </w:r>
      <w:r w:rsidR="00A3316D" w:rsidRPr="00B907A3">
        <w:rPr>
          <w:rFonts w:ascii="Garamond" w:hAnsi="Garamond"/>
          <w:sz w:val="24"/>
        </w:rPr>
        <w:t xml:space="preserve">strategjisë së </w:t>
      </w:r>
      <w:r w:rsidRPr="00B907A3">
        <w:rPr>
          <w:rFonts w:ascii="Garamond" w:hAnsi="Garamond"/>
          <w:sz w:val="24"/>
        </w:rPr>
        <w:t>dytë</w:t>
      </w:r>
      <w:r w:rsidR="007E383E" w:rsidRPr="00B907A3">
        <w:rPr>
          <w:rFonts w:ascii="Garamond" w:hAnsi="Garamond"/>
          <w:sz w:val="24"/>
        </w:rPr>
        <w:t>.</w:t>
      </w:r>
    </w:p>
    <w:p w14:paraId="4454912F" w14:textId="77777777" w:rsidR="004C4127" w:rsidRPr="00B907A3" w:rsidRDefault="004C4127" w:rsidP="008C4E07">
      <w:pPr>
        <w:spacing w:after="0"/>
        <w:ind w:firstLine="284"/>
        <w:jc w:val="left"/>
        <w:rPr>
          <w:rFonts w:ascii="Garamond" w:hAnsi="Garamond"/>
          <w:sz w:val="24"/>
        </w:rPr>
      </w:pPr>
      <w:bookmarkStart w:id="11" w:name="_Hlk197883475"/>
    </w:p>
    <w:p w14:paraId="7CD13EBE" w14:textId="7BB90937" w:rsidR="00CF6D5F" w:rsidRPr="007951BD" w:rsidRDefault="0098472A" w:rsidP="008C4E07">
      <w:pPr>
        <w:spacing w:after="0"/>
        <w:ind w:firstLine="284"/>
        <w:jc w:val="left"/>
        <w:rPr>
          <w:rFonts w:ascii="Garamond" w:eastAsia="Calibri" w:hAnsi="Garamond"/>
          <w:i/>
          <w:sz w:val="24"/>
          <w:lang w:eastAsia="en-US"/>
        </w:rPr>
      </w:pPr>
      <w:bookmarkStart w:id="12" w:name="_Toc208840994"/>
      <w:r w:rsidRPr="007951BD">
        <w:rPr>
          <w:rFonts w:ascii="Garamond" w:hAnsi="Garamond"/>
          <w:i/>
          <w:sz w:val="24"/>
        </w:rPr>
        <w:t>Figur</w:t>
      </w:r>
      <w:r w:rsidR="000B1794" w:rsidRPr="007951BD">
        <w:rPr>
          <w:rFonts w:ascii="Garamond" w:hAnsi="Garamond"/>
          <w:i/>
          <w:sz w:val="24"/>
        </w:rPr>
        <w:t>a</w:t>
      </w:r>
      <w:r w:rsidRPr="007951BD">
        <w:rPr>
          <w:rFonts w:ascii="Garamond" w:hAnsi="Garamond"/>
          <w:i/>
          <w:sz w:val="24"/>
        </w:rPr>
        <w:t xml:space="preserve"> </w:t>
      </w:r>
      <w:r w:rsidR="006C081E">
        <w:rPr>
          <w:rFonts w:ascii="Garamond" w:hAnsi="Garamond"/>
          <w:i/>
          <w:sz w:val="24"/>
        </w:rPr>
        <w:t>0</w:t>
      </w:r>
      <w:bookmarkStart w:id="13" w:name="_GoBack"/>
      <w:bookmarkEnd w:id="13"/>
      <w:r w:rsidR="00B430D5" w:rsidRPr="007951BD">
        <w:rPr>
          <w:rFonts w:ascii="Garamond" w:hAnsi="Garamond"/>
          <w:i/>
          <w:sz w:val="24"/>
        </w:rPr>
        <w:noBreakHyphen/>
      </w:r>
      <w:r w:rsidR="00B430D5" w:rsidRPr="007951BD">
        <w:rPr>
          <w:rFonts w:ascii="Garamond" w:hAnsi="Garamond"/>
          <w:i/>
          <w:sz w:val="24"/>
        </w:rPr>
        <w:fldChar w:fldCharType="begin"/>
      </w:r>
      <w:r w:rsidR="00B430D5" w:rsidRPr="007951BD">
        <w:rPr>
          <w:rFonts w:ascii="Garamond" w:hAnsi="Garamond"/>
          <w:i/>
          <w:sz w:val="24"/>
        </w:rPr>
        <w:instrText xml:space="preserve"> SEQ Figure \* ARABIC \s 1 </w:instrText>
      </w:r>
      <w:r w:rsidR="00B430D5" w:rsidRPr="007951BD">
        <w:rPr>
          <w:rFonts w:ascii="Garamond" w:hAnsi="Garamond"/>
          <w:i/>
          <w:sz w:val="24"/>
        </w:rPr>
        <w:fldChar w:fldCharType="separate"/>
      </w:r>
      <w:r w:rsidR="00D13C76" w:rsidRPr="007951BD">
        <w:rPr>
          <w:rFonts w:ascii="Garamond" w:hAnsi="Garamond"/>
          <w:i/>
          <w:sz w:val="24"/>
        </w:rPr>
        <w:t>1</w:t>
      </w:r>
      <w:r w:rsidR="00B430D5" w:rsidRPr="007951BD">
        <w:rPr>
          <w:rFonts w:ascii="Garamond" w:hAnsi="Garamond"/>
          <w:i/>
          <w:sz w:val="24"/>
        </w:rPr>
        <w:fldChar w:fldCharType="end"/>
      </w:r>
      <w:r w:rsidR="007951BD">
        <w:rPr>
          <w:rFonts w:ascii="Garamond" w:hAnsi="Garamond"/>
          <w:i/>
          <w:sz w:val="24"/>
        </w:rPr>
        <w:t>.</w:t>
      </w:r>
      <w:r w:rsidRPr="007951BD">
        <w:rPr>
          <w:rFonts w:ascii="Garamond" w:hAnsi="Garamond"/>
          <w:i/>
          <w:sz w:val="24"/>
        </w:rPr>
        <w:t xml:space="preserve"> </w:t>
      </w:r>
      <w:bookmarkEnd w:id="11"/>
      <w:r w:rsidR="00CF6D5F" w:rsidRPr="007951BD">
        <w:rPr>
          <w:rFonts w:ascii="Garamond" w:eastAsia="Calibri" w:hAnsi="Garamond"/>
          <w:i/>
          <w:sz w:val="24"/>
          <w:lang w:eastAsia="en-US"/>
        </w:rPr>
        <w:t xml:space="preserve">Ulja e </w:t>
      </w:r>
      <w:r w:rsidR="009E2381" w:rsidRPr="007951BD">
        <w:rPr>
          <w:rFonts w:ascii="Garamond" w:eastAsia="Calibri" w:hAnsi="Garamond"/>
          <w:i/>
          <w:sz w:val="24"/>
          <w:lang w:eastAsia="en-US"/>
        </w:rPr>
        <w:t>fatalitet</w:t>
      </w:r>
      <w:r w:rsidR="00CF6D5F" w:rsidRPr="007951BD">
        <w:rPr>
          <w:rFonts w:ascii="Garamond" w:eastAsia="Calibri" w:hAnsi="Garamond"/>
          <w:i/>
          <w:sz w:val="24"/>
          <w:lang w:eastAsia="en-US"/>
        </w:rPr>
        <w:t>e</w:t>
      </w:r>
      <w:r w:rsidR="009E2381" w:rsidRPr="007951BD">
        <w:rPr>
          <w:rFonts w:ascii="Garamond" w:eastAsia="Calibri" w:hAnsi="Garamond"/>
          <w:i/>
          <w:sz w:val="24"/>
          <w:lang w:eastAsia="en-US"/>
        </w:rPr>
        <w:t>ve</w:t>
      </w:r>
      <w:r w:rsidR="00CF6D5F" w:rsidRPr="007951BD">
        <w:rPr>
          <w:rFonts w:ascii="Garamond" w:eastAsia="Calibri" w:hAnsi="Garamond"/>
          <w:i/>
          <w:sz w:val="24"/>
          <w:lang w:eastAsia="en-US"/>
        </w:rPr>
        <w:t xml:space="preserve"> në periudhën 2011</w:t>
      </w:r>
      <w:r w:rsidR="007951BD" w:rsidRPr="007951BD">
        <w:rPr>
          <w:rFonts w:ascii="Garamond" w:hAnsi="Garamond"/>
          <w:i/>
          <w:sz w:val="24"/>
        </w:rPr>
        <w:t>–</w:t>
      </w:r>
      <w:r w:rsidR="00CF6D5F" w:rsidRPr="007951BD">
        <w:rPr>
          <w:rFonts w:ascii="Garamond" w:eastAsia="Calibri" w:hAnsi="Garamond"/>
          <w:i/>
          <w:sz w:val="24"/>
          <w:lang w:eastAsia="en-US"/>
        </w:rPr>
        <w:t>2020</w:t>
      </w:r>
      <w:bookmarkEnd w:id="12"/>
    </w:p>
    <w:p w14:paraId="0AB81CD4" w14:textId="34AC5066" w:rsidR="00CC3767" w:rsidRPr="00B907A3" w:rsidRDefault="00CF6D5F" w:rsidP="008C4E07">
      <w:pPr>
        <w:spacing w:after="0"/>
        <w:ind w:firstLine="284"/>
        <w:jc w:val="left"/>
        <w:rPr>
          <w:rFonts w:ascii="Garamond" w:hAnsi="Garamond"/>
          <w:sz w:val="24"/>
        </w:rPr>
      </w:pPr>
      <w:r w:rsidRPr="00B907A3">
        <w:rPr>
          <w:rFonts w:ascii="Garamond" w:eastAsia="Calibri" w:hAnsi="Garamond"/>
          <w:sz w:val="24"/>
          <w:lang w:eastAsia="en-US"/>
        </w:rPr>
        <w:t>(Burimi: I</w:t>
      </w:r>
      <w:r w:rsidR="00A3316D" w:rsidRPr="00B907A3">
        <w:rPr>
          <w:rFonts w:ascii="Garamond" w:eastAsia="Calibri" w:hAnsi="Garamond"/>
          <w:sz w:val="24"/>
          <w:lang w:eastAsia="en-US"/>
        </w:rPr>
        <w:t>NSTAT</w:t>
      </w:r>
      <w:r w:rsidR="007951BD">
        <w:rPr>
          <w:rFonts w:ascii="Garamond" w:eastAsia="Calibri" w:hAnsi="Garamond"/>
          <w:sz w:val="24"/>
          <w:lang w:eastAsia="en-US"/>
        </w:rPr>
        <w:t>-i</w:t>
      </w:r>
      <w:r w:rsidRPr="00B907A3">
        <w:rPr>
          <w:rFonts w:ascii="Garamond" w:eastAsia="Calibri" w:hAnsi="Garamond"/>
          <w:sz w:val="24"/>
          <w:lang w:eastAsia="en-US"/>
        </w:rPr>
        <w:t>)</w:t>
      </w:r>
    </w:p>
    <w:p w14:paraId="694D1318" w14:textId="02F1FD3A" w:rsidR="00496F64" w:rsidRPr="00B907A3" w:rsidRDefault="00A03CA0" w:rsidP="008C4E07">
      <w:pPr>
        <w:spacing w:after="0"/>
        <w:jc w:val="center"/>
        <w:rPr>
          <w:rFonts w:ascii="Garamond" w:hAnsi="Garamond"/>
          <w:sz w:val="24"/>
        </w:rPr>
      </w:pPr>
      <w:r w:rsidRPr="00B907A3">
        <w:rPr>
          <w:rFonts w:ascii="Garamond" w:hAnsi="Garamond"/>
          <w:noProof/>
          <w:sz w:val="24"/>
          <w:lang w:eastAsia="sq-AL"/>
        </w:rPr>
        <w:drawing>
          <wp:inline distT="0" distB="0" distL="0" distR="0" wp14:anchorId="1658E2DA" wp14:editId="5B9894F0">
            <wp:extent cx="5480463" cy="292011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9981" cy="2925187"/>
                    </a:xfrm>
                    <a:prstGeom prst="rect">
                      <a:avLst/>
                    </a:prstGeom>
                    <a:noFill/>
                  </pic:spPr>
                </pic:pic>
              </a:graphicData>
            </a:graphic>
          </wp:inline>
        </w:drawing>
      </w:r>
    </w:p>
    <w:p w14:paraId="508934DF" w14:textId="27B92295" w:rsidR="00860F4F" w:rsidRPr="00B907A3" w:rsidRDefault="005B413A" w:rsidP="008C4E07">
      <w:pPr>
        <w:spacing w:after="0"/>
        <w:ind w:firstLine="284"/>
        <w:rPr>
          <w:rFonts w:ascii="Garamond" w:hAnsi="Garamond"/>
          <w:sz w:val="24"/>
        </w:rPr>
      </w:pPr>
      <w:r w:rsidRPr="00B907A3">
        <w:rPr>
          <w:rFonts w:ascii="Garamond" w:hAnsi="Garamond"/>
          <w:sz w:val="24"/>
        </w:rPr>
        <w:t>SS</w:t>
      </w:r>
      <w:r w:rsidR="00A3316D" w:rsidRPr="00B907A3">
        <w:rPr>
          <w:rFonts w:ascii="Garamond" w:hAnsi="Garamond"/>
          <w:sz w:val="24"/>
        </w:rPr>
        <w:t>R</w:t>
      </w:r>
      <w:r w:rsidR="009E2381" w:rsidRPr="00B907A3">
        <w:rPr>
          <w:rFonts w:ascii="Garamond" w:hAnsi="Garamond"/>
          <w:sz w:val="24"/>
        </w:rPr>
        <w:t>r</w:t>
      </w:r>
      <w:r w:rsidR="00CF6D5F" w:rsidRPr="00B907A3">
        <w:rPr>
          <w:rFonts w:ascii="Garamond" w:hAnsi="Garamond"/>
          <w:sz w:val="24"/>
        </w:rPr>
        <w:t xml:space="preserve"> e parë kontribuoi në forcimin e një sistemi të Menaxhimit të Sigurisë Rrugore (</w:t>
      </w:r>
      <w:r w:rsidR="00EF5DD9" w:rsidRPr="00B907A3">
        <w:rPr>
          <w:rFonts w:ascii="Garamond" w:hAnsi="Garamond"/>
          <w:sz w:val="24"/>
        </w:rPr>
        <w:t>MSR</w:t>
      </w:r>
      <w:r w:rsidR="00D47A9A" w:rsidRPr="00B907A3">
        <w:rPr>
          <w:rFonts w:ascii="Garamond" w:hAnsi="Garamond"/>
          <w:sz w:val="24"/>
        </w:rPr>
        <w:t>r</w:t>
      </w:r>
      <w:r w:rsidR="00CF6D5F" w:rsidRPr="00B907A3">
        <w:rPr>
          <w:rFonts w:ascii="Garamond" w:hAnsi="Garamond"/>
          <w:sz w:val="24"/>
        </w:rPr>
        <w:t xml:space="preserve">) në fillim të zbatimit të tij, kur Komiteti Ndërministror i Sigurisë Rrugore, </w:t>
      </w:r>
      <w:r w:rsidR="00C72ED0" w:rsidRPr="00B907A3">
        <w:rPr>
          <w:rFonts w:ascii="Garamond" w:hAnsi="Garamond"/>
          <w:sz w:val="24"/>
        </w:rPr>
        <w:t>KNSR</w:t>
      </w:r>
      <w:r w:rsidR="00A3316D" w:rsidRPr="00B907A3">
        <w:rPr>
          <w:rFonts w:ascii="Garamond" w:hAnsi="Garamond"/>
          <w:sz w:val="24"/>
        </w:rPr>
        <w:t>R</w:t>
      </w:r>
      <w:r w:rsidR="00CF6D5F" w:rsidRPr="00B907A3">
        <w:rPr>
          <w:rFonts w:ascii="Garamond" w:hAnsi="Garamond"/>
          <w:sz w:val="24"/>
        </w:rPr>
        <w:t>, ishte aktiv</w:t>
      </w:r>
      <w:r w:rsidR="002451BA" w:rsidRPr="00B907A3">
        <w:rPr>
          <w:rFonts w:ascii="Garamond" w:hAnsi="Garamond"/>
          <w:sz w:val="24"/>
        </w:rPr>
        <w:t xml:space="preserve">. </w:t>
      </w:r>
    </w:p>
    <w:p w14:paraId="0558F355" w14:textId="79AED0D7" w:rsidR="005F0B0D" w:rsidRPr="00B907A3" w:rsidRDefault="00CF6D5F" w:rsidP="008C4E07">
      <w:pPr>
        <w:spacing w:after="0"/>
        <w:ind w:firstLine="284"/>
        <w:rPr>
          <w:rFonts w:ascii="Garamond" w:hAnsi="Garamond"/>
          <w:sz w:val="24"/>
        </w:rPr>
      </w:pPr>
      <w:r w:rsidRPr="00B907A3">
        <w:rPr>
          <w:rFonts w:ascii="Garamond" w:hAnsi="Garamond"/>
          <w:sz w:val="24"/>
        </w:rPr>
        <w:t xml:space="preserve">Në fillim të zbatimit të </w:t>
      </w:r>
      <w:r w:rsidR="005B413A" w:rsidRPr="00B907A3">
        <w:rPr>
          <w:rFonts w:ascii="Garamond" w:hAnsi="Garamond"/>
          <w:sz w:val="24"/>
        </w:rPr>
        <w:t>SSR</w:t>
      </w:r>
      <w:r w:rsidR="009E2381" w:rsidRPr="00B907A3">
        <w:rPr>
          <w:rFonts w:ascii="Garamond" w:hAnsi="Garamond"/>
          <w:sz w:val="24"/>
        </w:rPr>
        <w:t>r</w:t>
      </w:r>
      <w:r w:rsidRPr="00B907A3">
        <w:rPr>
          <w:rFonts w:ascii="Garamond" w:hAnsi="Garamond"/>
          <w:sz w:val="24"/>
        </w:rPr>
        <w:t xml:space="preserve">-së, u zbatuan një numër përmirësimesh në </w:t>
      </w:r>
      <w:r w:rsidR="00DD6BB7" w:rsidRPr="00B907A3">
        <w:rPr>
          <w:rFonts w:ascii="Garamond" w:hAnsi="Garamond"/>
          <w:sz w:val="24"/>
        </w:rPr>
        <w:t xml:space="preserve">Databazën </w:t>
      </w:r>
      <w:r w:rsidRPr="00B907A3">
        <w:rPr>
          <w:rFonts w:ascii="Garamond" w:hAnsi="Garamond"/>
          <w:sz w:val="24"/>
        </w:rPr>
        <w:t xml:space="preserve">e </w:t>
      </w:r>
      <w:r w:rsidR="00DD6BB7" w:rsidRPr="00B907A3">
        <w:rPr>
          <w:rFonts w:ascii="Garamond" w:hAnsi="Garamond"/>
          <w:sz w:val="24"/>
        </w:rPr>
        <w:t>A</w:t>
      </w:r>
      <w:r w:rsidRPr="00B907A3">
        <w:rPr>
          <w:rFonts w:ascii="Garamond" w:hAnsi="Garamond"/>
          <w:sz w:val="24"/>
        </w:rPr>
        <w:t xml:space="preserve">ksidenteve, </w:t>
      </w:r>
      <w:r w:rsidR="00DD6BB7" w:rsidRPr="00B907A3">
        <w:rPr>
          <w:rFonts w:ascii="Garamond" w:hAnsi="Garamond"/>
          <w:sz w:val="24"/>
        </w:rPr>
        <w:t xml:space="preserve">oficerët e </w:t>
      </w:r>
      <w:r w:rsidRPr="00B907A3">
        <w:rPr>
          <w:rFonts w:ascii="Garamond" w:hAnsi="Garamond"/>
          <w:sz w:val="24"/>
        </w:rPr>
        <w:t>Policisë Rrugore u trajnua</w:t>
      </w:r>
      <w:r w:rsidR="00DD6BB7" w:rsidRPr="00B907A3">
        <w:rPr>
          <w:rFonts w:ascii="Garamond" w:hAnsi="Garamond"/>
          <w:sz w:val="24"/>
        </w:rPr>
        <w:t>n</w:t>
      </w:r>
      <w:r w:rsidRPr="00B907A3">
        <w:rPr>
          <w:rFonts w:ascii="Garamond" w:hAnsi="Garamond"/>
          <w:sz w:val="24"/>
        </w:rPr>
        <w:t xml:space="preserve"> për përdorimin e saj dhe u pajis</w:t>
      </w:r>
      <w:r w:rsidR="00DD6BB7" w:rsidRPr="00B907A3">
        <w:rPr>
          <w:rFonts w:ascii="Garamond" w:hAnsi="Garamond"/>
          <w:sz w:val="24"/>
        </w:rPr>
        <w:t>ën</w:t>
      </w:r>
      <w:r w:rsidRPr="00B907A3">
        <w:rPr>
          <w:rFonts w:ascii="Garamond" w:hAnsi="Garamond"/>
          <w:sz w:val="24"/>
        </w:rPr>
        <w:t xml:space="preserve"> me automjete dhe pajisje bazë </w:t>
      </w:r>
      <w:r w:rsidR="00DD6BB7" w:rsidRPr="00B907A3">
        <w:rPr>
          <w:rFonts w:ascii="Garamond" w:hAnsi="Garamond"/>
          <w:sz w:val="24"/>
        </w:rPr>
        <w:t xml:space="preserve">për </w:t>
      </w:r>
      <w:r w:rsidRPr="00B907A3">
        <w:rPr>
          <w:rFonts w:ascii="Garamond" w:hAnsi="Garamond"/>
          <w:sz w:val="24"/>
        </w:rPr>
        <w:t>zbatimi</w:t>
      </w:r>
      <w:r w:rsidR="00DD6BB7" w:rsidRPr="00B907A3">
        <w:rPr>
          <w:rFonts w:ascii="Garamond" w:hAnsi="Garamond"/>
          <w:sz w:val="24"/>
        </w:rPr>
        <w:t>n</w:t>
      </w:r>
      <w:r w:rsidRPr="00B907A3">
        <w:rPr>
          <w:rFonts w:ascii="Garamond" w:hAnsi="Garamond"/>
          <w:sz w:val="24"/>
        </w:rPr>
        <w:t xml:space="preserve">. Përveç kësaj, </w:t>
      </w:r>
      <w:r w:rsidR="00DD6BB7" w:rsidRPr="00B907A3">
        <w:rPr>
          <w:rFonts w:ascii="Garamond" w:hAnsi="Garamond"/>
          <w:sz w:val="24"/>
        </w:rPr>
        <w:t xml:space="preserve">kuadri </w:t>
      </w:r>
      <w:r w:rsidRPr="00B907A3">
        <w:rPr>
          <w:rFonts w:ascii="Garamond" w:hAnsi="Garamond"/>
          <w:sz w:val="24"/>
        </w:rPr>
        <w:t>ligjor u përmirësua (kryesisht, rishikim</w:t>
      </w:r>
      <w:r w:rsidR="00DD6BB7" w:rsidRPr="00B907A3">
        <w:rPr>
          <w:rFonts w:ascii="Garamond" w:hAnsi="Garamond"/>
          <w:sz w:val="24"/>
        </w:rPr>
        <w:t xml:space="preserve">i i </w:t>
      </w:r>
      <w:r w:rsidRPr="00B907A3">
        <w:rPr>
          <w:rFonts w:ascii="Garamond" w:hAnsi="Garamond"/>
          <w:sz w:val="24"/>
        </w:rPr>
        <w:t>Kodit Rrugor dhe akteve nënligjore</w:t>
      </w:r>
      <w:r w:rsidR="00A254F8" w:rsidRPr="00B907A3">
        <w:rPr>
          <w:rFonts w:ascii="Garamond" w:hAnsi="Garamond"/>
          <w:sz w:val="24"/>
        </w:rPr>
        <w:t xml:space="preserve"> në zbatim të tij</w:t>
      </w:r>
      <w:r w:rsidRPr="00B907A3">
        <w:rPr>
          <w:rFonts w:ascii="Garamond" w:hAnsi="Garamond"/>
          <w:sz w:val="24"/>
        </w:rPr>
        <w:t xml:space="preserve">) për të mbështetur </w:t>
      </w:r>
      <w:r w:rsidR="002215AA" w:rsidRPr="00B907A3">
        <w:rPr>
          <w:rFonts w:ascii="Garamond" w:hAnsi="Garamond"/>
          <w:sz w:val="24"/>
        </w:rPr>
        <w:t>MSR</w:t>
      </w:r>
      <w:r w:rsidR="009E2381" w:rsidRPr="00B907A3">
        <w:rPr>
          <w:rFonts w:ascii="Garamond" w:hAnsi="Garamond"/>
          <w:sz w:val="24"/>
        </w:rPr>
        <w:t>r</w:t>
      </w:r>
      <w:r w:rsidRPr="00B907A3">
        <w:rPr>
          <w:rFonts w:ascii="Garamond" w:hAnsi="Garamond"/>
          <w:sz w:val="24"/>
        </w:rPr>
        <w:t xml:space="preserve">. Në të njëjtën kohë, u </w:t>
      </w:r>
      <w:r w:rsidR="00A254F8" w:rsidRPr="00B907A3">
        <w:rPr>
          <w:rFonts w:ascii="Garamond" w:hAnsi="Garamond"/>
          <w:sz w:val="24"/>
        </w:rPr>
        <w:t xml:space="preserve">realizuan </w:t>
      </w:r>
      <w:r w:rsidRPr="00B907A3">
        <w:rPr>
          <w:rFonts w:ascii="Garamond" w:hAnsi="Garamond"/>
          <w:sz w:val="24"/>
        </w:rPr>
        <w:t xml:space="preserve">një </w:t>
      </w:r>
      <w:r w:rsidR="00A254F8" w:rsidRPr="00B907A3">
        <w:rPr>
          <w:rFonts w:ascii="Garamond" w:hAnsi="Garamond"/>
          <w:sz w:val="24"/>
        </w:rPr>
        <w:t xml:space="preserve">sërë </w:t>
      </w:r>
      <w:r w:rsidRPr="00B907A3">
        <w:rPr>
          <w:rFonts w:ascii="Garamond" w:hAnsi="Garamond"/>
          <w:sz w:val="24"/>
        </w:rPr>
        <w:t xml:space="preserve">përmirësimesh </w:t>
      </w:r>
      <w:r w:rsidR="00A254F8" w:rsidRPr="00B907A3">
        <w:rPr>
          <w:rFonts w:ascii="Garamond" w:hAnsi="Garamond"/>
          <w:sz w:val="24"/>
        </w:rPr>
        <w:t xml:space="preserve">në infrastrukturën </w:t>
      </w:r>
      <w:r w:rsidRPr="00B907A3">
        <w:rPr>
          <w:rFonts w:ascii="Garamond" w:hAnsi="Garamond"/>
          <w:sz w:val="24"/>
        </w:rPr>
        <w:t>rrugore (ndërtime, ri</w:t>
      </w:r>
      <w:r w:rsidR="00A254F8" w:rsidRPr="00B907A3">
        <w:rPr>
          <w:rFonts w:ascii="Garamond" w:hAnsi="Garamond"/>
          <w:sz w:val="24"/>
        </w:rPr>
        <w:t xml:space="preserve">konstruksione </w:t>
      </w:r>
      <w:r w:rsidRPr="00B907A3">
        <w:rPr>
          <w:rFonts w:ascii="Garamond" w:hAnsi="Garamond"/>
          <w:sz w:val="24"/>
        </w:rPr>
        <w:t>dhe rehabilitime</w:t>
      </w:r>
      <w:r w:rsidR="00AF7B20" w:rsidRPr="00B907A3">
        <w:rPr>
          <w:rFonts w:ascii="Garamond" w:hAnsi="Garamond"/>
          <w:sz w:val="24"/>
        </w:rPr>
        <w:t>)</w:t>
      </w:r>
      <w:r w:rsidR="0094645B" w:rsidRPr="00B907A3">
        <w:rPr>
          <w:rFonts w:ascii="Garamond" w:hAnsi="Garamond"/>
          <w:sz w:val="24"/>
        </w:rPr>
        <w:t xml:space="preserve">. </w:t>
      </w:r>
    </w:p>
    <w:p w14:paraId="514A3DA5" w14:textId="09B2A0FF" w:rsidR="005F0B0D" w:rsidRPr="00B907A3" w:rsidRDefault="00CF6D5F" w:rsidP="008C4E07">
      <w:pPr>
        <w:spacing w:after="0"/>
        <w:ind w:firstLine="284"/>
        <w:rPr>
          <w:rFonts w:ascii="Garamond" w:hAnsi="Garamond"/>
          <w:sz w:val="24"/>
        </w:rPr>
      </w:pPr>
      <w:r w:rsidRPr="00B907A3">
        <w:rPr>
          <w:rFonts w:ascii="Garamond" w:hAnsi="Garamond"/>
          <w:sz w:val="24"/>
        </w:rPr>
        <w:t xml:space="preserve">Paralelisht me zhvillimin e </w:t>
      </w:r>
      <w:r w:rsidR="00EF5DD9" w:rsidRPr="00B907A3">
        <w:rPr>
          <w:rFonts w:ascii="Garamond" w:hAnsi="Garamond"/>
          <w:sz w:val="24"/>
        </w:rPr>
        <w:t>MSR</w:t>
      </w:r>
      <w:r w:rsidR="009E2381" w:rsidRPr="00B907A3">
        <w:rPr>
          <w:rFonts w:ascii="Garamond" w:hAnsi="Garamond"/>
          <w:sz w:val="24"/>
        </w:rPr>
        <w:t>r</w:t>
      </w:r>
      <w:r w:rsidRPr="00B907A3">
        <w:rPr>
          <w:rFonts w:ascii="Garamond" w:hAnsi="Garamond"/>
          <w:sz w:val="24"/>
        </w:rPr>
        <w:t xml:space="preserve">, Shqipëria prezantoi </w:t>
      </w:r>
      <w:r w:rsidR="00523D78" w:rsidRPr="00B907A3">
        <w:rPr>
          <w:rFonts w:ascii="Garamond" w:hAnsi="Garamond"/>
          <w:sz w:val="24"/>
        </w:rPr>
        <w:t xml:space="preserve">Instrumentet e </w:t>
      </w:r>
      <w:r w:rsidRPr="00B907A3">
        <w:rPr>
          <w:rFonts w:ascii="Garamond" w:hAnsi="Garamond"/>
          <w:sz w:val="24"/>
        </w:rPr>
        <w:t>Menaxhimit të Sigurisë së Infrastrukturës Rrugore (</w:t>
      </w:r>
      <w:r w:rsidR="00EF5DD9" w:rsidRPr="00B907A3">
        <w:rPr>
          <w:rFonts w:ascii="Garamond" w:hAnsi="Garamond"/>
          <w:sz w:val="24"/>
        </w:rPr>
        <w:t>MSIR</w:t>
      </w:r>
      <w:r w:rsidR="009E2381" w:rsidRPr="00B907A3">
        <w:rPr>
          <w:rFonts w:ascii="Garamond" w:hAnsi="Garamond"/>
          <w:sz w:val="24"/>
        </w:rPr>
        <w:t>r</w:t>
      </w:r>
      <w:r w:rsidRPr="00B907A3">
        <w:rPr>
          <w:rFonts w:ascii="Garamond" w:hAnsi="Garamond"/>
          <w:sz w:val="24"/>
        </w:rPr>
        <w:t xml:space="preserve">), të tilla si: Auditimi i Sigurisë Rrugore, </w:t>
      </w:r>
      <w:r w:rsidR="002215AA" w:rsidRPr="00B907A3">
        <w:rPr>
          <w:rFonts w:ascii="Garamond" w:hAnsi="Garamond"/>
          <w:sz w:val="24"/>
        </w:rPr>
        <w:t xml:space="preserve">Kontrolli </w:t>
      </w:r>
      <w:r w:rsidRPr="00B907A3">
        <w:rPr>
          <w:rFonts w:ascii="Garamond" w:hAnsi="Garamond"/>
          <w:sz w:val="24"/>
        </w:rPr>
        <w:t xml:space="preserve">i Sigurisë Rrugore dhe Menaxhimi i Pikave të Zeza. Këto </w:t>
      </w:r>
      <w:r w:rsidR="00385DC3" w:rsidRPr="00B907A3">
        <w:rPr>
          <w:rFonts w:ascii="Garamond" w:hAnsi="Garamond"/>
          <w:sz w:val="24"/>
        </w:rPr>
        <w:t xml:space="preserve">instrumente të </w:t>
      </w:r>
      <w:r w:rsidR="007D43B4" w:rsidRPr="00B907A3">
        <w:rPr>
          <w:rFonts w:ascii="Garamond" w:hAnsi="Garamond"/>
          <w:sz w:val="24"/>
        </w:rPr>
        <w:t>MSI</w:t>
      </w:r>
      <w:r w:rsidR="00385DC3" w:rsidRPr="00B907A3">
        <w:rPr>
          <w:rFonts w:ascii="Garamond" w:hAnsi="Garamond"/>
          <w:sz w:val="24"/>
        </w:rPr>
        <w:t>R</w:t>
      </w:r>
      <w:r w:rsidR="009E2381" w:rsidRPr="00B907A3">
        <w:rPr>
          <w:rFonts w:ascii="Garamond" w:hAnsi="Garamond"/>
          <w:sz w:val="24"/>
        </w:rPr>
        <w:t>r</w:t>
      </w:r>
      <w:r w:rsidRPr="00B907A3">
        <w:rPr>
          <w:rFonts w:ascii="Garamond" w:hAnsi="Garamond"/>
          <w:sz w:val="24"/>
        </w:rPr>
        <w:t xml:space="preserve"> u ndërmorën fillimisht nga </w:t>
      </w:r>
      <w:r w:rsidR="00385DC3" w:rsidRPr="00B907A3">
        <w:rPr>
          <w:rFonts w:ascii="Garamond" w:hAnsi="Garamond"/>
          <w:sz w:val="24"/>
        </w:rPr>
        <w:t>IFN</w:t>
      </w:r>
      <w:r w:rsidRPr="00B907A3">
        <w:rPr>
          <w:rFonts w:ascii="Garamond" w:hAnsi="Garamond"/>
          <w:sz w:val="24"/>
        </w:rPr>
        <w:t xml:space="preserve">-të (BB, BERZH, BEI, etj.) dhe </w:t>
      </w:r>
      <w:r w:rsidR="00385DC3" w:rsidRPr="00B907A3">
        <w:rPr>
          <w:rFonts w:ascii="Garamond" w:hAnsi="Garamond"/>
          <w:sz w:val="24"/>
        </w:rPr>
        <w:t xml:space="preserve">ekipi </w:t>
      </w:r>
      <w:r w:rsidRPr="00B907A3">
        <w:rPr>
          <w:rFonts w:ascii="Garamond" w:hAnsi="Garamond"/>
          <w:sz w:val="24"/>
        </w:rPr>
        <w:t xml:space="preserve">i parë i auditorëve/inspektorëve u trajnua dhe u certifikua për zbatimin e </w:t>
      </w:r>
      <w:r w:rsidR="00385DC3" w:rsidRPr="00B907A3">
        <w:rPr>
          <w:rFonts w:ascii="Garamond" w:hAnsi="Garamond"/>
          <w:sz w:val="24"/>
        </w:rPr>
        <w:t xml:space="preserve">instrumenteve të </w:t>
      </w:r>
      <w:r w:rsidR="007D43B4" w:rsidRPr="00B907A3">
        <w:rPr>
          <w:rFonts w:ascii="Garamond" w:hAnsi="Garamond"/>
          <w:sz w:val="24"/>
        </w:rPr>
        <w:t>MSI</w:t>
      </w:r>
      <w:r w:rsidR="00385DC3" w:rsidRPr="00B907A3">
        <w:rPr>
          <w:rFonts w:ascii="Garamond" w:hAnsi="Garamond"/>
          <w:sz w:val="24"/>
        </w:rPr>
        <w:t>R</w:t>
      </w:r>
      <w:r w:rsidR="00BC747F" w:rsidRPr="00B907A3">
        <w:rPr>
          <w:rFonts w:ascii="Garamond" w:hAnsi="Garamond"/>
          <w:sz w:val="24"/>
        </w:rPr>
        <w:t>r</w:t>
      </w:r>
      <w:r w:rsidR="00385DC3" w:rsidRPr="00B907A3">
        <w:rPr>
          <w:rFonts w:ascii="Garamond" w:hAnsi="Garamond"/>
          <w:sz w:val="24"/>
        </w:rPr>
        <w:t>-së</w:t>
      </w:r>
      <w:r w:rsidR="005F0B0D" w:rsidRPr="00B907A3">
        <w:rPr>
          <w:rFonts w:ascii="Garamond" w:hAnsi="Garamond"/>
          <w:sz w:val="24"/>
        </w:rPr>
        <w:t>.</w:t>
      </w:r>
    </w:p>
    <w:p w14:paraId="294CB0FA" w14:textId="7E6D94D8" w:rsidR="00D11C26" w:rsidRPr="00B907A3" w:rsidRDefault="00CF6D5F" w:rsidP="008C4E07">
      <w:pPr>
        <w:spacing w:after="0"/>
        <w:ind w:firstLine="284"/>
        <w:rPr>
          <w:rFonts w:ascii="Garamond" w:hAnsi="Garamond"/>
          <w:sz w:val="24"/>
        </w:rPr>
      </w:pPr>
      <w:r w:rsidRPr="00B907A3">
        <w:rPr>
          <w:rFonts w:ascii="Garamond" w:hAnsi="Garamond"/>
          <w:sz w:val="24"/>
        </w:rPr>
        <w:t xml:space="preserve">Për më tepër, </w:t>
      </w:r>
      <w:r w:rsidR="005B3E8C" w:rsidRPr="00B907A3">
        <w:rPr>
          <w:rFonts w:ascii="Garamond" w:hAnsi="Garamond"/>
          <w:sz w:val="24"/>
        </w:rPr>
        <w:t>u forcua</w:t>
      </w:r>
      <w:r w:rsidR="0017128D" w:rsidRPr="00B907A3">
        <w:rPr>
          <w:rFonts w:ascii="Garamond" w:hAnsi="Garamond"/>
          <w:sz w:val="24"/>
        </w:rPr>
        <w:t xml:space="preserve"> </w:t>
      </w:r>
      <w:r w:rsidR="009E2381" w:rsidRPr="00B907A3">
        <w:rPr>
          <w:rFonts w:ascii="Garamond" w:hAnsi="Garamond"/>
          <w:sz w:val="24"/>
        </w:rPr>
        <w:t>Drejtoria e Përgjithshme e Shërbimeve të Transportit Rrugor</w:t>
      </w:r>
      <w:r w:rsidR="005B3E8C" w:rsidRPr="00B907A3">
        <w:rPr>
          <w:rFonts w:ascii="Garamond" w:hAnsi="Garamond"/>
          <w:sz w:val="24"/>
        </w:rPr>
        <w:t>.</w:t>
      </w:r>
      <w:r w:rsidRPr="00B907A3">
        <w:rPr>
          <w:rFonts w:ascii="Garamond" w:hAnsi="Garamond"/>
          <w:sz w:val="24"/>
        </w:rPr>
        <w:t xml:space="preserve"> Në atë periudhë, u</w:t>
      </w:r>
      <w:r w:rsidR="00385DC3" w:rsidRPr="00B907A3">
        <w:rPr>
          <w:rFonts w:ascii="Garamond" w:hAnsi="Garamond"/>
          <w:sz w:val="24"/>
        </w:rPr>
        <w:t xml:space="preserve"> realizuan </w:t>
      </w:r>
      <w:r w:rsidRPr="00B907A3">
        <w:rPr>
          <w:rFonts w:ascii="Garamond" w:hAnsi="Garamond"/>
          <w:sz w:val="24"/>
        </w:rPr>
        <w:t xml:space="preserve">përmirësime profesionale </w:t>
      </w:r>
      <w:r w:rsidR="00385DC3" w:rsidRPr="00B907A3">
        <w:rPr>
          <w:rFonts w:ascii="Garamond" w:hAnsi="Garamond"/>
          <w:sz w:val="24"/>
        </w:rPr>
        <w:t xml:space="preserve">lidhur me kursin për marrjen e </w:t>
      </w:r>
      <w:r w:rsidR="009E2381" w:rsidRPr="00B907A3">
        <w:rPr>
          <w:rFonts w:ascii="Garamond" w:hAnsi="Garamond"/>
          <w:sz w:val="24"/>
        </w:rPr>
        <w:t>lejedrejtimit</w:t>
      </w:r>
      <w:r w:rsidR="00385DC3" w:rsidRPr="00B907A3">
        <w:rPr>
          <w:rFonts w:ascii="Garamond" w:hAnsi="Garamond"/>
          <w:sz w:val="24"/>
        </w:rPr>
        <w:t xml:space="preserve"> për drejtues automjeti, kursin për drejtues </w:t>
      </w:r>
      <w:r w:rsidRPr="00B907A3">
        <w:rPr>
          <w:rFonts w:ascii="Garamond" w:hAnsi="Garamond"/>
          <w:sz w:val="24"/>
        </w:rPr>
        <w:t>profesionist</w:t>
      </w:r>
      <w:r w:rsidR="00385DC3" w:rsidRPr="00B907A3">
        <w:rPr>
          <w:rFonts w:ascii="Garamond" w:hAnsi="Garamond"/>
          <w:sz w:val="24"/>
        </w:rPr>
        <w:t xml:space="preserve"> të </w:t>
      </w:r>
      <w:r w:rsidR="007951BD" w:rsidRPr="00B907A3">
        <w:rPr>
          <w:rFonts w:ascii="Garamond" w:hAnsi="Garamond"/>
          <w:sz w:val="24"/>
        </w:rPr>
        <w:t>automjeteve</w:t>
      </w:r>
      <w:r w:rsidRPr="00B907A3">
        <w:rPr>
          <w:rFonts w:ascii="Garamond" w:hAnsi="Garamond"/>
          <w:sz w:val="24"/>
        </w:rPr>
        <w:t xml:space="preserve">, </w:t>
      </w:r>
      <w:r w:rsidR="00385DC3" w:rsidRPr="00B907A3">
        <w:rPr>
          <w:rFonts w:ascii="Garamond" w:hAnsi="Garamond"/>
          <w:sz w:val="24"/>
        </w:rPr>
        <w:t>si dhe për trajnuesit e auto</w:t>
      </w:r>
      <w:r w:rsidRPr="00B907A3">
        <w:rPr>
          <w:rFonts w:ascii="Garamond" w:hAnsi="Garamond"/>
          <w:sz w:val="24"/>
        </w:rPr>
        <w:t>shkolla</w:t>
      </w:r>
      <w:r w:rsidR="00385DC3" w:rsidRPr="00B907A3">
        <w:rPr>
          <w:rFonts w:ascii="Garamond" w:hAnsi="Garamond"/>
          <w:sz w:val="24"/>
        </w:rPr>
        <w:t>ve. Gjithashtu</w:t>
      </w:r>
      <w:r w:rsidR="007951BD">
        <w:rPr>
          <w:rFonts w:ascii="Garamond" w:hAnsi="Garamond"/>
          <w:sz w:val="24"/>
        </w:rPr>
        <w:t>,</w:t>
      </w:r>
      <w:r w:rsidR="00385DC3" w:rsidRPr="00B907A3">
        <w:rPr>
          <w:rFonts w:ascii="Garamond" w:hAnsi="Garamond"/>
          <w:sz w:val="24"/>
        </w:rPr>
        <w:t xml:space="preserve"> u realizuan trajnime </w:t>
      </w:r>
      <w:r w:rsidRPr="00B907A3">
        <w:rPr>
          <w:rFonts w:ascii="Garamond" w:hAnsi="Garamond"/>
          <w:sz w:val="24"/>
        </w:rPr>
        <w:t>të autoriteteve mbikëqyrëse në fushën e tahografëve</w:t>
      </w:r>
      <w:r w:rsidR="00D11C26" w:rsidRPr="00B907A3">
        <w:rPr>
          <w:rFonts w:ascii="Garamond" w:hAnsi="Garamond"/>
          <w:sz w:val="24"/>
        </w:rPr>
        <w:t xml:space="preserve">. </w:t>
      </w:r>
    </w:p>
    <w:p w14:paraId="0FC75932" w14:textId="737615CF" w:rsidR="005F4706" w:rsidRPr="00B907A3" w:rsidRDefault="00CF6D5F" w:rsidP="008C4E07">
      <w:pPr>
        <w:spacing w:after="0"/>
        <w:ind w:firstLine="284"/>
        <w:rPr>
          <w:rFonts w:ascii="Garamond" w:hAnsi="Garamond"/>
          <w:sz w:val="24"/>
        </w:rPr>
      </w:pPr>
      <w:r w:rsidRPr="00B907A3">
        <w:rPr>
          <w:rFonts w:ascii="Garamond" w:hAnsi="Garamond"/>
          <w:bCs/>
          <w:sz w:val="24"/>
        </w:rPr>
        <w:t xml:space="preserve">U vunë re mangësi në zbatimin e </w:t>
      </w:r>
      <w:r w:rsidR="005B413A" w:rsidRPr="00B907A3">
        <w:rPr>
          <w:rFonts w:ascii="Garamond" w:hAnsi="Garamond"/>
          <w:bCs/>
          <w:sz w:val="24"/>
        </w:rPr>
        <w:t>SS</w:t>
      </w:r>
      <w:r w:rsidR="00385DC3" w:rsidRPr="00B907A3">
        <w:rPr>
          <w:rFonts w:ascii="Garamond" w:hAnsi="Garamond"/>
          <w:bCs/>
          <w:sz w:val="24"/>
        </w:rPr>
        <w:t>R</w:t>
      </w:r>
      <w:r w:rsidR="009E2381" w:rsidRPr="00B907A3">
        <w:rPr>
          <w:rFonts w:ascii="Garamond" w:hAnsi="Garamond"/>
          <w:bCs/>
          <w:sz w:val="24"/>
        </w:rPr>
        <w:t>r</w:t>
      </w:r>
      <w:r w:rsidRPr="00B907A3">
        <w:rPr>
          <w:rFonts w:ascii="Garamond" w:hAnsi="Garamond"/>
          <w:bCs/>
          <w:sz w:val="24"/>
        </w:rPr>
        <w:t xml:space="preserve"> së parë, të tilla si: mungesa e organizimit dhe menaxhimit të mirë të sigurisë </w:t>
      </w:r>
      <w:r w:rsidR="00B95E7E" w:rsidRPr="00B907A3">
        <w:rPr>
          <w:rFonts w:ascii="Garamond" w:hAnsi="Garamond"/>
          <w:bCs/>
          <w:sz w:val="24"/>
        </w:rPr>
        <w:t>së qarkullimit rrugor</w:t>
      </w:r>
      <w:r w:rsidRPr="00B907A3">
        <w:rPr>
          <w:rFonts w:ascii="Garamond" w:hAnsi="Garamond"/>
          <w:bCs/>
          <w:sz w:val="24"/>
        </w:rPr>
        <w:t xml:space="preserve">, ndërgjegjësimi i pamjaftueshëm i vendimmarrësve në lidhje me </w:t>
      </w:r>
      <w:r w:rsidR="00B95E7E" w:rsidRPr="00B907A3">
        <w:rPr>
          <w:rFonts w:ascii="Garamond" w:hAnsi="Garamond"/>
          <w:bCs/>
          <w:sz w:val="24"/>
        </w:rPr>
        <w:t xml:space="preserve">nevojën për </w:t>
      </w:r>
      <w:r w:rsidRPr="00B907A3">
        <w:rPr>
          <w:rFonts w:ascii="Garamond" w:hAnsi="Garamond"/>
          <w:bCs/>
          <w:sz w:val="24"/>
        </w:rPr>
        <w:t>investime</w:t>
      </w:r>
      <w:r w:rsidR="00B95E7E" w:rsidRPr="00B907A3">
        <w:rPr>
          <w:rFonts w:ascii="Garamond" w:hAnsi="Garamond"/>
          <w:bCs/>
          <w:sz w:val="24"/>
        </w:rPr>
        <w:t xml:space="preserve"> </w:t>
      </w:r>
      <w:r w:rsidRPr="00B907A3">
        <w:rPr>
          <w:rFonts w:ascii="Garamond" w:hAnsi="Garamond"/>
          <w:bCs/>
          <w:sz w:val="24"/>
        </w:rPr>
        <w:t xml:space="preserve">në sigurinë </w:t>
      </w:r>
      <w:r w:rsidR="00B95E7E" w:rsidRPr="00B907A3">
        <w:rPr>
          <w:rFonts w:ascii="Garamond" w:hAnsi="Garamond"/>
          <w:bCs/>
          <w:sz w:val="24"/>
        </w:rPr>
        <w:t>e qarkullimit rrugor</w:t>
      </w:r>
      <w:r w:rsidRPr="00B907A3">
        <w:rPr>
          <w:rFonts w:ascii="Garamond" w:hAnsi="Garamond"/>
          <w:bCs/>
          <w:sz w:val="24"/>
        </w:rPr>
        <w:t xml:space="preserve">, mungesa e planifikimit të qëndrueshëm për ndërtimin dhe forcimin e kapaciteteve të subjekteve në fushën e sigurisë </w:t>
      </w:r>
      <w:r w:rsidR="00B95E7E" w:rsidRPr="00B907A3">
        <w:rPr>
          <w:rFonts w:ascii="Garamond" w:hAnsi="Garamond"/>
          <w:bCs/>
          <w:sz w:val="24"/>
        </w:rPr>
        <w:t>së qarkullimit rrugor</w:t>
      </w:r>
      <w:r w:rsidRPr="00B907A3">
        <w:rPr>
          <w:rFonts w:ascii="Garamond" w:hAnsi="Garamond"/>
          <w:bCs/>
          <w:sz w:val="24"/>
        </w:rPr>
        <w:t xml:space="preserve">, angazhimi i pamjaftueshëm i individëve dhe subjekteve të caktuara, bashkëpunimi ndërkombëtar dhe zbatimi </w:t>
      </w:r>
      <w:r w:rsidR="00B95E7E" w:rsidRPr="00B907A3">
        <w:rPr>
          <w:rFonts w:ascii="Garamond" w:hAnsi="Garamond"/>
          <w:bCs/>
          <w:sz w:val="24"/>
        </w:rPr>
        <w:t xml:space="preserve">i </w:t>
      </w:r>
      <w:r w:rsidRPr="00B907A3">
        <w:rPr>
          <w:rFonts w:ascii="Garamond" w:hAnsi="Garamond"/>
          <w:bCs/>
          <w:sz w:val="24"/>
        </w:rPr>
        <w:t>praktikave të suksesshme</w:t>
      </w:r>
      <w:r w:rsidR="00B95E7E" w:rsidRPr="00B907A3">
        <w:rPr>
          <w:rFonts w:ascii="Garamond" w:hAnsi="Garamond"/>
          <w:bCs/>
          <w:sz w:val="24"/>
        </w:rPr>
        <w:t xml:space="preserve"> të pamjaftueshëm</w:t>
      </w:r>
      <w:r w:rsidRPr="00B907A3">
        <w:rPr>
          <w:rFonts w:ascii="Garamond" w:hAnsi="Garamond"/>
          <w:bCs/>
          <w:sz w:val="24"/>
        </w:rPr>
        <w:t xml:space="preserve">, mungesa e analizave të rregullta të ekspertëve dhe raportimit </w:t>
      </w:r>
      <w:r w:rsidRPr="00B907A3">
        <w:rPr>
          <w:rFonts w:ascii="Garamond" w:hAnsi="Garamond"/>
          <w:bCs/>
          <w:sz w:val="24"/>
        </w:rPr>
        <w:lastRenderedPageBreak/>
        <w:t xml:space="preserve">të përhershëm të cilësisë mbi sigurinë </w:t>
      </w:r>
      <w:r w:rsidR="00B95E7E" w:rsidRPr="00B907A3">
        <w:rPr>
          <w:rFonts w:ascii="Garamond" w:hAnsi="Garamond"/>
          <w:bCs/>
          <w:sz w:val="24"/>
        </w:rPr>
        <w:t>e qarkullimit rrugor</w:t>
      </w:r>
      <w:r w:rsidRPr="00B907A3">
        <w:rPr>
          <w:rFonts w:ascii="Garamond" w:hAnsi="Garamond"/>
          <w:bCs/>
          <w:sz w:val="24"/>
        </w:rPr>
        <w:t xml:space="preserve">, mungesa e </w:t>
      </w:r>
      <w:r w:rsidR="00B95E7E" w:rsidRPr="00B907A3">
        <w:rPr>
          <w:rFonts w:ascii="Garamond" w:hAnsi="Garamond"/>
          <w:bCs/>
          <w:sz w:val="24"/>
        </w:rPr>
        <w:t xml:space="preserve">vullnetit </w:t>
      </w:r>
      <w:r w:rsidRPr="00B907A3">
        <w:rPr>
          <w:rFonts w:ascii="Garamond" w:hAnsi="Garamond"/>
          <w:bCs/>
          <w:sz w:val="24"/>
        </w:rPr>
        <w:t xml:space="preserve">për të monitoruar rregullisht zbatimin e masave dhe aktiviteteve dhe për të shqyrtuar arritjen e qëllimeve të përcaktuara, komunikimi, koordinimi dhe bashkëpunimi i kufizuar i subjekteve të rëndësishme, mbështetje </w:t>
      </w:r>
      <w:r w:rsidR="00B95E7E" w:rsidRPr="00B907A3">
        <w:rPr>
          <w:rFonts w:ascii="Garamond" w:hAnsi="Garamond"/>
          <w:bCs/>
          <w:sz w:val="24"/>
        </w:rPr>
        <w:t xml:space="preserve">financiare </w:t>
      </w:r>
      <w:r w:rsidRPr="00B907A3">
        <w:rPr>
          <w:rFonts w:ascii="Garamond" w:hAnsi="Garamond"/>
          <w:bCs/>
          <w:sz w:val="24"/>
        </w:rPr>
        <w:t>e kufizuar, etj</w:t>
      </w:r>
      <w:r w:rsidR="005F4706" w:rsidRPr="00B907A3">
        <w:rPr>
          <w:rFonts w:ascii="Garamond" w:hAnsi="Garamond"/>
          <w:sz w:val="24"/>
        </w:rPr>
        <w:t>.</w:t>
      </w:r>
    </w:p>
    <w:p w14:paraId="731DF33A" w14:textId="61242651" w:rsidR="00E916E6" w:rsidRPr="00B907A3" w:rsidRDefault="00CF6D5F" w:rsidP="008C4E07">
      <w:pPr>
        <w:spacing w:after="0"/>
        <w:ind w:firstLine="284"/>
        <w:rPr>
          <w:rFonts w:ascii="Garamond" w:hAnsi="Garamond"/>
          <w:sz w:val="24"/>
        </w:rPr>
      </w:pPr>
      <w:r w:rsidRPr="00B907A3">
        <w:rPr>
          <w:rFonts w:ascii="Garamond" w:hAnsi="Garamond"/>
          <w:bCs/>
          <w:sz w:val="24"/>
          <w:shd w:val="clear" w:color="auto" w:fill="FFFFFF"/>
        </w:rPr>
        <w:t xml:space="preserve">Plani i Veprimit për </w:t>
      </w:r>
      <w:r w:rsidR="004B7CC2" w:rsidRPr="00B907A3">
        <w:rPr>
          <w:rFonts w:ascii="Garamond" w:hAnsi="Garamond"/>
          <w:bCs/>
          <w:sz w:val="24"/>
          <w:shd w:val="clear" w:color="auto" w:fill="FFFFFF"/>
        </w:rPr>
        <w:t xml:space="preserve">zbatimin </w:t>
      </w:r>
      <w:r w:rsidRPr="00B907A3">
        <w:rPr>
          <w:rFonts w:ascii="Garamond" w:hAnsi="Garamond"/>
          <w:bCs/>
          <w:sz w:val="24"/>
          <w:shd w:val="clear" w:color="auto" w:fill="FFFFFF"/>
        </w:rPr>
        <w:t xml:space="preserve">e Strategjisë së parë Kombëtare parashikonte </w:t>
      </w:r>
      <w:r w:rsidR="004B7CC2" w:rsidRPr="00B907A3">
        <w:rPr>
          <w:rFonts w:ascii="Garamond" w:hAnsi="Garamond"/>
          <w:bCs/>
          <w:sz w:val="24"/>
          <w:shd w:val="clear" w:color="auto" w:fill="FFFFFF"/>
        </w:rPr>
        <w:t xml:space="preserve">realizimin </w:t>
      </w:r>
      <w:r w:rsidRPr="00B907A3">
        <w:rPr>
          <w:rFonts w:ascii="Garamond" w:hAnsi="Garamond"/>
          <w:bCs/>
          <w:sz w:val="24"/>
          <w:shd w:val="clear" w:color="auto" w:fill="FFFFFF"/>
        </w:rPr>
        <w:t xml:space="preserve">e një </w:t>
      </w:r>
      <w:r w:rsidR="004B7CC2" w:rsidRPr="00B907A3">
        <w:rPr>
          <w:rFonts w:ascii="Garamond" w:hAnsi="Garamond"/>
          <w:bCs/>
          <w:sz w:val="24"/>
          <w:shd w:val="clear" w:color="auto" w:fill="FFFFFF"/>
        </w:rPr>
        <w:t xml:space="preserve">sërë masash </w:t>
      </w:r>
      <w:r w:rsidRPr="00B907A3">
        <w:rPr>
          <w:rFonts w:ascii="Garamond" w:hAnsi="Garamond"/>
          <w:bCs/>
          <w:sz w:val="24"/>
          <w:shd w:val="clear" w:color="auto" w:fill="FFFFFF"/>
        </w:rPr>
        <w:t xml:space="preserve">të </w:t>
      </w:r>
      <w:r w:rsidR="004B7CC2" w:rsidRPr="00B907A3">
        <w:rPr>
          <w:rFonts w:ascii="Garamond" w:hAnsi="Garamond"/>
          <w:bCs/>
          <w:sz w:val="24"/>
          <w:shd w:val="clear" w:color="auto" w:fill="FFFFFF"/>
        </w:rPr>
        <w:t xml:space="preserve">shpërndara në </w:t>
      </w:r>
      <w:r w:rsidRPr="00B907A3">
        <w:rPr>
          <w:rFonts w:ascii="Garamond" w:hAnsi="Garamond"/>
          <w:bCs/>
          <w:sz w:val="24"/>
          <w:shd w:val="clear" w:color="auto" w:fill="FFFFFF"/>
        </w:rPr>
        <w:t xml:space="preserve">15 sektorë, megjithatë, nuk pati ndjekje </w:t>
      </w:r>
      <w:r w:rsidR="004B7CC2" w:rsidRPr="00B907A3">
        <w:rPr>
          <w:rFonts w:ascii="Garamond" w:hAnsi="Garamond"/>
          <w:bCs/>
          <w:sz w:val="24"/>
          <w:shd w:val="clear" w:color="auto" w:fill="FFFFFF"/>
        </w:rPr>
        <w:t xml:space="preserve">nga </w:t>
      </w:r>
      <w:r w:rsidRPr="00B907A3">
        <w:rPr>
          <w:rFonts w:ascii="Garamond" w:hAnsi="Garamond"/>
          <w:bCs/>
          <w:sz w:val="24"/>
          <w:shd w:val="clear" w:color="auto" w:fill="FFFFFF"/>
        </w:rPr>
        <w:t>afër</w:t>
      </w:r>
      <w:r w:rsidR="004B7CC2" w:rsidRPr="00B907A3">
        <w:rPr>
          <w:rFonts w:ascii="Garamond" w:hAnsi="Garamond"/>
          <w:bCs/>
          <w:sz w:val="24"/>
          <w:shd w:val="clear" w:color="auto" w:fill="FFFFFF"/>
        </w:rPr>
        <w:t xml:space="preserve"> të zbatimit të tyre apo </w:t>
      </w:r>
      <w:r w:rsidRPr="00B907A3">
        <w:rPr>
          <w:rFonts w:ascii="Garamond" w:hAnsi="Garamond"/>
          <w:bCs/>
          <w:sz w:val="24"/>
          <w:shd w:val="clear" w:color="auto" w:fill="FFFFFF"/>
        </w:rPr>
        <w:t>përfundime të qarta se cilat masa kanë qenë efikase dhe cilat masa (dhe pse) nuk kanë dhënë rezultatet e pritura. Prandaj, janë bërë vetëm vëzhgime dhe vlerësime të përgjithshme në lidhje me suksesin e</w:t>
      </w:r>
      <w:r w:rsidR="00887CC6">
        <w:rPr>
          <w:rFonts w:ascii="Garamond" w:hAnsi="Garamond"/>
          <w:bCs/>
          <w:sz w:val="24"/>
          <w:shd w:val="clear" w:color="auto" w:fill="FFFFFF"/>
        </w:rPr>
        <w:t xml:space="preserve"> </w:t>
      </w:r>
      <w:r w:rsidR="005B413A" w:rsidRPr="00B907A3">
        <w:rPr>
          <w:rFonts w:ascii="Garamond" w:hAnsi="Garamond"/>
          <w:bCs/>
          <w:sz w:val="24"/>
          <w:shd w:val="clear" w:color="auto" w:fill="FFFFFF"/>
        </w:rPr>
        <w:t>SSR</w:t>
      </w:r>
      <w:r w:rsidR="00503AF6" w:rsidRPr="00B907A3">
        <w:rPr>
          <w:rFonts w:ascii="Garamond" w:hAnsi="Garamond"/>
          <w:bCs/>
          <w:sz w:val="24"/>
          <w:shd w:val="clear" w:color="auto" w:fill="FFFFFF"/>
        </w:rPr>
        <w:t>r</w:t>
      </w:r>
      <w:r w:rsidR="004B7CC2" w:rsidRPr="00B907A3">
        <w:rPr>
          <w:rFonts w:ascii="Garamond" w:hAnsi="Garamond"/>
          <w:bCs/>
          <w:sz w:val="24"/>
          <w:shd w:val="clear" w:color="auto" w:fill="FFFFFF"/>
        </w:rPr>
        <w:t xml:space="preserve"> së parë</w:t>
      </w:r>
      <w:r w:rsidR="00E916E6" w:rsidRPr="00B907A3">
        <w:rPr>
          <w:rFonts w:ascii="Garamond" w:hAnsi="Garamond"/>
          <w:sz w:val="24"/>
        </w:rPr>
        <w:t xml:space="preserve">: </w:t>
      </w:r>
    </w:p>
    <w:p w14:paraId="2BBFEB7C" w14:textId="5F974951"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Administrimi – një nivel mesatar/i ulët zbatimi;</w:t>
      </w:r>
    </w:p>
    <w:p w14:paraId="7CB9B96D" w14:textId="1A462418"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Sistemi i Informacionit për Aksidentet Rrugore – nivel i lartë zbatimi;</w:t>
      </w:r>
    </w:p>
    <w:p w14:paraId="7C0B9270" w14:textId="249FE54A"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Planifikimi dhe projektimi i sigurt i rrugëve – nivel i mesëm/i ulët zbatimi;</w:t>
      </w:r>
    </w:p>
    <w:p w14:paraId="62FDDF07" w14:textId="270E3F4A"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Përmirësime në vendndodhje të rrezikshme – nivel i lartë zbatimi;</w:t>
      </w:r>
    </w:p>
    <w:p w14:paraId="4061F1A0" w14:textId="2CE8B784"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Edukimi për sigurinë rrugore të nxënësve të shkollave–nivel i mesëm zbatimi;</w:t>
      </w:r>
    </w:p>
    <w:p w14:paraId="087F580D" w14:textId="646BBB35"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Trajnimi, testimi dhe licencimi i drejtuesve të automjeteve– nivel i lartë/i mesëm zbatimi;</w:t>
      </w:r>
    </w:p>
    <w:p w14:paraId="1861A4CB" w14:textId="7064A55E"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Fushatat publicitare për sigurinë rrugore – nivel i ulët zbatimi;</w:t>
      </w:r>
    </w:p>
    <w:p w14:paraId="74FBD0D1" w14:textId="7B33BE53"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Standardet e sigurisë së automjeteve dhe kolaudimit</w:t>
      </w:r>
      <w:r w:rsidR="00887CC6">
        <w:rPr>
          <w:rFonts w:ascii="Garamond" w:hAnsi="Garamond" w:cs="Garamond"/>
          <w:color w:val="000000"/>
          <w:sz w:val="24"/>
          <w:lang w:eastAsia="en-GB"/>
        </w:rPr>
        <w:t xml:space="preserve"> </w:t>
      </w:r>
      <w:r w:rsidRPr="00B907A3">
        <w:rPr>
          <w:rFonts w:ascii="Garamond" w:hAnsi="Garamond" w:cs="Garamond"/>
          <w:color w:val="000000"/>
          <w:sz w:val="24"/>
          <w:lang w:eastAsia="en-GB"/>
        </w:rPr>
        <w:t>– nivel i mesëm zbatimi;</w:t>
      </w:r>
    </w:p>
    <w:p w14:paraId="7B86D04B" w14:textId="7E1E2FD1"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Legjislacioni i qarkullimit rrugor– nivel i lartë/i mesëm zbatimi;</w:t>
      </w:r>
    </w:p>
    <w:p w14:paraId="7DF1BC83" w14:textId="1DD1F3C6"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Zbatimi i ligjit nga ana e policisë rrugore –nivel i lartë/i mesëm zbatimi;</w:t>
      </w:r>
    </w:p>
    <w:p w14:paraId="3DD9E3C1" w14:textId="7229414B"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Shërbimi i urgjencës – nivel i lartë zbatimi;</w:t>
      </w:r>
    </w:p>
    <w:p w14:paraId="6B0327D2" w14:textId="08803F0C"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Llogaritja e kostos së aksidenteve rrugore – nivel i ulët zbatimi;</w:t>
      </w:r>
    </w:p>
    <w:p w14:paraId="731B92C8" w14:textId="2960ED0F"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Hulumtimi lidhur me sigurinë rrugore –nivel i ulët zbatimi; dhe</w:t>
      </w:r>
    </w:p>
    <w:p w14:paraId="03DAE74A" w14:textId="19E7CC77" w:rsidR="00A03CA0" w:rsidRPr="00B907A3" w:rsidRDefault="00A03CA0" w:rsidP="008C4E07">
      <w:pPr>
        <w:autoSpaceDE w:val="0"/>
        <w:autoSpaceDN w:val="0"/>
        <w:adjustRightInd w:val="0"/>
        <w:spacing w:after="0"/>
        <w:ind w:firstLine="284"/>
        <w:rPr>
          <w:rFonts w:ascii="Garamond" w:hAnsi="Garamond" w:cs="Garamond"/>
          <w:color w:val="000000"/>
          <w:sz w:val="24"/>
          <w:lang w:eastAsia="en-GB"/>
        </w:rPr>
      </w:pPr>
      <w:r w:rsidRPr="00B907A3">
        <w:rPr>
          <w:rFonts w:ascii="Garamond" w:hAnsi="Garamond" w:cs="Symbol"/>
          <w:color w:val="000000"/>
          <w:sz w:val="24"/>
          <w:lang w:eastAsia="en-GB"/>
        </w:rPr>
        <w:t xml:space="preserve">- </w:t>
      </w:r>
      <w:r w:rsidRPr="00B907A3">
        <w:rPr>
          <w:rFonts w:ascii="Garamond" w:hAnsi="Garamond" w:cs="Garamond"/>
          <w:color w:val="000000"/>
          <w:sz w:val="24"/>
          <w:lang w:eastAsia="en-GB"/>
        </w:rPr>
        <w:t>Financimi i sigurisë rrugore – nivel i ulët ose pa vlerësim (n/a) për shkak të kërkesave të kufizuara për financim të Sigurisë Rrugore.</w:t>
      </w:r>
    </w:p>
    <w:p w14:paraId="37982BC0" w14:textId="551C4705" w:rsidR="00D564DF" w:rsidRPr="00B907A3" w:rsidRDefault="00EA4BC9" w:rsidP="008C4E07">
      <w:pPr>
        <w:spacing w:after="0"/>
        <w:ind w:firstLine="284"/>
        <w:rPr>
          <w:rFonts w:ascii="Garamond" w:hAnsi="Garamond"/>
          <w:b/>
          <w:bCs/>
          <w:sz w:val="24"/>
        </w:rPr>
      </w:pPr>
      <w:r w:rsidRPr="00B907A3">
        <w:rPr>
          <w:rFonts w:ascii="Garamond" w:hAnsi="Garamond"/>
          <w:b/>
          <w:bCs/>
          <w:sz w:val="24"/>
        </w:rPr>
        <w:t xml:space="preserve">Të gjitha mësimet e nxjerra nga zbatimi i </w:t>
      </w:r>
      <w:r w:rsidR="005B413A" w:rsidRPr="00B907A3">
        <w:rPr>
          <w:rFonts w:ascii="Garamond" w:hAnsi="Garamond"/>
          <w:b/>
          <w:bCs/>
          <w:sz w:val="24"/>
        </w:rPr>
        <w:t>SSR</w:t>
      </w:r>
      <w:r w:rsidR="00503AF6" w:rsidRPr="00B907A3">
        <w:rPr>
          <w:rFonts w:ascii="Garamond" w:hAnsi="Garamond"/>
          <w:b/>
          <w:bCs/>
          <w:sz w:val="24"/>
        </w:rPr>
        <w:t>r</w:t>
      </w:r>
      <w:r w:rsidRPr="00B907A3">
        <w:rPr>
          <w:rFonts w:ascii="Garamond" w:hAnsi="Garamond"/>
          <w:b/>
          <w:bCs/>
          <w:sz w:val="24"/>
        </w:rPr>
        <w:t xml:space="preserve"> </w:t>
      </w:r>
      <w:r w:rsidR="00503AF6" w:rsidRPr="00B907A3">
        <w:rPr>
          <w:rFonts w:ascii="Garamond" w:hAnsi="Garamond"/>
          <w:b/>
          <w:bCs/>
          <w:sz w:val="24"/>
        </w:rPr>
        <w:t>t</w:t>
      </w:r>
      <w:r w:rsidRPr="00B907A3">
        <w:rPr>
          <w:rFonts w:ascii="Garamond" w:hAnsi="Garamond"/>
          <w:b/>
          <w:bCs/>
          <w:sz w:val="24"/>
        </w:rPr>
        <w:t xml:space="preserve">ë parë në Shqipëri </w:t>
      </w:r>
      <w:r w:rsidR="00503AF6" w:rsidRPr="00B907A3">
        <w:rPr>
          <w:rFonts w:ascii="Garamond" w:hAnsi="Garamond"/>
          <w:b/>
          <w:bCs/>
          <w:sz w:val="24"/>
        </w:rPr>
        <w:t>u</w:t>
      </w:r>
      <w:r w:rsidRPr="00B907A3">
        <w:rPr>
          <w:rFonts w:ascii="Garamond" w:hAnsi="Garamond"/>
          <w:b/>
          <w:bCs/>
          <w:sz w:val="24"/>
        </w:rPr>
        <w:t xml:space="preserve"> përdoren gjatë përgatitjes dhe </w:t>
      </w:r>
      <w:r w:rsidR="00503AF6" w:rsidRPr="00B907A3">
        <w:rPr>
          <w:rFonts w:ascii="Garamond" w:hAnsi="Garamond"/>
          <w:b/>
          <w:bCs/>
          <w:sz w:val="24"/>
        </w:rPr>
        <w:t xml:space="preserve">do të konsiderohen gjatë </w:t>
      </w:r>
      <w:r w:rsidRPr="00B907A3">
        <w:rPr>
          <w:rFonts w:ascii="Garamond" w:hAnsi="Garamond"/>
          <w:b/>
          <w:bCs/>
          <w:sz w:val="24"/>
        </w:rPr>
        <w:t xml:space="preserve">zbatimit të </w:t>
      </w:r>
      <w:r w:rsidR="005B413A" w:rsidRPr="00B907A3">
        <w:rPr>
          <w:rFonts w:ascii="Garamond" w:hAnsi="Garamond"/>
          <w:b/>
          <w:bCs/>
          <w:sz w:val="24"/>
        </w:rPr>
        <w:t>SS</w:t>
      </w:r>
      <w:r w:rsidR="00D00E30" w:rsidRPr="00B907A3">
        <w:rPr>
          <w:rFonts w:ascii="Garamond" w:hAnsi="Garamond"/>
          <w:b/>
          <w:bCs/>
          <w:sz w:val="24"/>
        </w:rPr>
        <w:t>R</w:t>
      </w:r>
      <w:r w:rsidR="00F92B42" w:rsidRPr="00B907A3">
        <w:rPr>
          <w:rFonts w:ascii="Garamond" w:hAnsi="Garamond"/>
          <w:b/>
          <w:bCs/>
          <w:sz w:val="24"/>
        </w:rPr>
        <w:t>r</w:t>
      </w:r>
      <w:r w:rsidRPr="00B907A3">
        <w:rPr>
          <w:rFonts w:ascii="Garamond" w:hAnsi="Garamond"/>
          <w:b/>
          <w:bCs/>
          <w:sz w:val="24"/>
        </w:rPr>
        <w:t>-së së dytë</w:t>
      </w:r>
      <w:r w:rsidR="003D19AE" w:rsidRPr="00B907A3">
        <w:rPr>
          <w:rFonts w:ascii="Garamond" w:hAnsi="Garamond"/>
          <w:b/>
          <w:bCs/>
          <w:sz w:val="24"/>
        </w:rPr>
        <w:t xml:space="preserve">. </w:t>
      </w:r>
    </w:p>
    <w:p w14:paraId="2DF7A17E" w14:textId="3BD0FF13" w:rsidR="00A43B48" w:rsidRPr="00B907A3" w:rsidRDefault="00A03CA0" w:rsidP="008C4E07">
      <w:pPr>
        <w:pStyle w:val="Heading2"/>
        <w:numPr>
          <w:ilvl w:val="0"/>
          <w:numId w:val="0"/>
        </w:numPr>
        <w:shd w:val="clear" w:color="auto" w:fill="auto"/>
        <w:spacing w:after="0"/>
        <w:ind w:firstLine="284"/>
        <w:rPr>
          <w:rFonts w:ascii="Garamond" w:hAnsi="Garamond"/>
          <w:color w:val="auto"/>
          <w:lang w:val="sq-AL"/>
        </w:rPr>
      </w:pPr>
      <w:bookmarkStart w:id="14" w:name="_Toc208840557"/>
      <w:r w:rsidRPr="00B907A3">
        <w:rPr>
          <w:rFonts w:ascii="Garamond" w:hAnsi="Garamond"/>
          <w:color w:val="auto"/>
          <w:lang w:val="sq-AL"/>
        </w:rPr>
        <w:t xml:space="preserve">1.3 </w:t>
      </w:r>
      <w:r w:rsidR="00EA4BC9" w:rsidRPr="00B907A3">
        <w:rPr>
          <w:rFonts w:ascii="Garamond" w:hAnsi="Garamond"/>
          <w:color w:val="auto"/>
          <w:lang w:val="sq-AL"/>
        </w:rPr>
        <w:t>Mësime të nxjerra nga vendet m</w:t>
      </w:r>
      <w:r w:rsidR="00FB5830">
        <w:rPr>
          <w:rFonts w:ascii="Garamond" w:hAnsi="Garamond"/>
          <w:color w:val="auto"/>
          <w:lang w:val="sq-AL"/>
        </w:rPr>
        <w:t>e performancën më të mirë në BE</w:t>
      </w:r>
      <w:r w:rsidR="00C40895" w:rsidRPr="00B907A3">
        <w:rPr>
          <w:rFonts w:ascii="Garamond" w:hAnsi="Garamond"/>
          <w:color w:val="auto"/>
          <w:lang w:val="sq-AL"/>
        </w:rPr>
        <w:t xml:space="preserve">; </w:t>
      </w:r>
      <w:r w:rsidR="00B16F18" w:rsidRPr="00B907A3">
        <w:rPr>
          <w:rFonts w:ascii="Garamond" w:hAnsi="Garamond"/>
          <w:color w:val="auto"/>
          <w:lang w:val="sq-AL"/>
        </w:rPr>
        <w:t xml:space="preserve">hapat e mundshëm </w:t>
      </w:r>
      <w:r w:rsidR="00C40895" w:rsidRPr="00B907A3">
        <w:rPr>
          <w:rFonts w:ascii="Garamond" w:hAnsi="Garamond"/>
          <w:color w:val="auto"/>
          <w:lang w:val="sq-AL"/>
        </w:rPr>
        <w:t>përpara t</w:t>
      </w:r>
      <w:r w:rsidR="00B16F18" w:rsidRPr="00B907A3">
        <w:rPr>
          <w:rFonts w:ascii="Garamond" w:hAnsi="Garamond"/>
          <w:color w:val="auto"/>
          <w:lang w:val="sq-AL"/>
        </w:rPr>
        <w:t>ë Shqipërisë</w:t>
      </w:r>
      <w:bookmarkEnd w:id="14"/>
    </w:p>
    <w:p w14:paraId="1E9F87BC" w14:textId="663169B7" w:rsidR="000E4B28" w:rsidRPr="00B907A3" w:rsidRDefault="00EA4BC9"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Shqipëria, si shumë vende të tjera, është e përkushtuar për të </w:t>
      </w:r>
      <w:r w:rsidR="00C40895" w:rsidRPr="00B907A3">
        <w:rPr>
          <w:rFonts w:ascii="Garamond" w:eastAsia="Calibri" w:hAnsi="Garamond"/>
          <w:spacing w:val="-2"/>
          <w:w w:val="105"/>
          <w:sz w:val="24"/>
          <w:lang w:eastAsia="en-US"/>
        </w:rPr>
        <w:t xml:space="preserve">bërë </w:t>
      </w:r>
      <w:r w:rsidRPr="00B907A3">
        <w:rPr>
          <w:rFonts w:ascii="Garamond" w:eastAsia="Calibri" w:hAnsi="Garamond"/>
          <w:spacing w:val="-2"/>
          <w:w w:val="105"/>
          <w:sz w:val="24"/>
          <w:lang w:eastAsia="en-US"/>
        </w:rPr>
        <w:t xml:space="preserve">përmirësime në sigurinë rrugore. Një nga mënyrat e sigurta </w:t>
      </w:r>
      <w:r w:rsidR="004C5737" w:rsidRPr="00B907A3">
        <w:rPr>
          <w:rFonts w:ascii="Garamond" w:eastAsia="Calibri" w:hAnsi="Garamond"/>
          <w:spacing w:val="-2"/>
          <w:w w:val="105"/>
          <w:sz w:val="24"/>
          <w:lang w:eastAsia="en-US"/>
        </w:rPr>
        <w:t>është p</w:t>
      </w:r>
      <w:r w:rsidRPr="00B907A3">
        <w:rPr>
          <w:rFonts w:ascii="Garamond" w:eastAsia="Calibri" w:hAnsi="Garamond"/>
          <w:spacing w:val="-2"/>
          <w:w w:val="105"/>
          <w:sz w:val="24"/>
          <w:lang w:eastAsia="en-US"/>
        </w:rPr>
        <w:t>ërdor</w:t>
      </w:r>
      <w:r w:rsidR="004C5737" w:rsidRPr="00B907A3">
        <w:rPr>
          <w:rFonts w:ascii="Garamond" w:eastAsia="Calibri" w:hAnsi="Garamond"/>
          <w:spacing w:val="-2"/>
          <w:w w:val="105"/>
          <w:sz w:val="24"/>
          <w:lang w:eastAsia="en-US"/>
        </w:rPr>
        <w:t>imi i</w:t>
      </w:r>
      <w:r w:rsidRPr="00B907A3">
        <w:rPr>
          <w:rFonts w:ascii="Garamond" w:eastAsia="Calibri" w:hAnsi="Garamond"/>
          <w:spacing w:val="-2"/>
          <w:w w:val="105"/>
          <w:sz w:val="24"/>
          <w:lang w:eastAsia="en-US"/>
        </w:rPr>
        <w:t xml:space="preserve"> mësime</w:t>
      </w:r>
      <w:r w:rsidR="004C5737" w:rsidRPr="00B907A3">
        <w:rPr>
          <w:rFonts w:ascii="Garamond" w:eastAsia="Calibri" w:hAnsi="Garamond"/>
          <w:spacing w:val="-2"/>
          <w:w w:val="105"/>
          <w:sz w:val="24"/>
          <w:lang w:eastAsia="en-US"/>
        </w:rPr>
        <w:t>ve</w:t>
      </w:r>
      <w:r w:rsidRPr="00B907A3">
        <w:rPr>
          <w:rFonts w:ascii="Garamond" w:eastAsia="Calibri" w:hAnsi="Garamond"/>
          <w:spacing w:val="-2"/>
          <w:w w:val="105"/>
          <w:sz w:val="24"/>
          <w:lang w:eastAsia="en-US"/>
        </w:rPr>
        <w:t xml:space="preserve"> </w:t>
      </w:r>
      <w:r w:rsidR="004C5737" w:rsidRPr="00B907A3">
        <w:rPr>
          <w:rFonts w:ascii="Garamond" w:eastAsia="Calibri" w:hAnsi="Garamond"/>
          <w:spacing w:val="-2"/>
          <w:w w:val="105"/>
          <w:sz w:val="24"/>
          <w:lang w:eastAsia="en-US"/>
        </w:rPr>
        <w:t>të</w:t>
      </w:r>
      <w:r w:rsidRPr="00B907A3">
        <w:rPr>
          <w:rFonts w:ascii="Garamond" w:eastAsia="Calibri" w:hAnsi="Garamond"/>
          <w:spacing w:val="-2"/>
          <w:w w:val="105"/>
          <w:sz w:val="24"/>
          <w:lang w:eastAsia="en-US"/>
        </w:rPr>
        <w:t xml:space="preserve"> nxjerra nga vendet </w:t>
      </w:r>
      <w:r w:rsidR="00C40895" w:rsidRPr="00B907A3">
        <w:rPr>
          <w:rFonts w:ascii="Garamond" w:eastAsia="Calibri" w:hAnsi="Garamond"/>
          <w:spacing w:val="-2"/>
          <w:w w:val="105"/>
          <w:sz w:val="24"/>
          <w:lang w:eastAsia="en-US"/>
        </w:rPr>
        <w:t xml:space="preserve">evropiane </w:t>
      </w:r>
      <w:r w:rsidRPr="00B907A3">
        <w:rPr>
          <w:rFonts w:ascii="Garamond" w:eastAsia="Calibri" w:hAnsi="Garamond"/>
          <w:spacing w:val="-2"/>
          <w:w w:val="105"/>
          <w:sz w:val="24"/>
          <w:lang w:eastAsia="en-US"/>
        </w:rPr>
        <w:t xml:space="preserve">me performancën më të mirë, si Suedia, Holanda dhe Mbretëria e Bashkuar. Masat e aplikuara në këto vende kanë vërtetuar se është e mundur të </w:t>
      </w:r>
      <w:r w:rsidR="00C40895" w:rsidRPr="00B907A3">
        <w:rPr>
          <w:rFonts w:ascii="Garamond" w:eastAsia="Calibri" w:hAnsi="Garamond"/>
          <w:spacing w:val="-2"/>
          <w:w w:val="105"/>
          <w:sz w:val="24"/>
          <w:lang w:eastAsia="en-US"/>
        </w:rPr>
        <w:t xml:space="preserve">reduktohen </w:t>
      </w:r>
      <w:r w:rsidRPr="00B907A3">
        <w:rPr>
          <w:rFonts w:ascii="Garamond" w:eastAsia="Calibri" w:hAnsi="Garamond"/>
          <w:spacing w:val="-2"/>
          <w:w w:val="105"/>
          <w:sz w:val="24"/>
          <w:lang w:eastAsia="en-US"/>
        </w:rPr>
        <w:t>ndjeshëm aksidentet</w:t>
      </w:r>
      <w:r w:rsidR="00825CBC" w:rsidRPr="00B907A3">
        <w:rPr>
          <w:rFonts w:ascii="Garamond" w:eastAsia="Calibri" w:hAnsi="Garamond"/>
          <w:spacing w:val="-2"/>
          <w:w w:val="105"/>
          <w:sz w:val="24"/>
          <w:lang w:eastAsia="en-US"/>
        </w:rPr>
        <w:t>,</w:t>
      </w:r>
      <w:r w:rsidRPr="00B907A3">
        <w:rPr>
          <w:rFonts w:ascii="Garamond" w:eastAsia="Calibri" w:hAnsi="Garamond"/>
          <w:spacing w:val="-2"/>
          <w:w w:val="105"/>
          <w:sz w:val="24"/>
          <w:lang w:eastAsia="en-US"/>
        </w:rPr>
        <w:t xml:space="preserve"> duke kombinuar politika të zgjuara, zbatim të fortë</w:t>
      </w:r>
      <w:r w:rsidR="00C40895" w:rsidRPr="00B907A3">
        <w:rPr>
          <w:rFonts w:ascii="Garamond" w:eastAsia="Calibri" w:hAnsi="Garamond"/>
          <w:spacing w:val="-2"/>
          <w:w w:val="105"/>
          <w:sz w:val="24"/>
          <w:lang w:eastAsia="en-US"/>
        </w:rPr>
        <w:t xml:space="preserve"> të rregullave</w:t>
      </w:r>
      <w:r w:rsidRPr="00B907A3">
        <w:rPr>
          <w:rFonts w:ascii="Garamond" w:eastAsia="Calibri" w:hAnsi="Garamond"/>
          <w:spacing w:val="-2"/>
          <w:w w:val="105"/>
          <w:sz w:val="24"/>
          <w:lang w:eastAsia="en-US"/>
        </w:rPr>
        <w:t>, infrastrukturë më të zgjuar dhe një ndryshim në mënyrën se si shoqëria mendon për sigurinë rrugore. Shqipëria mund</w:t>
      </w:r>
      <w:r w:rsidR="00887CC6">
        <w:rPr>
          <w:rFonts w:ascii="Garamond" w:eastAsia="Calibri" w:hAnsi="Garamond"/>
          <w:spacing w:val="-2"/>
          <w:w w:val="105"/>
          <w:sz w:val="24"/>
          <w:lang w:eastAsia="en-US"/>
        </w:rPr>
        <w:t xml:space="preserve"> </w:t>
      </w:r>
      <w:r w:rsidR="007951BD">
        <w:rPr>
          <w:rFonts w:ascii="Garamond" w:eastAsia="Calibri" w:hAnsi="Garamond"/>
          <w:spacing w:val="-2"/>
          <w:w w:val="105"/>
          <w:sz w:val="24"/>
          <w:lang w:eastAsia="en-US"/>
        </w:rPr>
        <w:t>t’i</w:t>
      </w:r>
      <w:r w:rsidR="00887CC6">
        <w:rPr>
          <w:rFonts w:ascii="Garamond" w:eastAsia="Calibri" w:hAnsi="Garamond"/>
          <w:spacing w:val="-2"/>
          <w:w w:val="105"/>
          <w:sz w:val="24"/>
          <w:lang w:eastAsia="en-US"/>
        </w:rPr>
        <w:t xml:space="preserve"> </w:t>
      </w:r>
      <w:r w:rsidR="00C40895" w:rsidRPr="00B907A3">
        <w:rPr>
          <w:rFonts w:ascii="Garamond" w:eastAsia="Calibri" w:hAnsi="Garamond"/>
          <w:spacing w:val="-2"/>
          <w:w w:val="105"/>
          <w:sz w:val="24"/>
          <w:lang w:eastAsia="en-US"/>
        </w:rPr>
        <w:t xml:space="preserve">adoptojë </w:t>
      </w:r>
      <w:r w:rsidRPr="00B907A3">
        <w:rPr>
          <w:rFonts w:ascii="Garamond" w:eastAsia="Calibri" w:hAnsi="Garamond"/>
          <w:spacing w:val="-2"/>
          <w:w w:val="105"/>
          <w:sz w:val="24"/>
          <w:lang w:eastAsia="en-US"/>
        </w:rPr>
        <w:t xml:space="preserve">këto praktika më të mira, duke marrë parasysh edhe nevojat dhe kontekstin e saj unik. Nëse </w:t>
      </w:r>
      <w:r w:rsidR="00C40895" w:rsidRPr="00B907A3">
        <w:rPr>
          <w:rFonts w:ascii="Garamond" w:eastAsia="Calibri" w:hAnsi="Garamond"/>
          <w:spacing w:val="-2"/>
          <w:w w:val="105"/>
          <w:sz w:val="24"/>
          <w:lang w:eastAsia="en-US"/>
        </w:rPr>
        <w:t>do</w:t>
      </w:r>
      <w:r w:rsidR="00887CC6">
        <w:rPr>
          <w:rFonts w:ascii="Garamond" w:eastAsia="Calibri" w:hAnsi="Garamond"/>
          <w:spacing w:val="-2"/>
          <w:w w:val="105"/>
          <w:sz w:val="24"/>
          <w:lang w:eastAsia="en-US"/>
        </w:rPr>
        <w:t xml:space="preserve"> </w:t>
      </w:r>
      <w:r w:rsidR="007951BD">
        <w:rPr>
          <w:rFonts w:ascii="Garamond" w:eastAsia="Calibri" w:hAnsi="Garamond"/>
          <w:spacing w:val="-2"/>
          <w:w w:val="105"/>
          <w:sz w:val="24"/>
          <w:lang w:eastAsia="en-US"/>
        </w:rPr>
        <w:t>t’i</w:t>
      </w:r>
      <w:r w:rsidR="00887CC6">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përmblidh</w:t>
      </w:r>
      <w:r w:rsidR="00C40895" w:rsidRPr="00B907A3">
        <w:rPr>
          <w:rFonts w:ascii="Garamond" w:eastAsia="Calibri" w:hAnsi="Garamond"/>
          <w:spacing w:val="-2"/>
          <w:w w:val="105"/>
          <w:sz w:val="24"/>
          <w:lang w:eastAsia="en-US"/>
        </w:rPr>
        <w:t>nim</w:t>
      </w:r>
      <w:r w:rsidRPr="00B907A3">
        <w:rPr>
          <w:rFonts w:ascii="Garamond" w:eastAsia="Calibri" w:hAnsi="Garamond"/>
          <w:spacing w:val="-2"/>
          <w:w w:val="105"/>
          <w:sz w:val="24"/>
          <w:lang w:eastAsia="en-US"/>
        </w:rPr>
        <w:t xml:space="preserve">, </w:t>
      </w:r>
      <w:r w:rsidR="00C40895" w:rsidRPr="00B907A3">
        <w:rPr>
          <w:rFonts w:ascii="Garamond" w:eastAsia="Calibri" w:hAnsi="Garamond"/>
          <w:spacing w:val="-2"/>
          <w:w w:val="105"/>
          <w:sz w:val="24"/>
          <w:lang w:eastAsia="en-US"/>
        </w:rPr>
        <w:t xml:space="preserve">këto </w:t>
      </w:r>
      <w:r w:rsidRPr="00B907A3">
        <w:rPr>
          <w:rFonts w:ascii="Garamond" w:eastAsia="Calibri" w:hAnsi="Garamond"/>
          <w:spacing w:val="-2"/>
          <w:w w:val="105"/>
          <w:sz w:val="24"/>
          <w:lang w:eastAsia="en-US"/>
        </w:rPr>
        <w:t>praktika bazohen në konceptet e mëposhtme</w:t>
      </w:r>
      <w:r w:rsidR="000F4980" w:rsidRPr="00B907A3">
        <w:rPr>
          <w:rFonts w:ascii="Garamond" w:eastAsia="Calibri" w:hAnsi="Garamond"/>
          <w:spacing w:val="-2"/>
          <w:w w:val="105"/>
          <w:sz w:val="24"/>
          <w:lang w:eastAsia="en-US"/>
        </w:rPr>
        <w:t>:</w:t>
      </w:r>
    </w:p>
    <w:p w14:paraId="4CD80F73" w14:textId="4704D768" w:rsidR="000E4B28"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
          <w:bCs/>
          <w:spacing w:val="-2"/>
          <w:w w:val="105"/>
          <w:sz w:val="24"/>
          <w:lang w:eastAsia="en-US"/>
        </w:rPr>
        <w:t xml:space="preserve">- </w:t>
      </w:r>
      <w:r w:rsidR="007951BD">
        <w:rPr>
          <w:rFonts w:ascii="Garamond" w:eastAsia="Calibri" w:hAnsi="Garamond"/>
          <w:b/>
          <w:bCs/>
          <w:spacing w:val="-2"/>
          <w:w w:val="105"/>
          <w:sz w:val="24"/>
          <w:lang w:eastAsia="en-US"/>
        </w:rPr>
        <w:t>“</w:t>
      </w:r>
      <w:r w:rsidR="007671DA" w:rsidRPr="00B907A3">
        <w:rPr>
          <w:rFonts w:ascii="Garamond" w:eastAsia="Calibri" w:hAnsi="Garamond"/>
          <w:b/>
          <w:bCs/>
          <w:spacing w:val="-2"/>
          <w:w w:val="105"/>
          <w:sz w:val="24"/>
          <w:lang w:eastAsia="en-US"/>
        </w:rPr>
        <w:t>Vizioni Zero</w:t>
      </w:r>
      <w:r w:rsidR="007951BD">
        <w:rPr>
          <w:rFonts w:ascii="Garamond" w:eastAsia="Calibri" w:hAnsi="Garamond"/>
          <w:b/>
          <w:bCs/>
          <w:spacing w:val="-2"/>
          <w:w w:val="105"/>
          <w:sz w:val="24"/>
          <w:lang w:eastAsia="en-US"/>
        </w:rPr>
        <w:t>”</w:t>
      </w:r>
      <w:r w:rsidR="007671DA" w:rsidRPr="00B907A3">
        <w:rPr>
          <w:rFonts w:ascii="Garamond" w:eastAsia="Calibri" w:hAnsi="Garamond"/>
          <w:b/>
          <w:bCs/>
          <w:spacing w:val="-2"/>
          <w:w w:val="105"/>
          <w:sz w:val="24"/>
          <w:lang w:eastAsia="en-US"/>
        </w:rPr>
        <w:t xml:space="preserve"> </w:t>
      </w:r>
      <w:r w:rsidR="007951BD">
        <w:rPr>
          <w:rFonts w:ascii="Garamond" w:eastAsia="Calibri" w:hAnsi="Garamond"/>
          <w:b/>
          <w:bCs/>
          <w:spacing w:val="-2"/>
          <w:w w:val="105"/>
          <w:sz w:val="24"/>
          <w:lang w:eastAsia="en-US"/>
        </w:rPr>
        <w:t>–</w:t>
      </w:r>
      <w:r w:rsidR="007671DA" w:rsidRPr="00B907A3">
        <w:rPr>
          <w:rFonts w:ascii="Garamond" w:eastAsia="Calibri" w:hAnsi="Garamond"/>
          <w:b/>
          <w:bCs/>
          <w:spacing w:val="-2"/>
          <w:w w:val="105"/>
          <w:sz w:val="24"/>
          <w:lang w:eastAsia="en-US"/>
        </w:rPr>
        <w:t xml:space="preserve"> që do të thotë se </w:t>
      </w:r>
      <w:r w:rsidR="00BA24A2" w:rsidRPr="00B907A3">
        <w:rPr>
          <w:rFonts w:ascii="Garamond" w:eastAsia="Calibri" w:hAnsi="Garamond"/>
          <w:b/>
          <w:bCs/>
          <w:spacing w:val="-2"/>
          <w:w w:val="105"/>
          <w:sz w:val="24"/>
          <w:lang w:eastAsia="en-US"/>
        </w:rPr>
        <w:t xml:space="preserve">brenda </w:t>
      </w:r>
      <w:r w:rsidR="007671DA" w:rsidRPr="00B907A3">
        <w:rPr>
          <w:rFonts w:ascii="Garamond" w:eastAsia="Calibri" w:hAnsi="Garamond"/>
          <w:b/>
          <w:bCs/>
          <w:spacing w:val="-2"/>
          <w:w w:val="105"/>
          <w:sz w:val="24"/>
          <w:lang w:eastAsia="en-US"/>
        </w:rPr>
        <w:t>viti</w:t>
      </w:r>
      <w:r w:rsidR="00BA24A2" w:rsidRPr="00B907A3">
        <w:rPr>
          <w:rFonts w:ascii="Garamond" w:eastAsia="Calibri" w:hAnsi="Garamond"/>
          <w:b/>
          <w:bCs/>
          <w:spacing w:val="-2"/>
          <w:w w:val="105"/>
          <w:sz w:val="24"/>
          <w:lang w:eastAsia="en-US"/>
        </w:rPr>
        <w:t>t</w:t>
      </w:r>
      <w:r w:rsidR="007671DA" w:rsidRPr="00B907A3">
        <w:rPr>
          <w:rFonts w:ascii="Garamond" w:eastAsia="Calibri" w:hAnsi="Garamond"/>
          <w:b/>
          <w:bCs/>
          <w:spacing w:val="-2"/>
          <w:w w:val="105"/>
          <w:sz w:val="24"/>
          <w:lang w:eastAsia="en-US"/>
        </w:rPr>
        <w:t xml:space="preserve"> 2050</w:t>
      </w:r>
      <w:r w:rsidR="00BA24A2" w:rsidRPr="00B907A3">
        <w:rPr>
          <w:rFonts w:ascii="Garamond" w:eastAsia="Calibri" w:hAnsi="Garamond"/>
          <w:b/>
          <w:bCs/>
          <w:spacing w:val="-2"/>
          <w:w w:val="105"/>
          <w:sz w:val="24"/>
          <w:lang w:eastAsia="en-US"/>
        </w:rPr>
        <w:t>, humbjet e jetës</w:t>
      </w:r>
      <w:r w:rsidR="00BA24A2" w:rsidRPr="00B907A3">
        <w:rPr>
          <w:rFonts w:ascii="Garamond" w:eastAsia="Calibri" w:hAnsi="Garamond"/>
          <w:spacing w:val="-2"/>
          <w:w w:val="105"/>
          <w:sz w:val="24"/>
          <w:lang w:eastAsia="en-US"/>
        </w:rPr>
        <w:t xml:space="preserve"> </w:t>
      </w:r>
      <w:r w:rsidR="00BA24A2" w:rsidRPr="00B907A3">
        <w:rPr>
          <w:rFonts w:ascii="Garamond" w:eastAsia="Calibri" w:hAnsi="Garamond"/>
          <w:b/>
          <w:bCs/>
          <w:spacing w:val="-2"/>
          <w:w w:val="105"/>
          <w:sz w:val="24"/>
          <w:lang w:eastAsia="en-US"/>
        </w:rPr>
        <w:t>dhe lëndimet e rënda në rrugët e Shqipërisë duhet të eliminohen totalisht</w:t>
      </w:r>
      <w:r w:rsidR="007671DA" w:rsidRPr="00B907A3">
        <w:rPr>
          <w:rFonts w:ascii="Garamond" w:eastAsia="Calibri" w:hAnsi="Garamond"/>
          <w:b/>
          <w:bCs/>
          <w:spacing w:val="-2"/>
          <w:w w:val="105"/>
          <w:sz w:val="24"/>
          <w:lang w:eastAsia="en-US"/>
        </w:rPr>
        <w:t>.</w:t>
      </w:r>
      <w:r w:rsidR="00BA24A2" w:rsidRPr="00B907A3">
        <w:rPr>
          <w:rFonts w:ascii="Garamond" w:eastAsia="Calibri" w:hAnsi="Garamond"/>
          <w:b/>
          <w:bCs/>
          <w:spacing w:val="-2"/>
          <w:w w:val="105"/>
          <w:sz w:val="24"/>
          <w:lang w:eastAsia="en-US"/>
        </w:rPr>
        <w:t xml:space="preserve"> </w:t>
      </w:r>
      <w:r w:rsidR="00BA24A2" w:rsidRPr="00B907A3">
        <w:rPr>
          <w:rFonts w:ascii="Garamond" w:eastAsia="Calibri" w:hAnsi="Garamond"/>
          <w:spacing w:val="-2"/>
          <w:w w:val="105"/>
          <w:sz w:val="24"/>
          <w:lang w:eastAsia="en-US"/>
        </w:rPr>
        <w:t xml:space="preserve">Kjo është </w:t>
      </w:r>
      <w:r w:rsidR="007671DA" w:rsidRPr="00B907A3">
        <w:rPr>
          <w:rFonts w:ascii="Garamond" w:eastAsia="Calibri" w:hAnsi="Garamond"/>
          <w:spacing w:val="-2"/>
          <w:w w:val="105"/>
          <w:sz w:val="24"/>
          <w:lang w:eastAsia="en-US"/>
        </w:rPr>
        <w:t>një ide e fuqishme që merr parasysh gabimin njerëzor dhe përpiqet të krijojë një sistem rrugor ku gabimet nuk</w:t>
      </w:r>
      <w:r w:rsidR="00BA24A2" w:rsidRPr="00B907A3">
        <w:rPr>
          <w:rFonts w:ascii="Garamond" w:eastAsia="Calibri" w:hAnsi="Garamond"/>
          <w:spacing w:val="-2"/>
          <w:w w:val="105"/>
          <w:sz w:val="24"/>
          <w:lang w:eastAsia="en-US"/>
        </w:rPr>
        <w:t xml:space="preserve"> çojn</w:t>
      </w:r>
      <w:r w:rsidR="007671DA" w:rsidRPr="00B907A3">
        <w:rPr>
          <w:rFonts w:ascii="Garamond" w:eastAsia="Calibri" w:hAnsi="Garamond"/>
          <w:spacing w:val="-2"/>
          <w:w w:val="105"/>
          <w:sz w:val="24"/>
          <w:lang w:eastAsia="en-US"/>
        </w:rPr>
        <w:t>ë në tragjedi. Kjo ide nuk është vetëm teorike</w:t>
      </w:r>
      <w:r w:rsidR="004E14C3" w:rsidRPr="00B907A3">
        <w:rPr>
          <w:rFonts w:ascii="Garamond" w:eastAsia="Calibri" w:hAnsi="Garamond"/>
          <w:spacing w:val="-2"/>
          <w:w w:val="105"/>
          <w:sz w:val="24"/>
          <w:lang w:eastAsia="en-US"/>
        </w:rPr>
        <w:t xml:space="preserve">, </w:t>
      </w:r>
      <w:r w:rsidR="00BA24A2" w:rsidRPr="00B907A3">
        <w:rPr>
          <w:rFonts w:ascii="Garamond" w:eastAsia="Calibri" w:hAnsi="Garamond"/>
          <w:spacing w:val="-2"/>
          <w:w w:val="105"/>
          <w:sz w:val="24"/>
          <w:lang w:eastAsia="en-US"/>
        </w:rPr>
        <w:t xml:space="preserve">po </w:t>
      </w:r>
      <w:r w:rsidR="007671DA" w:rsidRPr="00B907A3">
        <w:rPr>
          <w:rFonts w:ascii="Garamond" w:eastAsia="Calibri" w:hAnsi="Garamond"/>
          <w:spacing w:val="-2"/>
          <w:w w:val="105"/>
          <w:sz w:val="24"/>
          <w:lang w:eastAsia="en-US"/>
        </w:rPr>
        <w:t xml:space="preserve">ajo tashmë është aplikuar dhe funksionon në vende të ndryshme në të gjithë botën, ku siguria rrugore është thellësisht e </w:t>
      </w:r>
      <w:r w:rsidR="00BA24A2" w:rsidRPr="00B907A3">
        <w:rPr>
          <w:rFonts w:ascii="Garamond" w:eastAsia="Calibri" w:hAnsi="Garamond"/>
          <w:spacing w:val="-2"/>
          <w:w w:val="105"/>
          <w:sz w:val="24"/>
          <w:lang w:eastAsia="en-US"/>
        </w:rPr>
        <w:t>integruar</w:t>
      </w:r>
      <w:r w:rsidR="007671DA" w:rsidRPr="00B907A3">
        <w:rPr>
          <w:rFonts w:ascii="Garamond" w:eastAsia="Calibri" w:hAnsi="Garamond"/>
          <w:spacing w:val="-2"/>
          <w:w w:val="105"/>
          <w:sz w:val="24"/>
          <w:lang w:eastAsia="en-US"/>
        </w:rPr>
        <w:t xml:space="preserve"> në aspekte të ndryshme të ekonomisë, nga planifikimi urban</w:t>
      </w:r>
      <w:r w:rsidR="00BA24A2" w:rsidRPr="00B907A3">
        <w:rPr>
          <w:rFonts w:ascii="Garamond" w:eastAsia="Calibri" w:hAnsi="Garamond"/>
          <w:spacing w:val="-2"/>
          <w:w w:val="105"/>
          <w:sz w:val="24"/>
          <w:lang w:eastAsia="en-US"/>
        </w:rPr>
        <w:t xml:space="preserve">, </w:t>
      </w:r>
      <w:r w:rsidR="007671DA" w:rsidRPr="00B907A3">
        <w:rPr>
          <w:rFonts w:ascii="Garamond" w:eastAsia="Calibri" w:hAnsi="Garamond"/>
          <w:spacing w:val="-2"/>
          <w:w w:val="105"/>
          <w:sz w:val="24"/>
          <w:lang w:eastAsia="en-US"/>
        </w:rPr>
        <w:t>te</w:t>
      </w:r>
      <w:r w:rsidR="00BA24A2" w:rsidRPr="00B907A3">
        <w:rPr>
          <w:rFonts w:ascii="Garamond" w:eastAsia="Calibri" w:hAnsi="Garamond"/>
          <w:spacing w:val="-2"/>
          <w:w w:val="105"/>
          <w:sz w:val="24"/>
          <w:lang w:eastAsia="en-US"/>
        </w:rPr>
        <w:t>k</w:t>
      </w:r>
      <w:r w:rsidR="007671DA" w:rsidRPr="00B907A3">
        <w:rPr>
          <w:rFonts w:ascii="Garamond" w:eastAsia="Calibri" w:hAnsi="Garamond"/>
          <w:spacing w:val="-2"/>
          <w:w w:val="105"/>
          <w:sz w:val="24"/>
          <w:lang w:eastAsia="en-US"/>
        </w:rPr>
        <w:t xml:space="preserve"> menaxhimi i trafikut dhe shëndeti</w:t>
      </w:r>
      <w:r w:rsidR="000E4B28" w:rsidRPr="00B907A3">
        <w:rPr>
          <w:rFonts w:ascii="Garamond" w:eastAsia="Calibri" w:hAnsi="Garamond"/>
          <w:spacing w:val="-2"/>
          <w:w w:val="105"/>
          <w:sz w:val="24"/>
          <w:lang w:eastAsia="en-US"/>
        </w:rPr>
        <w:t>.</w:t>
      </w:r>
    </w:p>
    <w:p w14:paraId="17D58253" w14:textId="18DDFD16" w:rsidR="000E4B28" w:rsidRPr="00B907A3" w:rsidRDefault="007671DA" w:rsidP="008C4E07">
      <w:pPr>
        <w:spacing w:after="0"/>
        <w:ind w:firstLine="284"/>
        <w:rPr>
          <w:rFonts w:ascii="Garamond" w:hAnsi="Garamond"/>
          <w:sz w:val="24"/>
        </w:rPr>
      </w:pPr>
      <w:r w:rsidRPr="00B907A3">
        <w:rPr>
          <w:rFonts w:ascii="Garamond" w:eastAsia="Calibri" w:hAnsi="Garamond"/>
          <w:spacing w:val="-2"/>
          <w:w w:val="105"/>
          <w:sz w:val="24"/>
          <w:lang w:eastAsia="en-US"/>
        </w:rPr>
        <w:t xml:space="preserve">Për Shqipërinë, miratimi i </w:t>
      </w:r>
      <w:r w:rsidR="007951BD">
        <w:rPr>
          <w:rFonts w:ascii="Garamond" w:eastAsia="Calibri" w:hAnsi="Garamond"/>
          <w:spacing w:val="-2"/>
          <w:w w:val="105"/>
          <w:sz w:val="24"/>
          <w:lang w:eastAsia="en-US"/>
        </w:rPr>
        <w:t>“</w:t>
      </w:r>
      <w:r w:rsidRPr="00B907A3">
        <w:rPr>
          <w:rFonts w:ascii="Garamond" w:eastAsia="Calibri" w:hAnsi="Garamond"/>
          <w:spacing w:val="-2"/>
          <w:w w:val="105"/>
          <w:sz w:val="24"/>
          <w:lang w:eastAsia="en-US"/>
        </w:rPr>
        <w:t>Vizionit Zero</w:t>
      </w:r>
      <w:r w:rsidR="007951BD">
        <w:rPr>
          <w:rFonts w:ascii="Garamond" w:eastAsia="Calibri" w:hAnsi="Garamond"/>
          <w:spacing w:val="-2"/>
          <w:w w:val="105"/>
          <w:sz w:val="24"/>
          <w:lang w:eastAsia="en-US"/>
        </w:rPr>
        <w:t>”</w:t>
      </w:r>
      <w:r w:rsidRPr="00B907A3">
        <w:rPr>
          <w:rFonts w:ascii="Garamond" w:eastAsia="Calibri" w:hAnsi="Garamond"/>
          <w:spacing w:val="-2"/>
          <w:w w:val="105"/>
          <w:sz w:val="24"/>
          <w:lang w:eastAsia="en-US"/>
        </w:rPr>
        <w:t xml:space="preserve"> si parim udhëzues do të jetë një ndryshim rrënjësor. Nuk ka të bëjë vetëm me vendosjen e objektivave ambicioz</w:t>
      </w:r>
      <w:r w:rsidR="00D121E9">
        <w:rPr>
          <w:rFonts w:ascii="Garamond" w:eastAsia="Calibri" w:hAnsi="Garamond"/>
          <w:spacing w:val="-2"/>
          <w:w w:val="105"/>
          <w:sz w:val="24"/>
          <w:lang w:eastAsia="en-US"/>
        </w:rPr>
        <w:t>ë</w:t>
      </w:r>
      <w:r w:rsidR="004E14C3"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ka të bëjë me ndryshimin e mënyrës se si e shohim sigurinë rrugore, duke e </w:t>
      </w:r>
      <w:r w:rsidR="000678F9" w:rsidRPr="00B907A3">
        <w:rPr>
          <w:rFonts w:ascii="Garamond" w:eastAsia="Calibri" w:hAnsi="Garamond"/>
          <w:spacing w:val="-2"/>
          <w:w w:val="105"/>
          <w:sz w:val="24"/>
          <w:lang w:eastAsia="en-US"/>
        </w:rPr>
        <w:t>vendosur at</w:t>
      </w:r>
      <w:r w:rsidRPr="00B907A3">
        <w:rPr>
          <w:rFonts w:ascii="Garamond" w:eastAsia="Calibri" w:hAnsi="Garamond"/>
          <w:spacing w:val="-2"/>
          <w:w w:val="105"/>
          <w:sz w:val="24"/>
          <w:lang w:eastAsia="en-US"/>
        </w:rPr>
        <w:t>ë</w:t>
      </w:r>
      <w:r w:rsidR="000678F9" w:rsidRPr="00B907A3">
        <w:rPr>
          <w:rFonts w:ascii="Garamond" w:eastAsia="Calibri" w:hAnsi="Garamond"/>
          <w:spacing w:val="-2"/>
          <w:w w:val="105"/>
          <w:sz w:val="24"/>
          <w:lang w:eastAsia="en-US"/>
        </w:rPr>
        <w:t xml:space="preserve"> n</w:t>
      </w:r>
      <w:r w:rsidRPr="00B907A3">
        <w:rPr>
          <w:rFonts w:ascii="Garamond" w:eastAsia="Calibri" w:hAnsi="Garamond"/>
          <w:spacing w:val="-2"/>
          <w:w w:val="105"/>
          <w:sz w:val="24"/>
          <w:lang w:eastAsia="en-US"/>
        </w:rPr>
        <w:t>ë</w:t>
      </w:r>
      <w:r w:rsidR="000678F9" w:rsidRPr="00B907A3">
        <w:rPr>
          <w:rFonts w:ascii="Garamond" w:eastAsia="Calibri" w:hAnsi="Garamond"/>
          <w:spacing w:val="-2"/>
          <w:w w:val="105"/>
          <w:sz w:val="24"/>
          <w:lang w:eastAsia="en-US"/>
        </w:rPr>
        <w:t xml:space="preserve"> </w:t>
      </w:r>
      <w:r w:rsidR="00D121E9" w:rsidRPr="00B907A3">
        <w:rPr>
          <w:rFonts w:ascii="Garamond" w:eastAsia="Calibri" w:hAnsi="Garamond"/>
          <w:spacing w:val="-2"/>
          <w:w w:val="105"/>
          <w:sz w:val="24"/>
          <w:lang w:eastAsia="en-US"/>
        </w:rPr>
        <w:t>qendër</w:t>
      </w:r>
      <w:r w:rsidR="000678F9" w:rsidRPr="00B907A3">
        <w:rPr>
          <w:rFonts w:ascii="Garamond" w:eastAsia="Calibri" w:hAnsi="Garamond"/>
          <w:spacing w:val="-2"/>
          <w:w w:val="105"/>
          <w:sz w:val="24"/>
          <w:lang w:eastAsia="en-US"/>
        </w:rPr>
        <w:t xml:space="preserve"> t</w:t>
      </w:r>
      <w:r w:rsidRPr="00B907A3">
        <w:rPr>
          <w:rFonts w:ascii="Garamond" w:eastAsia="Calibri" w:hAnsi="Garamond"/>
          <w:spacing w:val="-2"/>
          <w:w w:val="105"/>
          <w:sz w:val="24"/>
          <w:lang w:eastAsia="en-US"/>
        </w:rPr>
        <w:t>ë çdo vendim</w:t>
      </w:r>
      <w:r w:rsidR="000678F9" w:rsidRPr="00B907A3">
        <w:rPr>
          <w:rFonts w:ascii="Garamond" w:eastAsia="Calibri" w:hAnsi="Garamond"/>
          <w:spacing w:val="-2"/>
          <w:w w:val="105"/>
          <w:sz w:val="24"/>
          <w:lang w:eastAsia="en-US"/>
        </w:rPr>
        <w:t>i</w:t>
      </w:r>
      <w:r w:rsidRPr="00B907A3">
        <w:rPr>
          <w:rFonts w:ascii="Garamond" w:eastAsia="Calibri" w:hAnsi="Garamond"/>
          <w:spacing w:val="-2"/>
          <w:w w:val="105"/>
          <w:sz w:val="24"/>
          <w:lang w:eastAsia="en-US"/>
        </w:rPr>
        <w:t xml:space="preserve"> në lidhje me rrugët, hapësirat urbane dhe politikat e transportit.</w:t>
      </w:r>
    </w:p>
    <w:p w14:paraId="63364F67" w14:textId="623451FE" w:rsidR="005E1AD6" w:rsidRPr="00B907A3" w:rsidRDefault="00A03CA0" w:rsidP="008C4E07">
      <w:pPr>
        <w:pStyle w:val="ListParagraph"/>
        <w:ind w:left="0" w:firstLine="284"/>
        <w:jc w:val="both"/>
        <w:rPr>
          <w:rFonts w:ascii="Garamond" w:hAnsi="Garamond"/>
          <w:sz w:val="24"/>
        </w:rPr>
      </w:pPr>
      <w:r w:rsidRPr="00B907A3">
        <w:rPr>
          <w:rFonts w:ascii="Garamond" w:eastAsia="Calibri" w:hAnsi="Garamond"/>
          <w:b/>
          <w:bCs/>
          <w:spacing w:val="-2"/>
          <w:w w:val="105"/>
          <w:sz w:val="24"/>
          <w:lang w:eastAsia="en-US"/>
        </w:rPr>
        <w:t xml:space="preserve">- </w:t>
      </w:r>
      <w:r w:rsidR="007671DA" w:rsidRPr="00B907A3">
        <w:rPr>
          <w:rFonts w:ascii="Garamond" w:hAnsi="Garamond"/>
          <w:b/>
          <w:bCs/>
          <w:sz w:val="24"/>
        </w:rPr>
        <w:t>Qasja e Sistemit të Sigurt (</w:t>
      </w:r>
      <w:r w:rsidR="00CC7E29" w:rsidRPr="00B907A3">
        <w:rPr>
          <w:rFonts w:ascii="Garamond" w:hAnsi="Garamond"/>
          <w:b/>
          <w:bCs/>
          <w:sz w:val="24"/>
        </w:rPr>
        <w:t>Q</w:t>
      </w:r>
      <w:r w:rsidR="007671DA" w:rsidRPr="00B907A3">
        <w:rPr>
          <w:rFonts w:ascii="Garamond" w:hAnsi="Garamond"/>
          <w:b/>
          <w:bCs/>
          <w:sz w:val="24"/>
        </w:rPr>
        <w:t>S</w:t>
      </w:r>
      <w:r w:rsidR="00277A10" w:rsidRPr="00B907A3">
        <w:rPr>
          <w:rFonts w:ascii="Garamond" w:hAnsi="Garamond"/>
          <w:b/>
          <w:bCs/>
          <w:sz w:val="24"/>
        </w:rPr>
        <w:t>S</w:t>
      </w:r>
      <w:r w:rsidR="007671DA" w:rsidRPr="00B907A3">
        <w:rPr>
          <w:rFonts w:ascii="Garamond" w:hAnsi="Garamond"/>
          <w:b/>
          <w:bCs/>
          <w:sz w:val="24"/>
        </w:rPr>
        <w:t xml:space="preserve">) </w:t>
      </w:r>
      <w:r w:rsidR="007951BD">
        <w:rPr>
          <w:rFonts w:ascii="Garamond" w:hAnsi="Garamond"/>
          <w:b/>
          <w:bCs/>
          <w:sz w:val="24"/>
        </w:rPr>
        <w:t>–</w:t>
      </w:r>
      <w:r w:rsidR="007671DA" w:rsidRPr="00B907A3">
        <w:rPr>
          <w:rFonts w:ascii="Garamond" w:hAnsi="Garamond"/>
          <w:b/>
          <w:bCs/>
          <w:sz w:val="24"/>
        </w:rPr>
        <w:t xml:space="preserve"> </w:t>
      </w:r>
      <w:r w:rsidR="004E14C3" w:rsidRPr="00B907A3">
        <w:rPr>
          <w:rFonts w:ascii="Garamond" w:hAnsi="Garamond"/>
          <w:b/>
          <w:bCs/>
          <w:sz w:val="24"/>
        </w:rPr>
        <w:t>është një k</w:t>
      </w:r>
      <w:r w:rsidR="00021E34" w:rsidRPr="00B907A3">
        <w:rPr>
          <w:rFonts w:ascii="Garamond" w:hAnsi="Garamond"/>
          <w:b/>
          <w:bCs/>
          <w:sz w:val="24"/>
        </w:rPr>
        <w:t>uad</w:t>
      </w:r>
      <w:r w:rsidR="004E14C3" w:rsidRPr="00B907A3">
        <w:rPr>
          <w:rFonts w:ascii="Garamond" w:hAnsi="Garamond"/>
          <w:b/>
          <w:bCs/>
          <w:sz w:val="24"/>
        </w:rPr>
        <w:t>ë</w:t>
      </w:r>
      <w:r w:rsidR="00021E34" w:rsidRPr="00B907A3">
        <w:rPr>
          <w:rFonts w:ascii="Garamond" w:hAnsi="Garamond"/>
          <w:b/>
          <w:bCs/>
          <w:sz w:val="24"/>
        </w:rPr>
        <w:t>r</w:t>
      </w:r>
      <w:r w:rsidR="004E14C3" w:rsidRPr="00B907A3">
        <w:rPr>
          <w:rFonts w:ascii="Garamond" w:hAnsi="Garamond"/>
          <w:b/>
          <w:bCs/>
          <w:sz w:val="24"/>
        </w:rPr>
        <w:t xml:space="preserve"> gjithëpërfshirës që synon minimizimin </w:t>
      </w:r>
      <w:r w:rsidR="007671DA" w:rsidRPr="00B907A3">
        <w:rPr>
          <w:rFonts w:ascii="Garamond" w:hAnsi="Garamond"/>
          <w:b/>
          <w:bCs/>
          <w:sz w:val="24"/>
        </w:rPr>
        <w:t xml:space="preserve">e lëndimeve dhe </w:t>
      </w:r>
      <w:r w:rsidR="00CC7E29" w:rsidRPr="00B907A3">
        <w:rPr>
          <w:rFonts w:ascii="Garamond" w:hAnsi="Garamond"/>
          <w:b/>
          <w:bCs/>
          <w:sz w:val="24"/>
        </w:rPr>
        <w:t>fatalit</w:t>
      </w:r>
      <w:r w:rsidR="007671DA" w:rsidRPr="00B907A3">
        <w:rPr>
          <w:rFonts w:ascii="Garamond" w:hAnsi="Garamond"/>
          <w:b/>
          <w:bCs/>
          <w:sz w:val="24"/>
        </w:rPr>
        <w:t>e</w:t>
      </w:r>
      <w:r w:rsidR="00CC7E29" w:rsidRPr="00B907A3">
        <w:rPr>
          <w:rFonts w:ascii="Garamond" w:hAnsi="Garamond"/>
          <w:b/>
          <w:bCs/>
          <w:sz w:val="24"/>
        </w:rPr>
        <w:t>teve</w:t>
      </w:r>
      <w:r w:rsidR="007671DA" w:rsidRPr="00B907A3">
        <w:rPr>
          <w:rFonts w:ascii="Garamond" w:hAnsi="Garamond"/>
          <w:b/>
          <w:bCs/>
          <w:sz w:val="24"/>
        </w:rPr>
        <w:t xml:space="preserve"> në rrugë. </w:t>
      </w:r>
      <w:r w:rsidR="007671DA" w:rsidRPr="00B907A3">
        <w:rPr>
          <w:rFonts w:ascii="Garamond" w:hAnsi="Garamond"/>
          <w:sz w:val="24"/>
        </w:rPr>
        <w:t xml:space="preserve">Parimi i saj qendror është një koncept që jeta dhe shëndeti i njeriut duhet të </w:t>
      </w:r>
      <w:r w:rsidR="00021E34" w:rsidRPr="00B907A3">
        <w:rPr>
          <w:rFonts w:ascii="Garamond" w:hAnsi="Garamond"/>
          <w:sz w:val="24"/>
        </w:rPr>
        <w:t xml:space="preserve">jenë prioritet </w:t>
      </w:r>
      <w:r w:rsidR="007671DA" w:rsidRPr="00B907A3">
        <w:rPr>
          <w:rFonts w:ascii="Garamond" w:hAnsi="Garamond"/>
          <w:sz w:val="24"/>
        </w:rPr>
        <w:t xml:space="preserve">mbi </w:t>
      </w:r>
      <w:r w:rsidR="007951BD" w:rsidRPr="00B907A3">
        <w:rPr>
          <w:rFonts w:ascii="Garamond" w:hAnsi="Garamond"/>
          <w:sz w:val="24"/>
        </w:rPr>
        <w:t>çdo</w:t>
      </w:r>
      <w:r w:rsidR="00021E34" w:rsidRPr="00B907A3">
        <w:rPr>
          <w:rFonts w:ascii="Garamond" w:hAnsi="Garamond"/>
          <w:sz w:val="24"/>
        </w:rPr>
        <w:t xml:space="preserve"> gj</w:t>
      </w:r>
      <w:r w:rsidR="007671DA" w:rsidRPr="00B907A3">
        <w:rPr>
          <w:rFonts w:ascii="Garamond" w:hAnsi="Garamond"/>
          <w:sz w:val="24"/>
        </w:rPr>
        <w:t>ë</w:t>
      </w:r>
      <w:r w:rsidR="00021E34" w:rsidRPr="00B907A3">
        <w:rPr>
          <w:rFonts w:ascii="Garamond" w:hAnsi="Garamond"/>
          <w:sz w:val="24"/>
        </w:rPr>
        <w:t xml:space="preserve">, gjatë </w:t>
      </w:r>
      <w:r w:rsidR="007671DA" w:rsidRPr="00B907A3">
        <w:rPr>
          <w:rFonts w:ascii="Garamond" w:hAnsi="Garamond"/>
          <w:sz w:val="24"/>
        </w:rPr>
        <w:t>projektimi</w:t>
      </w:r>
      <w:r w:rsidR="00021E34" w:rsidRPr="00B907A3">
        <w:rPr>
          <w:rFonts w:ascii="Garamond" w:hAnsi="Garamond"/>
          <w:sz w:val="24"/>
        </w:rPr>
        <w:t xml:space="preserve">t </w:t>
      </w:r>
      <w:r w:rsidR="007671DA" w:rsidRPr="00B907A3">
        <w:rPr>
          <w:rFonts w:ascii="Garamond" w:hAnsi="Garamond"/>
          <w:sz w:val="24"/>
        </w:rPr>
        <w:t>dhe funksionimi</w:t>
      </w:r>
      <w:r w:rsidR="00021E34" w:rsidRPr="00B907A3">
        <w:rPr>
          <w:rFonts w:ascii="Garamond" w:hAnsi="Garamond"/>
          <w:sz w:val="24"/>
        </w:rPr>
        <w:t xml:space="preserve">t të </w:t>
      </w:r>
      <w:r w:rsidR="007671DA" w:rsidRPr="00B907A3">
        <w:rPr>
          <w:rFonts w:ascii="Garamond" w:hAnsi="Garamond"/>
          <w:sz w:val="24"/>
        </w:rPr>
        <w:t xml:space="preserve">sistemeve të </w:t>
      </w:r>
      <w:r w:rsidR="00021E34" w:rsidRPr="00B907A3">
        <w:rPr>
          <w:rFonts w:ascii="Garamond" w:hAnsi="Garamond"/>
          <w:sz w:val="24"/>
        </w:rPr>
        <w:t xml:space="preserve">qarkullimit </w:t>
      </w:r>
      <w:r w:rsidR="007671DA" w:rsidRPr="00B907A3">
        <w:rPr>
          <w:rFonts w:ascii="Garamond" w:hAnsi="Garamond"/>
          <w:sz w:val="24"/>
        </w:rPr>
        <w:t xml:space="preserve">rrugor. Kjo qasje pranon idenë se, ndërsa gabimet njerëzore janë të pashmangshme, vetë sistemi rrugor duhet të projektohet në një mënyrë që parandalon që këto gabime të çojnë në lëndime të rënda ose </w:t>
      </w:r>
      <w:r w:rsidR="002E580E" w:rsidRPr="00B907A3">
        <w:rPr>
          <w:rFonts w:ascii="Garamond" w:hAnsi="Garamond"/>
          <w:sz w:val="24"/>
        </w:rPr>
        <w:t>fatalitet</w:t>
      </w:r>
      <w:r w:rsidR="007671DA" w:rsidRPr="00B907A3">
        <w:rPr>
          <w:rFonts w:ascii="Garamond" w:hAnsi="Garamond"/>
          <w:sz w:val="24"/>
        </w:rPr>
        <w:t>e. Element</w:t>
      </w:r>
      <w:r w:rsidR="00D121E9">
        <w:rPr>
          <w:rFonts w:ascii="Garamond" w:hAnsi="Garamond"/>
          <w:sz w:val="24"/>
        </w:rPr>
        <w:t>e</w:t>
      </w:r>
      <w:r w:rsidR="007671DA" w:rsidRPr="00B907A3">
        <w:rPr>
          <w:rFonts w:ascii="Garamond" w:hAnsi="Garamond"/>
          <w:sz w:val="24"/>
        </w:rPr>
        <w:t>t kryesor</w:t>
      </w:r>
      <w:r w:rsidR="00D121E9">
        <w:rPr>
          <w:rFonts w:ascii="Garamond" w:hAnsi="Garamond"/>
          <w:sz w:val="24"/>
        </w:rPr>
        <w:t>e</w:t>
      </w:r>
      <w:r w:rsidR="007671DA" w:rsidRPr="00B907A3">
        <w:rPr>
          <w:rFonts w:ascii="Garamond" w:hAnsi="Garamond"/>
          <w:sz w:val="24"/>
        </w:rPr>
        <w:t xml:space="preserve"> të </w:t>
      </w:r>
      <w:r w:rsidR="00FD0352" w:rsidRPr="00B907A3">
        <w:rPr>
          <w:rFonts w:ascii="Garamond" w:hAnsi="Garamond"/>
          <w:sz w:val="24"/>
        </w:rPr>
        <w:t>Q</w:t>
      </w:r>
      <w:r w:rsidR="00021E34" w:rsidRPr="00B907A3">
        <w:rPr>
          <w:rFonts w:ascii="Garamond" w:hAnsi="Garamond"/>
          <w:sz w:val="24"/>
        </w:rPr>
        <w:t xml:space="preserve">SS </w:t>
      </w:r>
      <w:r w:rsidR="007671DA" w:rsidRPr="00B907A3">
        <w:rPr>
          <w:rFonts w:ascii="Garamond" w:hAnsi="Garamond"/>
          <w:sz w:val="24"/>
        </w:rPr>
        <w:t>janë si më poshtë</w:t>
      </w:r>
      <w:r w:rsidR="005E1AD6" w:rsidRPr="00B907A3">
        <w:rPr>
          <w:rFonts w:ascii="Garamond" w:hAnsi="Garamond"/>
          <w:sz w:val="24"/>
        </w:rPr>
        <w:t>:</w:t>
      </w:r>
    </w:p>
    <w:p w14:paraId="52F78DA3" w14:textId="3630C264" w:rsidR="005E1AD6" w:rsidRPr="00B907A3" w:rsidRDefault="00A03CA0" w:rsidP="008C4E07">
      <w:pPr>
        <w:pStyle w:val="ListParagraph"/>
        <w:ind w:left="0" w:firstLine="284"/>
        <w:jc w:val="both"/>
        <w:rPr>
          <w:rFonts w:ascii="Garamond" w:hAnsi="Garamond"/>
          <w:sz w:val="24"/>
        </w:rPr>
      </w:pPr>
      <w:r w:rsidRPr="00B907A3">
        <w:rPr>
          <w:rFonts w:ascii="Garamond" w:eastAsia="Calibri" w:hAnsi="Garamond"/>
          <w:b/>
          <w:bCs/>
          <w:spacing w:val="-2"/>
          <w:w w:val="105"/>
          <w:sz w:val="24"/>
          <w:lang w:eastAsia="en-US"/>
        </w:rPr>
        <w:lastRenderedPageBreak/>
        <w:t xml:space="preserve">- </w:t>
      </w:r>
      <w:r w:rsidR="007671DA" w:rsidRPr="00B907A3">
        <w:rPr>
          <w:rFonts w:ascii="Garamond" w:hAnsi="Garamond"/>
          <w:sz w:val="24"/>
        </w:rPr>
        <w:t xml:space="preserve">Menaxhimi i Sigurisë Rrugore, duke përfshirë koordinimin efektiv vertikal dhe horizontal të sigurisë rrugore dhe bashkëpunimin midis palëve </w:t>
      </w:r>
      <w:r w:rsidR="00021E34" w:rsidRPr="00B907A3">
        <w:rPr>
          <w:rFonts w:ascii="Garamond" w:hAnsi="Garamond"/>
          <w:sz w:val="24"/>
        </w:rPr>
        <w:t xml:space="preserve">kryesore </w:t>
      </w:r>
      <w:r w:rsidR="007671DA" w:rsidRPr="00B907A3">
        <w:rPr>
          <w:rFonts w:ascii="Garamond" w:hAnsi="Garamond"/>
          <w:sz w:val="24"/>
        </w:rPr>
        <w:t xml:space="preserve">të </w:t>
      </w:r>
      <w:r w:rsidR="00021E34" w:rsidRPr="00B907A3">
        <w:rPr>
          <w:rFonts w:ascii="Garamond" w:hAnsi="Garamond"/>
          <w:sz w:val="24"/>
        </w:rPr>
        <w:t>interes</w:t>
      </w:r>
      <w:r w:rsidR="00FD0352" w:rsidRPr="00B907A3">
        <w:rPr>
          <w:rFonts w:ascii="Garamond" w:hAnsi="Garamond"/>
          <w:sz w:val="24"/>
        </w:rPr>
        <w:t>i</w:t>
      </w:r>
      <w:r w:rsidR="00021E34" w:rsidRPr="00B907A3">
        <w:rPr>
          <w:rFonts w:ascii="Garamond" w:hAnsi="Garamond"/>
          <w:sz w:val="24"/>
        </w:rPr>
        <w:t xml:space="preserve">t </w:t>
      </w:r>
      <w:r w:rsidR="000B47CF" w:rsidRPr="00B907A3">
        <w:rPr>
          <w:rFonts w:ascii="Garamond" w:hAnsi="Garamond"/>
          <w:sz w:val="24"/>
        </w:rPr>
        <w:t>p</w:t>
      </w:r>
      <w:r w:rsidR="007671DA" w:rsidRPr="00B907A3">
        <w:rPr>
          <w:rFonts w:ascii="Garamond" w:hAnsi="Garamond"/>
          <w:sz w:val="24"/>
        </w:rPr>
        <w:t>ë</w:t>
      </w:r>
      <w:r w:rsidR="000B47CF" w:rsidRPr="00B907A3">
        <w:rPr>
          <w:rFonts w:ascii="Garamond" w:hAnsi="Garamond"/>
          <w:sz w:val="24"/>
        </w:rPr>
        <w:t>r</w:t>
      </w:r>
      <w:r w:rsidR="007671DA" w:rsidRPr="00B907A3">
        <w:rPr>
          <w:rFonts w:ascii="Garamond" w:hAnsi="Garamond"/>
          <w:sz w:val="24"/>
        </w:rPr>
        <w:t xml:space="preserve"> </w:t>
      </w:r>
      <w:r w:rsidR="000B47CF" w:rsidRPr="00B907A3">
        <w:rPr>
          <w:rFonts w:ascii="Garamond" w:hAnsi="Garamond"/>
          <w:sz w:val="24"/>
        </w:rPr>
        <w:t xml:space="preserve">sigurinë </w:t>
      </w:r>
      <w:r w:rsidR="007671DA" w:rsidRPr="00B907A3">
        <w:rPr>
          <w:rFonts w:ascii="Garamond" w:hAnsi="Garamond"/>
          <w:sz w:val="24"/>
        </w:rPr>
        <w:t>rrugore (MIE, M</w:t>
      </w:r>
      <w:r w:rsidR="007366B0" w:rsidRPr="00B907A3">
        <w:rPr>
          <w:rFonts w:ascii="Garamond" w:hAnsi="Garamond"/>
          <w:sz w:val="24"/>
        </w:rPr>
        <w:t>P</w:t>
      </w:r>
      <w:r w:rsidR="007671DA" w:rsidRPr="00B907A3">
        <w:rPr>
          <w:rFonts w:ascii="Garamond" w:hAnsi="Garamond"/>
          <w:sz w:val="24"/>
        </w:rPr>
        <w:t>B/</w:t>
      </w:r>
      <w:r w:rsidR="00A16709" w:rsidRPr="00B907A3">
        <w:rPr>
          <w:rFonts w:ascii="Garamond" w:hAnsi="Garamond"/>
          <w:sz w:val="24"/>
        </w:rPr>
        <w:t>PR</w:t>
      </w:r>
      <w:r w:rsidR="00AB7597" w:rsidRPr="00B907A3">
        <w:rPr>
          <w:rFonts w:ascii="Garamond" w:hAnsi="Garamond"/>
          <w:sz w:val="24"/>
        </w:rPr>
        <w:t>r</w:t>
      </w:r>
      <w:r w:rsidR="007671DA" w:rsidRPr="00B907A3">
        <w:rPr>
          <w:rFonts w:ascii="Garamond" w:hAnsi="Garamond"/>
          <w:sz w:val="24"/>
        </w:rPr>
        <w:t>, MSH</w:t>
      </w:r>
      <w:r w:rsidR="00A16709" w:rsidRPr="00B907A3">
        <w:rPr>
          <w:rFonts w:ascii="Garamond" w:hAnsi="Garamond"/>
          <w:sz w:val="24"/>
        </w:rPr>
        <w:t>MS</w:t>
      </w:r>
      <w:r w:rsidR="007671DA" w:rsidRPr="00B907A3">
        <w:rPr>
          <w:rFonts w:ascii="Garamond" w:hAnsi="Garamond"/>
          <w:sz w:val="24"/>
        </w:rPr>
        <w:t>, MA, DPSHTRR, IT, AR</w:t>
      </w:r>
      <w:r w:rsidR="00801747" w:rsidRPr="00B907A3">
        <w:rPr>
          <w:rFonts w:ascii="Garamond" w:hAnsi="Garamond"/>
          <w:sz w:val="24"/>
        </w:rPr>
        <w:t>r</w:t>
      </w:r>
      <w:r w:rsidR="00A16709" w:rsidRPr="00B907A3">
        <w:rPr>
          <w:rFonts w:ascii="Garamond" w:hAnsi="Garamond"/>
          <w:sz w:val="24"/>
        </w:rPr>
        <w:t>SH</w:t>
      </w:r>
      <w:r w:rsidR="007671DA" w:rsidRPr="00B907A3">
        <w:rPr>
          <w:rFonts w:ascii="Garamond" w:hAnsi="Garamond"/>
          <w:sz w:val="24"/>
        </w:rPr>
        <w:t>, etj.</w:t>
      </w:r>
      <w:r w:rsidR="005C4FDE" w:rsidRPr="00B907A3">
        <w:rPr>
          <w:rFonts w:ascii="Garamond" w:eastAsia="Calibri" w:hAnsi="Garamond"/>
          <w:spacing w:val="-2"/>
          <w:w w:val="105"/>
          <w:sz w:val="24"/>
          <w:lang w:eastAsia="en-US"/>
        </w:rPr>
        <w:t>)</w:t>
      </w:r>
      <w:r w:rsidR="006655F5" w:rsidRPr="00B907A3">
        <w:rPr>
          <w:rFonts w:ascii="Garamond" w:hAnsi="Garamond"/>
          <w:sz w:val="24"/>
        </w:rPr>
        <w:t>.</w:t>
      </w:r>
    </w:p>
    <w:p w14:paraId="1A54B1AC" w14:textId="079E3F3D" w:rsidR="005E1AD6" w:rsidRPr="00B907A3" w:rsidRDefault="00A03CA0" w:rsidP="008C4E07">
      <w:pPr>
        <w:pStyle w:val="ListParagraph"/>
        <w:ind w:left="0" w:firstLine="284"/>
        <w:jc w:val="both"/>
        <w:rPr>
          <w:rFonts w:ascii="Garamond" w:hAnsi="Garamond"/>
          <w:sz w:val="24"/>
        </w:rPr>
      </w:pPr>
      <w:r w:rsidRPr="00B907A3">
        <w:rPr>
          <w:rFonts w:ascii="Garamond" w:eastAsia="Calibri" w:hAnsi="Garamond"/>
          <w:b/>
          <w:bCs/>
          <w:spacing w:val="-2"/>
          <w:w w:val="105"/>
          <w:sz w:val="24"/>
          <w:lang w:eastAsia="en-US"/>
        </w:rPr>
        <w:t xml:space="preserve">- </w:t>
      </w:r>
      <w:r w:rsidR="007671DA" w:rsidRPr="00B907A3">
        <w:rPr>
          <w:rFonts w:ascii="Garamond" w:hAnsi="Garamond"/>
          <w:sz w:val="24"/>
        </w:rPr>
        <w:t>Rrugë dhe Infrastrukturë e Sigurt, duke përfshirë shpejtësinë e sigurt: projektimi i rrugëve duke pasur parasysh sigurinë, siç janë sinjalistika e duhur, sh</w:t>
      </w:r>
      <w:r w:rsidR="005D38D3" w:rsidRPr="00B907A3">
        <w:rPr>
          <w:rFonts w:ascii="Garamond" w:hAnsi="Garamond"/>
          <w:sz w:val="24"/>
        </w:rPr>
        <w:t>ë</w:t>
      </w:r>
      <w:r w:rsidR="007671DA" w:rsidRPr="00B907A3">
        <w:rPr>
          <w:rFonts w:ascii="Garamond" w:hAnsi="Garamond"/>
          <w:sz w:val="24"/>
        </w:rPr>
        <w:t>nj</w:t>
      </w:r>
      <w:r w:rsidR="005D38D3" w:rsidRPr="00B907A3">
        <w:rPr>
          <w:rFonts w:ascii="Garamond" w:hAnsi="Garamond"/>
          <w:sz w:val="24"/>
        </w:rPr>
        <w:t xml:space="preserve">imet </w:t>
      </w:r>
      <w:r w:rsidR="007671DA" w:rsidRPr="00B907A3">
        <w:rPr>
          <w:rFonts w:ascii="Garamond" w:hAnsi="Garamond"/>
          <w:sz w:val="24"/>
        </w:rPr>
        <w:t>e qarta, kalimet e sigurta për këmbësorë</w:t>
      </w:r>
      <w:r w:rsidR="005D38D3" w:rsidRPr="00B907A3">
        <w:rPr>
          <w:rFonts w:ascii="Garamond" w:hAnsi="Garamond"/>
          <w:sz w:val="24"/>
        </w:rPr>
        <w:t>t</w:t>
      </w:r>
      <w:r w:rsidR="007671DA" w:rsidRPr="00B907A3">
        <w:rPr>
          <w:rFonts w:ascii="Garamond" w:hAnsi="Garamond"/>
          <w:sz w:val="24"/>
        </w:rPr>
        <w:t xml:space="preserve"> dhe infrastruktura që minimizon r</w:t>
      </w:r>
      <w:r w:rsidR="005D38D3" w:rsidRPr="00B907A3">
        <w:rPr>
          <w:rFonts w:ascii="Garamond" w:hAnsi="Garamond"/>
          <w:sz w:val="24"/>
        </w:rPr>
        <w:t xml:space="preserve">iskun e </w:t>
      </w:r>
      <w:r w:rsidR="007671DA" w:rsidRPr="00B907A3">
        <w:rPr>
          <w:rFonts w:ascii="Garamond" w:hAnsi="Garamond"/>
          <w:sz w:val="24"/>
        </w:rPr>
        <w:t>aksidenteve. Vendosja e kufijve të shpejtësisë që përputhen me funksionin dhe nivelin e sigurisë së rrugës. Shpejtësitë më të ulëta zvogëlojnë ashpërsinë e aksidenteve dhe përmirësojnë kohën e reagimit</w:t>
      </w:r>
      <w:r w:rsidR="005E1AD6" w:rsidRPr="00B907A3">
        <w:rPr>
          <w:rFonts w:ascii="Garamond" w:hAnsi="Garamond"/>
          <w:sz w:val="24"/>
        </w:rPr>
        <w:t>.</w:t>
      </w:r>
    </w:p>
    <w:p w14:paraId="3E30CC21" w14:textId="5CECC786" w:rsidR="005E1AD6" w:rsidRPr="00B907A3" w:rsidRDefault="00A03CA0" w:rsidP="008C4E07">
      <w:pPr>
        <w:pStyle w:val="ListParagraph"/>
        <w:ind w:left="0" w:firstLine="284"/>
        <w:jc w:val="both"/>
        <w:rPr>
          <w:rFonts w:ascii="Garamond" w:hAnsi="Garamond"/>
          <w:sz w:val="24"/>
        </w:rPr>
      </w:pPr>
      <w:r w:rsidRPr="00B907A3">
        <w:rPr>
          <w:rFonts w:ascii="Garamond" w:eastAsia="Calibri" w:hAnsi="Garamond"/>
          <w:b/>
          <w:bCs/>
          <w:spacing w:val="-2"/>
          <w:w w:val="105"/>
          <w:sz w:val="24"/>
          <w:lang w:eastAsia="en-US"/>
        </w:rPr>
        <w:t xml:space="preserve">- </w:t>
      </w:r>
      <w:r w:rsidR="007671DA" w:rsidRPr="00B907A3">
        <w:rPr>
          <w:rFonts w:ascii="Garamond" w:hAnsi="Garamond"/>
          <w:sz w:val="24"/>
        </w:rPr>
        <w:t xml:space="preserve">Automjete të Sigurta: inkurajimi i përdorimit të automjeteve të pajisura me karakteristika të </w:t>
      </w:r>
      <w:r w:rsidR="00FA426B" w:rsidRPr="00B907A3">
        <w:rPr>
          <w:rFonts w:ascii="Garamond" w:hAnsi="Garamond"/>
          <w:sz w:val="24"/>
        </w:rPr>
        <w:t xml:space="preserve">avancuara </w:t>
      </w:r>
      <w:r w:rsidR="007671DA" w:rsidRPr="00B907A3">
        <w:rPr>
          <w:rFonts w:ascii="Garamond" w:hAnsi="Garamond"/>
          <w:sz w:val="24"/>
        </w:rPr>
        <w:t xml:space="preserve">sigurie si </w:t>
      </w:r>
      <w:r w:rsidR="00572B9E" w:rsidRPr="00B907A3">
        <w:rPr>
          <w:rFonts w:ascii="Garamond" w:hAnsi="Garamond"/>
          <w:sz w:val="24"/>
        </w:rPr>
        <w:t>jastëk</w:t>
      </w:r>
      <w:r w:rsidR="00076AF7" w:rsidRPr="00B907A3">
        <w:rPr>
          <w:rFonts w:ascii="Garamond" w:hAnsi="Garamond"/>
          <w:sz w:val="24"/>
        </w:rPr>
        <w:t xml:space="preserve"> ajri</w:t>
      </w:r>
      <w:r w:rsidR="007671DA" w:rsidRPr="00B907A3">
        <w:rPr>
          <w:rFonts w:ascii="Garamond" w:hAnsi="Garamond"/>
          <w:sz w:val="24"/>
        </w:rPr>
        <w:t>, frenim automatik emergjent dhe sisteme kontrolli të stabilitetit, si dhe eliminimi i automjeteve të gjeneratave të vjetra</w:t>
      </w:r>
      <w:r w:rsidR="005E1AD6" w:rsidRPr="00B907A3">
        <w:rPr>
          <w:rFonts w:ascii="Garamond" w:hAnsi="Garamond"/>
          <w:sz w:val="24"/>
        </w:rPr>
        <w:t>.</w:t>
      </w:r>
    </w:p>
    <w:p w14:paraId="7113F41D" w14:textId="02AF3AA6" w:rsidR="005E1AD6" w:rsidRPr="00B907A3" w:rsidRDefault="00A03CA0" w:rsidP="008C4E07">
      <w:pPr>
        <w:pStyle w:val="ListParagraph"/>
        <w:ind w:left="0" w:firstLine="284"/>
        <w:jc w:val="both"/>
        <w:rPr>
          <w:rFonts w:ascii="Garamond" w:hAnsi="Garamond"/>
          <w:sz w:val="24"/>
        </w:rPr>
      </w:pPr>
      <w:r w:rsidRPr="00B907A3">
        <w:rPr>
          <w:rFonts w:ascii="Garamond" w:eastAsia="Calibri" w:hAnsi="Garamond"/>
          <w:b/>
          <w:bCs/>
          <w:spacing w:val="-2"/>
          <w:w w:val="105"/>
          <w:sz w:val="24"/>
          <w:lang w:eastAsia="en-US"/>
        </w:rPr>
        <w:t xml:space="preserve">- </w:t>
      </w:r>
      <w:r w:rsidR="007671DA" w:rsidRPr="00B907A3">
        <w:rPr>
          <w:rFonts w:ascii="Garamond" w:hAnsi="Garamond"/>
          <w:sz w:val="24"/>
        </w:rPr>
        <w:t>Përdorues të Sigurt të Rrugës: promovimi i sjelljes së përgjegjshme përmes edukimit, zbatimit të ligjit dhe mbështetjes për përdoruesit e rrugës</w:t>
      </w:r>
      <w:r w:rsidR="004E14C3" w:rsidRPr="00B907A3">
        <w:rPr>
          <w:rFonts w:ascii="Garamond" w:hAnsi="Garamond"/>
          <w:sz w:val="24"/>
        </w:rPr>
        <w:t xml:space="preserve">, </w:t>
      </w:r>
      <w:r w:rsidR="007671DA" w:rsidRPr="00B907A3">
        <w:rPr>
          <w:rFonts w:ascii="Garamond" w:hAnsi="Garamond"/>
          <w:sz w:val="24"/>
        </w:rPr>
        <w:t xml:space="preserve">qofshin ata </w:t>
      </w:r>
      <w:r w:rsidR="00076AF7" w:rsidRPr="00B907A3">
        <w:rPr>
          <w:rFonts w:ascii="Garamond" w:hAnsi="Garamond"/>
          <w:sz w:val="24"/>
        </w:rPr>
        <w:t>drejtues</w:t>
      </w:r>
      <w:r w:rsidR="007671DA" w:rsidRPr="00B907A3">
        <w:rPr>
          <w:rFonts w:ascii="Garamond" w:hAnsi="Garamond"/>
          <w:sz w:val="24"/>
        </w:rPr>
        <w:t>, këmbësorë apo çiklistë</w:t>
      </w:r>
      <w:r w:rsidR="005E1AD6" w:rsidRPr="00B907A3">
        <w:rPr>
          <w:rFonts w:ascii="Garamond" w:hAnsi="Garamond"/>
          <w:sz w:val="24"/>
        </w:rPr>
        <w:t>.</w:t>
      </w:r>
    </w:p>
    <w:p w14:paraId="2588EC7B" w14:textId="1769930D" w:rsidR="005E1AD6" w:rsidRPr="00B907A3" w:rsidRDefault="00A03CA0" w:rsidP="008C4E07">
      <w:pPr>
        <w:pStyle w:val="ListParagraph"/>
        <w:ind w:left="0" w:firstLine="284"/>
        <w:jc w:val="both"/>
        <w:rPr>
          <w:rFonts w:ascii="Garamond" w:hAnsi="Garamond"/>
          <w:sz w:val="24"/>
        </w:rPr>
      </w:pPr>
      <w:r w:rsidRPr="00B907A3">
        <w:rPr>
          <w:rFonts w:ascii="Garamond" w:eastAsia="Calibri" w:hAnsi="Garamond"/>
          <w:b/>
          <w:bCs/>
          <w:spacing w:val="-2"/>
          <w:w w:val="105"/>
          <w:sz w:val="24"/>
          <w:lang w:eastAsia="en-US"/>
        </w:rPr>
        <w:t xml:space="preserve">- </w:t>
      </w:r>
      <w:r w:rsidR="007671DA" w:rsidRPr="00B907A3">
        <w:rPr>
          <w:rFonts w:ascii="Garamond" w:hAnsi="Garamond"/>
          <w:sz w:val="24"/>
        </w:rPr>
        <w:t xml:space="preserve">Reagimi pas Aksidentit: sigurimi i shërbimeve të shpejta dhe efektive të reagimit ndaj emergjencave dhe </w:t>
      </w:r>
      <w:r w:rsidR="00FA426B" w:rsidRPr="00B907A3">
        <w:rPr>
          <w:rFonts w:ascii="Garamond" w:hAnsi="Garamond"/>
          <w:sz w:val="24"/>
        </w:rPr>
        <w:t xml:space="preserve">shërbimeve të </w:t>
      </w:r>
      <w:r w:rsidR="007671DA" w:rsidRPr="00B907A3">
        <w:rPr>
          <w:rFonts w:ascii="Garamond" w:hAnsi="Garamond"/>
          <w:sz w:val="24"/>
        </w:rPr>
        <w:t>rehabilitimit për viktimat e aksidenteve për të zvogëluar pasojat afatgjata të lëndimeve</w:t>
      </w:r>
      <w:r w:rsidR="005E1AD6" w:rsidRPr="00B907A3">
        <w:rPr>
          <w:rFonts w:ascii="Garamond" w:hAnsi="Garamond"/>
          <w:sz w:val="24"/>
        </w:rPr>
        <w:t>.</w:t>
      </w:r>
    </w:p>
    <w:p w14:paraId="011BA4D9" w14:textId="54F184BA" w:rsidR="009B6AFF" w:rsidRPr="00B907A3" w:rsidRDefault="00076AF7" w:rsidP="008C4E07">
      <w:pPr>
        <w:spacing w:after="0"/>
        <w:ind w:firstLine="284"/>
        <w:rPr>
          <w:rFonts w:ascii="Garamond" w:hAnsi="Garamond"/>
          <w:sz w:val="24"/>
        </w:rPr>
      </w:pPr>
      <w:r w:rsidRPr="00B907A3">
        <w:rPr>
          <w:rFonts w:ascii="Garamond" w:hAnsi="Garamond"/>
          <w:sz w:val="24"/>
        </w:rPr>
        <w:t>Q</w:t>
      </w:r>
      <w:r w:rsidR="000A7E3D" w:rsidRPr="00B907A3">
        <w:rPr>
          <w:rFonts w:ascii="Garamond" w:hAnsi="Garamond"/>
          <w:sz w:val="24"/>
        </w:rPr>
        <w:t xml:space="preserve">SS </w:t>
      </w:r>
      <w:r w:rsidR="007671DA" w:rsidRPr="00B907A3">
        <w:rPr>
          <w:rFonts w:ascii="Garamond" w:hAnsi="Garamond"/>
          <w:sz w:val="24"/>
        </w:rPr>
        <w:t xml:space="preserve">nënvizon përgjegjësinë e përbashkët midis individëve, qeverive dhe organizatave për të krijuar një mjedis më të sigurt </w:t>
      </w:r>
      <w:r w:rsidR="00666802" w:rsidRPr="00B907A3">
        <w:rPr>
          <w:rFonts w:ascii="Garamond" w:hAnsi="Garamond"/>
          <w:sz w:val="24"/>
        </w:rPr>
        <w:t>qarkullimi</w:t>
      </w:r>
      <w:r w:rsidR="007671DA" w:rsidRPr="00B907A3">
        <w:rPr>
          <w:rFonts w:ascii="Garamond" w:hAnsi="Garamond"/>
          <w:sz w:val="24"/>
        </w:rPr>
        <w:t>. Ai zbatohet gjerësisht në vendet me performancën më të mirë</w:t>
      </w:r>
      <w:r w:rsidR="005E1AD6" w:rsidRPr="00B907A3">
        <w:rPr>
          <w:rFonts w:ascii="Garamond" w:hAnsi="Garamond"/>
          <w:sz w:val="24"/>
        </w:rPr>
        <w:t>.</w:t>
      </w:r>
    </w:p>
    <w:p w14:paraId="4C982F6C" w14:textId="69E42A0E" w:rsidR="003D3E55" w:rsidRPr="00B907A3" w:rsidRDefault="007671DA"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Si përfundim, </w:t>
      </w:r>
      <w:r w:rsidR="004E14C3" w:rsidRPr="00B907A3">
        <w:rPr>
          <w:rFonts w:ascii="Garamond" w:eastAsia="Calibri" w:hAnsi="Garamond"/>
          <w:spacing w:val="-2"/>
          <w:w w:val="105"/>
          <w:sz w:val="24"/>
          <w:lang w:eastAsia="en-US"/>
        </w:rPr>
        <w:t>Qasja ‘Vi</w:t>
      </w:r>
      <w:r w:rsidR="00EF5DD9" w:rsidRPr="00B907A3">
        <w:rPr>
          <w:rFonts w:ascii="Garamond" w:eastAsia="Calibri" w:hAnsi="Garamond"/>
          <w:spacing w:val="-2"/>
          <w:w w:val="105"/>
          <w:sz w:val="24"/>
          <w:lang w:eastAsia="en-US"/>
        </w:rPr>
        <w:t>z</w:t>
      </w:r>
      <w:r w:rsidR="004E14C3" w:rsidRPr="00B907A3">
        <w:rPr>
          <w:rFonts w:ascii="Garamond" w:eastAsia="Calibri" w:hAnsi="Garamond"/>
          <w:spacing w:val="-2"/>
          <w:w w:val="105"/>
          <w:sz w:val="24"/>
          <w:lang w:eastAsia="en-US"/>
        </w:rPr>
        <w:t>ion</w:t>
      </w:r>
      <w:r w:rsidR="00EF5DD9" w:rsidRPr="00B907A3">
        <w:rPr>
          <w:rFonts w:ascii="Garamond" w:eastAsia="Calibri" w:hAnsi="Garamond"/>
          <w:spacing w:val="-2"/>
          <w:w w:val="105"/>
          <w:sz w:val="24"/>
          <w:lang w:eastAsia="en-US"/>
        </w:rPr>
        <w:t>i</w:t>
      </w:r>
      <w:r w:rsidR="004E14C3" w:rsidRPr="00B907A3">
        <w:rPr>
          <w:rFonts w:ascii="Garamond" w:eastAsia="Calibri" w:hAnsi="Garamond"/>
          <w:spacing w:val="-2"/>
          <w:w w:val="105"/>
          <w:sz w:val="24"/>
          <w:lang w:eastAsia="en-US"/>
        </w:rPr>
        <w:t xml:space="preserve"> Zero</w:t>
      </w:r>
      <w:r w:rsidR="007951BD">
        <w:rPr>
          <w:rFonts w:ascii="Garamond" w:eastAsia="Calibri" w:hAnsi="Garamond"/>
          <w:spacing w:val="-2"/>
          <w:w w:val="105"/>
          <w:sz w:val="24"/>
          <w:lang w:eastAsia="en-US"/>
        </w:rPr>
        <w:t>”</w:t>
      </w:r>
      <w:r w:rsidR="004E14C3" w:rsidRPr="00B907A3">
        <w:rPr>
          <w:rFonts w:ascii="Garamond" w:eastAsia="Calibri" w:hAnsi="Garamond"/>
          <w:spacing w:val="-2"/>
          <w:w w:val="105"/>
          <w:sz w:val="24"/>
          <w:lang w:eastAsia="en-US"/>
        </w:rPr>
        <w:t xml:space="preserve"> mund të shërbejë si udhërrëfyes për Shqipërinë</w:t>
      </w:r>
      <w:r w:rsidRPr="00B907A3">
        <w:rPr>
          <w:rFonts w:ascii="Garamond" w:eastAsia="Calibri" w:hAnsi="Garamond"/>
          <w:spacing w:val="-2"/>
          <w:w w:val="105"/>
          <w:sz w:val="24"/>
          <w:lang w:eastAsia="en-US"/>
        </w:rPr>
        <w:t xml:space="preserve">, duke e ndihmuar vendin të ndërtojë një të ardhme në të cilën askush nuk </w:t>
      </w:r>
      <w:r w:rsidR="00666802" w:rsidRPr="00B907A3">
        <w:rPr>
          <w:rFonts w:ascii="Garamond" w:eastAsia="Calibri" w:hAnsi="Garamond"/>
          <w:spacing w:val="-2"/>
          <w:w w:val="105"/>
          <w:sz w:val="24"/>
          <w:lang w:eastAsia="en-US"/>
        </w:rPr>
        <w:t>humb jet</w:t>
      </w:r>
      <w:r w:rsidR="00666802" w:rsidRPr="00B907A3">
        <w:rPr>
          <w:rFonts w:ascii="Garamond" w:hAnsi="Garamond"/>
          <w:sz w:val="24"/>
        </w:rPr>
        <w:t xml:space="preserve">ën </w:t>
      </w:r>
      <w:r w:rsidRPr="00B907A3">
        <w:rPr>
          <w:rFonts w:ascii="Garamond" w:eastAsia="Calibri" w:hAnsi="Garamond"/>
          <w:spacing w:val="-2"/>
          <w:w w:val="105"/>
          <w:sz w:val="24"/>
          <w:lang w:eastAsia="en-US"/>
        </w:rPr>
        <w:t>dhe as</w:t>
      </w:r>
      <w:r w:rsidR="00666802" w:rsidRPr="00B907A3">
        <w:rPr>
          <w:rFonts w:ascii="Garamond" w:eastAsia="Calibri" w:hAnsi="Garamond"/>
          <w:spacing w:val="-2"/>
          <w:w w:val="105"/>
          <w:sz w:val="24"/>
          <w:lang w:eastAsia="en-US"/>
        </w:rPr>
        <w:t>kush</w:t>
      </w:r>
      <w:r w:rsidRPr="00B907A3">
        <w:rPr>
          <w:rFonts w:ascii="Garamond" w:eastAsia="Calibri" w:hAnsi="Garamond"/>
          <w:spacing w:val="-2"/>
          <w:w w:val="105"/>
          <w:sz w:val="24"/>
          <w:lang w:eastAsia="en-US"/>
        </w:rPr>
        <w:t xml:space="preserve"> nuk pëson lëndime </w:t>
      </w:r>
      <w:r w:rsidR="00666802" w:rsidRPr="00B907A3">
        <w:rPr>
          <w:rFonts w:ascii="Garamond" w:eastAsia="Calibri" w:hAnsi="Garamond"/>
          <w:spacing w:val="-2"/>
          <w:w w:val="105"/>
          <w:sz w:val="24"/>
          <w:lang w:eastAsia="en-US"/>
        </w:rPr>
        <w:t>t</w:t>
      </w:r>
      <w:r w:rsidR="00666802" w:rsidRPr="00B907A3">
        <w:rPr>
          <w:rFonts w:ascii="Garamond" w:hAnsi="Garamond"/>
          <w:sz w:val="24"/>
        </w:rPr>
        <w:t xml:space="preserve">ë rënda </w:t>
      </w:r>
      <w:r w:rsidRPr="00B907A3">
        <w:rPr>
          <w:rFonts w:ascii="Garamond" w:eastAsia="Calibri" w:hAnsi="Garamond"/>
          <w:spacing w:val="-2"/>
          <w:w w:val="105"/>
          <w:sz w:val="24"/>
          <w:lang w:eastAsia="en-US"/>
        </w:rPr>
        <w:t xml:space="preserve">në rrugët e vendit. </w:t>
      </w:r>
      <w:r w:rsidR="0049591E" w:rsidRPr="00B907A3">
        <w:rPr>
          <w:rFonts w:ascii="Garamond" w:eastAsia="Calibri" w:hAnsi="Garamond"/>
          <w:spacing w:val="-2"/>
          <w:w w:val="105"/>
          <w:sz w:val="24"/>
          <w:lang w:eastAsia="en-US"/>
        </w:rPr>
        <w:t>Q</w:t>
      </w:r>
      <w:r w:rsidR="00666802" w:rsidRPr="00B907A3">
        <w:rPr>
          <w:rFonts w:ascii="Garamond" w:eastAsia="Calibri" w:hAnsi="Garamond"/>
          <w:spacing w:val="-2"/>
          <w:w w:val="105"/>
          <w:sz w:val="24"/>
          <w:lang w:eastAsia="en-US"/>
        </w:rPr>
        <w:t xml:space="preserve">SS </w:t>
      </w:r>
      <w:r w:rsidRPr="00B907A3">
        <w:rPr>
          <w:rFonts w:ascii="Garamond" w:eastAsia="Calibri" w:hAnsi="Garamond"/>
          <w:spacing w:val="-2"/>
          <w:w w:val="105"/>
          <w:sz w:val="24"/>
          <w:lang w:eastAsia="en-US"/>
        </w:rPr>
        <w:t>mund të jetë mjeti për arritjen e këtij Vizioni të programuar</w:t>
      </w:r>
      <w:r w:rsidR="00DD0F2B" w:rsidRPr="00B907A3">
        <w:rPr>
          <w:rFonts w:ascii="Garamond" w:eastAsia="Calibri" w:hAnsi="Garamond"/>
          <w:spacing w:val="-2"/>
          <w:w w:val="105"/>
          <w:sz w:val="24"/>
          <w:lang w:eastAsia="en-US"/>
        </w:rPr>
        <w:t>.</w:t>
      </w:r>
    </w:p>
    <w:p w14:paraId="5B09B7A1" w14:textId="61A6C929" w:rsidR="009141BA" w:rsidRPr="00B907A3" w:rsidRDefault="00A03CA0" w:rsidP="008C4E07">
      <w:pPr>
        <w:pStyle w:val="Heading2"/>
        <w:numPr>
          <w:ilvl w:val="0"/>
          <w:numId w:val="0"/>
        </w:numPr>
        <w:spacing w:after="0"/>
        <w:ind w:firstLine="284"/>
        <w:rPr>
          <w:rFonts w:ascii="Garamond" w:hAnsi="Garamond"/>
          <w:color w:val="auto"/>
          <w:lang w:val="sq-AL"/>
        </w:rPr>
      </w:pPr>
      <w:bookmarkStart w:id="15" w:name="_Toc208840558"/>
      <w:r w:rsidRPr="00B907A3">
        <w:rPr>
          <w:rFonts w:ascii="Garamond" w:hAnsi="Garamond"/>
          <w:color w:val="auto"/>
          <w:lang w:val="sq-AL"/>
        </w:rPr>
        <w:t xml:space="preserve">1.4 </w:t>
      </w:r>
      <w:r w:rsidR="007671DA" w:rsidRPr="00B907A3">
        <w:rPr>
          <w:rFonts w:ascii="Garamond" w:hAnsi="Garamond"/>
          <w:color w:val="auto"/>
          <w:lang w:val="sq-AL"/>
        </w:rPr>
        <w:t>Procesi i zhvillimit të Strategjisë së dytë të Sigurisë Rrugore</w:t>
      </w:r>
      <w:bookmarkEnd w:id="15"/>
      <w:r w:rsidR="009141BA" w:rsidRPr="00B907A3">
        <w:rPr>
          <w:rFonts w:ascii="Garamond" w:hAnsi="Garamond"/>
          <w:color w:val="auto"/>
          <w:lang w:val="sq-AL"/>
        </w:rPr>
        <w:t xml:space="preserve"> </w:t>
      </w:r>
    </w:p>
    <w:p w14:paraId="5CE8F924" w14:textId="31F4FAEB" w:rsidR="00E154B0" w:rsidRPr="00B907A3" w:rsidRDefault="00467893" w:rsidP="008C4E07">
      <w:pPr>
        <w:spacing w:after="0"/>
        <w:ind w:firstLine="284"/>
        <w:rPr>
          <w:rFonts w:ascii="Garamond" w:eastAsia="Calibri" w:hAnsi="Garamond"/>
          <w:sz w:val="24"/>
          <w:lang w:eastAsia="en-US"/>
        </w:rPr>
      </w:pPr>
      <w:r w:rsidRPr="00B907A3">
        <w:rPr>
          <w:rFonts w:ascii="Garamond" w:eastAsia="Calibri" w:hAnsi="Garamond"/>
          <w:sz w:val="24"/>
          <w:lang w:eastAsia="en-US"/>
        </w:rPr>
        <w:t xml:space="preserve">Zhvillimi i </w:t>
      </w:r>
      <w:r w:rsidR="005B413A" w:rsidRPr="00B907A3">
        <w:rPr>
          <w:rFonts w:ascii="Garamond" w:eastAsia="Calibri" w:hAnsi="Garamond"/>
          <w:sz w:val="24"/>
          <w:lang w:eastAsia="en-US"/>
        </w:rPr>
        <w:t>SSR</w:t>
      </w:r>
      <w:r w:rsidR="0075781E" w:rsidRPr="00B907A3">
        <w:rPr>
          <w:rFonts w:ascii="Garamond" w:eastAsia="Calibri" w:hAnsi="Garamond"/>
          <w:sz w:val="24"/>
          <w:lang w:eastAsia="en-US"/>
        </w:rPr>
        <w:t>r</w:t>
      </w:r>
      <w:r w:rsidRPr="00B907A3">
        <w:rPr>
          <w:rFonts w:ascii="Garamond" w:eastAsia="Calibri" w:hAnsi="Garamond"/>
          <w:sz w:val="24"/>
          <w:lang w:eastAsia="en-US"/>
        </w:rPr>
        <w:t xml:space="preserve"> </w:t>
      </w:r>
      <w:r w:rsidR="00965D45" w:rsidRPr="00B907A3">
        <w:rPr>
          <w:rFonts w:ascii="Garamond" w:eastAsia="Calibri" w:hAnsi="Garamond"/>
          <w:sz w:val="24"/>
          <w:lang w:eastAsia="en-US"/>
        </w:rPr>
        <w:t>t</w:t>
      </w:r>
      <w:r w:rsidRPr="00B907A3">
        <w:rPr>
          <w:rFonts w:ascii="Garamond" w:eastAsia="Calibri" w:hAnsi="Garamond"/>
          <w:sz w:val="24"/>
          <w:lang w:eastAsia="en-US"/>
        </w:rPr>
        <w:t>ë dytë të Shqipërisë u bazua në një proces sistematik, të bazuar në prova dhe gjithëpërfshirës, në përputhje me praktikat më të mira ndërkombëtare dhe të BE-së. Strategjia është hartuar për të përmbushur objektivat e Politikës së Sigurisë Rrugore të BE-së 2021</w:t>
      </w:r>
      <w:r w:rsidR="007951BD">
        <w:rPr>
          <w:rFonts w:ascii="Garamond" w:hAnsi="Garamond"/>
          <w:sz w:val="24"/>
        </w:rPr>
        <w:t>–</w:t>
      </w:r>
      <w:r w:rsidRPr="00B907A3">
        <w:rPr>
          <w:rFonts w:ascii="Garamond" w:eastAsia="Calibri" w:hAnsi="Garamond"/>
          <w:sz w:val="24"/>
          <w:lang w:eastAsia="en-US"/>
        </w:rPr>
        <w:t xml:space="preserve">2030 bazuar në </w:t>
      </w:r>
      <w:r w:rsidR="007951BD">
        <w:rPr>
          <w:rFonts w:ascii="Garamond" w:eastAsia="Calibri" w:hAnsi="Garamond"/>
          <w:sz w:val="24"/>
          <w:lang w:eastAsia="en-US"/>
        </w:rPr>
        <w:t>“</w:t>
      </w:r>
      <w:r w:rsidRPr="00B907A3">
        <w:rPr>
          <w:rFonts w:ascii="Garamond" w:eastAsia="Calibri" w:hAnsi="Garamond"/>
          <w:sz w:val="24"/>
          <w:lang w:eastAsia="en-US"/>
        </w:rPr>
        <w:t>Vizionin Zero</w:t>
      </w:r>
      <w:r w:rsidR="007951BD">
        <w:rPr>
          <w:rFonts w:ascii="Garamond" w:eastAsia="Calibri" w:hAnsi="Garamond"/>
          <w:sz w:val="24"/>
          <w:lang w:eastAsia="en-US"/>
        </w:rPr>
        <w:t>”</w:t>
      </w:r>
      <w:r w:rsidRPr="00B907A3">
        <w:rPr>
          <w:rFonts w:ascii="Garamond" w:eastAsia="Calibri" w:hAnsi="Garamond"/>
          <w:sz w:val="24"/>
          <w:lang w:eastAsia="en-US"/>
        </w:rPr>
        <w:t xml:space="preserve"> të miratuar dhe Qasjen e Sistemit të Sigurt, të cilat pasqyrohen edhe në gjeneratën e dytë të Planit të Veprimit për Sigurinë Rrugore të </w:t>
      </w:r>
      <w:r w:rsidR="00CC4FD6" w:rsidRPr="00B907A3">
        <w:rPr>
          <w:rFonts w:ascii="Garamond" w:eastAsia="Calibri" w:hAnsi="Garamond"/>
          <w:sz w:val="24"/>
          <w:lang w:eastAsia="en-US"/>
        </w:rPr>
        <w:t>Traktatit t</w:t>
      </w:r>
      <w:r w:rsidR="00CC4FD6" w:rsidRPr="00B907A3">
        <w:rPr>
          <w:rFonts w:ascii="Garamond" w:hAnsi="Garamond"/>
          <w:sz w:val="24"/>
        </w:rPr>
        <w:t>ë</w:t>
      </w:r>
      <w:r w:rsidR="00CC4FD6" w:rsidRPr="00B907A3">
        <w:rPr>
          <w:rFonts w:ascii="Garamond" w:eastAsia="Calibri" w:hAnsi="Garamond"/>
          <w:sz w:val="24"/>
          <w:lang w:eastAsia="en-US"/>
        </w:rPr>
        <w:t xml:space="preserve"> </w:t>
      </w:r>
      <w:r w:rsidRPr="00B907A3">
        <w:rPr>
          <w:rFonts w:ascii="Garamond" w:eastAsia="Calibri" w:hAnsi="Garamond"/>
          <w:sz w:val="24"/>
          <w:lang w:eastAsia="en-US"/>
        </w:rPr>
        <w:t>Komunitetit të Transportit (</w:t>
      </w:r>
      <w:r w:rsidR="00CC4FD6" w:rsidRPr="00B907A3">
        <w:rPr>
          <w:rFonts w:ascii="Garamond" w:eastAsia="Calibri" w:hAnsi="Garamond"/>
          <w:sz w:val="24"/>
          <w:lang w:eastAsia="en-US"/>
        </w:rPr>
        <w:t>TCT</w:t>
      </w:r>
      <w:r w:rsidRPr="00B907A3">
        <w:rPr>
          <w:rFonts w:ascii="Garamond" w:eastAsia="Calibri" w:hAnsi="Garamond"/>
          <w:sz w:val="24"/>
          <w:lang w:eastAsia="en-US"/>
        </w:rPr>
        <w:t>). Strategjia është plotësisht në përputhje me Strategjinë Kombëtare për Zhvillim dhe Integrim Evropian (</w:t>
      </w:r>
      <w:r w:rsidR="00CC4FD6" w:rsidRPr="00B907A3">
        <w:rPr>
          <w:rFonts w:ascii="Garamond" w:eastAsia="Calibri" w:hAnsi="Garamond"/>
          <w:sz w:val="24"/>
          <w:lang w:eastAsia="en-US"/>
        </w:rPr>
        <w:t>SKZHI</w:t>
      </w:r>
      <w:r w:rsidRPr="00B907A3">
        <w:rPr>
          <w:rFonts w:ascii="Garamond" w:eastAsia="Calibri" w:hAnsi="Garamond"/>
          <w:sz w:val="24"/>
          <w:lang w:eastAsia="en-US"/>
        </w:rPr>
        <w:t>) 2022-2030</w:t>
      </w:r>
      <w:r w:rsidR="00822F25" w:rsidRPr="00B907A3">
        <w:rPr>
          <w:rFonts w:ascii="Garamond" w:eastAsia="Calibri" w:hAnsi="Garamond"/>
          <w:sz w:val="24"/>
          <w:lang w:eastAsia="en-US"/>
        </w:rPr>
        <w:t>.</w:t>
      </w:r>
    </w:p>
    <w:p w14:paraId="0D6633DE" w14:textId="69EA7092" w:rsidR="005E6CC7" w:rsidRPr="00B907A3" w:rsidRDefault="00467893" w:rsidP="008C4E07">
      <w:pPr>
        <w:spacing w:after="0"/>
        <w:ind w:firstLine="284"/>
        <w:rPr>
          <w:rFonts w:ascii="Garamond" w:eastAsia="Calibri" w:hAnsi="Garamond"/>
          <w:sz w:val="24"/>
          <w:lang w:eastAsia="en-US"/>
        </w:rPr>
      </w:pPr>
      <w:r w:rsidRPr="00B907A3">
        <w:rPr>
          <w:rFonts w:ascii="Garamond" w:eastAsia="Calibri" w:hAnsi="Garamond"/>
          <w:sz w:val="24"/>
          <w:lang w:eastAsia="en-US"/>
        </w:rPr>
        <w:t xml:space="preserve">Zhvillimi i metodologjisë </w:t>
      </w:r>
      <w:r w:rsidR="005B413A" w:rsidRPr="00B907A3">
        <w:rPr>
          <w:rFonts w:ascii="Garamond" w:eastAsia="Calibri" w:hAnsi="Garamond"/>
          <w:sz w:val="24"/>
          <w:lang w:eastAsia="en-US"/>
        </w:rPr>
        <w:t>SS</w:t>
      </w:r>
      <w:r w:rsidR="00CC4FD6" w:rsidRPr="00B907A3">
        <w:rPr>
          <w:rFonts w:ascii="Garamond" w:eastAsia="Calibri" w:hAnsi="Garamond"/>
          <w:sz w:val="24"/>
          <w:lang w:eastAsia="en-US"/>
        </w:rPr>
        <w:t>R</w:t>
      </w:r>
      <w:r w:rsidR="00156AD7" w:rsidRPr="00B907A3">
        <w:rPr>
          <w:rFonts w:ascii="Garamond" w:eastAsia="Calibri" w:hAnsi="Garamond"/>
          <w:sz w:val="24"/>
          <w:lang w:eastAsia="en-US"/>
        </w:rPr>
        <w:t>r</w:t>
      </w:r>
      <w:r w:rsidRPr="00B907A3">
        <w:rPr>
          <w:rFonts w:ascii="Garamond" w:eastAsia="Calibri" w:hAnsi="Garamond"/>
          <w:sz w:val="24"/>
          <w:lang w:eastAsia="en-US"/>
        </w:rPr>
        <w:t xml:space="preserve"> u bazua në hapat e mëposhtëm</w:t>
      </w:r>
      <w:r w:rsidR="00754E7D" w:rsidRPr="00B907A3">
        <w:rPr>
          <w:rFonts w:ascii="Garamond" w:eastAsia="Calibri" w:hAnsi="Garamond"/>
          <w:sz w:val="24"/>
          <w:lang w:eastAsia="en-US"/>
        </w:rPr>
        <w:t>:</w:t>
      </w:r>
    </w:p>
    <w:p w14:paraId="0227EFF2" w14:textId="568026CD" w:rsidR="00125436" w:rsidRPr="00B907A3" w:rsidRDefault="00A03CA0" w:rsidP="008C4E07">
      <w:pPr>
        <w:pStyle w:val="ListParagraph"/>
        <w:shd w:val="clear" w:color="auto" w:fill="E2EFD9" w:themeFill="accent6" w:themeFillTint="33"/>
        <w:ind w:left="0" w:firstLine="284"/>
        <w:jc w:val="both"/>
        <w:rPr>
          <w:rFonts w:ascii="Garamond" w:eastAsia="Calibri" w:hAnsi="Garamond"/>
          <w:sz w:val="24"/>
          <w:lang w:eastAsia="en-US"/>
        </w:rPr>
      </w:pPr>
      <w:r w:rsidRPr="00B907A3">
        <w:rPr>
          <w:rFonts w:ascii="Garamond" w:eastAsia="Calibri" w:hAnsi="Garamond"/>
          <w:b/>
          <w:bCs/>
          <w:spacing w:val="-2"/>
          <w:w w:val="105"/>
          <w:sz w:val="24"/>
          <w:lang w:eastAsia="en-US"/>
        </w:rPr>
        <w:t xml:space="preserve">- </w:t>
      </w:r>
      <w:r w:rsidR="00467893" w:rsidRPr="00B907A3">
        <w:rPr>
          <w:rFonts w:ascii="Garamond" w:eastAsia="Calibri" w:hAnsi="Garamond"/>
          <w:sz w:val="24"/>
          <w:lang w:eastAsia="en-US"/>
        </w:rPr>
        <w:t>Një përgatitje fillestare, prezantim</w:t>
      </w:r>
      <w:r w:rsidR="00CC4FD6" w:rsidRPr="00B907A3">
        <w:rPr>
          <w:rFonts w:ascii="Garamond" w:eastAsia="Calibri" w:hAnsi="Garamond"/>
          <w:sz w:val="24"/>
          <w:lang w:eastAsia="en-US"/>
        </w:rPr>
        <w:t>i</w:t>
      </w:r>
      <w:r w:rsidR="00467893" w:rsidRPr="00B907A3">
        <w:rPr>
          <w:rFonts w:ascii="Garamond" w:eastAsia="Calibri" w:hAnsi="Garamond"/>
          <w:sz w:val="24"/>
          <w:lang w:eastAsia="en-US"/>
        </w:rPr>
        <w:t xml:space="preserve"> dhe konsultim</w:t>
      </w:r>
      <w:r w:rsidR="00CC4FD6" w:rsidRPr="00B907A3">
        <w:rPr>
          <w:rFonts w:ascii="Garamond" w:eastAsia="Calibri" w:hAnsi="Garamond"/>
          <w:sz w:val="24"/>
          <w:lang w:eastAsia="en-US"/>
        </w:rPr>
        <w:t>i</w:t>
      </w:r>
      <w:r w:rsidR="00467893" w:rsidRPr="00B907A3">
        <w:rPr>
          <w:rFonts w:ascii="Garamond" w:eastAsia="Calibri" w:hAnsi="Garamond"/>
          <w:sz w:val="24"/>
          <w:lang w:eastAsia="en-US"/>
        </w:rPr>
        <w:t xml:space="preserve"> i metodologjisë gjithëpërfshirëse të propozuar për përgatitjen e </w:t>
      </w:r>
      <w:r w:rsidR="005B413A" w:rsidRPr="00B907A3">
        <w:rPr>
          <w:rFonts w:ascii="Garamond" w:eastAsia="Calibri" w:hAnsi="Garamond"/>
          <w:sz w:val="24"/>
          <w:lang w:eastAsia="en-US"/>
        </w:rPr>
        <w:t>SS</w:t>
      </w:r>
      <w:r w:rsidR="00CC4FD6" w:rsidRPr="00B907A3">
        <w:rPr>
          <w:rFonts w:ascii="Garamond" w:eastAsia="Calibri" w:hAnsi="Garamond"/>
          <w:sz w:val="24"/>
          <w:lang w:eastAsia="en-US"/>
        </w:rPr>
        <w:t>R</w:t>
      </w:r>
      <w:r w:rsidR="007326DC" w:rsidRPr="00B907A3">
        <w:rPr>
          <w:rFonts w:ascii="Garamond" w:eastAsia="Calibri" w:hAnsi="Garamond"/>
          <w:sz w:val="24"/>
          <w:lang w:eastAsia="en-US"/>
        </w:rPr>
        <w:t>r</w:t>
      </w:r>
      <w:r w:rsidR="00125436" w:rsidRPr="00B907A3">
        <w:rPr>
          <w:rFonts w:ascii="Garamond" w:eastAsia="Calibri" w:hAnsi="Garamond"/>
          <w:sz w:val="24"/>
          <w:lang w:eastAsia="en-US"/>
        </w:rPr>
        <w:t>;</w:t>
      </w:r>
    </w:p>
    <w:p w14:paraId="512CB94E" w14:textId="0D5D5873" w:rsidR="00125436" w:rsidRPr="00B907A3" w:rsidRDefault="00A03CA0" w:rsidP="008C4E07">
      <w:pPr>
        <w:pStyle w:val="ListParagraph"/>
        <w:shd w:val="clear" w:color="auto" w:fill="E2EFD9" w:themeFill="accent6" w:themeFillTint="33"/>
        <w:ind w:left="0" w:firstLine="284"/>
        <w:jc w:val="both"/>
        <w:rPr>
          <w:rFonts w:ascii="Garamond" w:eastAsia="Calibri" w:hAnsi="Garamond"/>
          <w:sz w:val="24"/>
          <w:lang w:eastAsia="en-US"/>
        </w:rPr>
      </w:pPr>
      <w:r w:rsidRPr="00B907A3">
        <w:rPr>
          <w:rFonts w:ascii="Garamond" w:eastAsia="Calibri" w:hAnsi="Garamond"/>
          <w:b/>
          <w:bCs/>
          <w:spacing w:val="-2"/>
          <w:w w:val="105"/>
          <w:sz w:val="24"/>
          <w:lang w:eastAsia="en-US"/>
        </w:rPr>
        <w:t xml:space="preserve">- </w:t>
      </w:r>
      <w:r w:rsidR="00467893" w:rsidRPr="00B907A3">
        <w:rPr>
          <w:rFonts w:ascii="Garamond" w:eastAsia="Calibri" w:hAnsi="Garamond"/>
          <w:sz w:val="24"/>
          <w:lang w:eastAsia="en-US"/>
        </w:rPr>
        <w:t>Prezantim</w:t>
      </w:r>
      <w:r w:rsidR="00CC4FD6" w:rsidRPr="00B907A3">
        <w:rPr>
          <w:rFonts w:ascii="Garamond" w:eastAsia="Calibri" w:hAnsi="Garamond"/>
          <w:sz w:val="24"/>
          <w:lang w:eastAsia="en-US"/>
        </w:rPr>
        <w:t>i</w:t>
      </w:r>
      <w:r w:rsidR="00467893" w:rsidRPr="00B907A3">
        <w:rPr>
          <w:rFonts w:ascii="Garamond" w:eastAsia="Calibri" w:hAnsi="Garamond"/>
          <w:sz w:val="24"/>
          <w:lang w:eastAsia="en-US"/>
        </w:rPr>
        <w:t xml:space="preserve"> dhe komente në lidhje me qasjen e vendimmarrjes </w:t>
      </w:r>
      <w:r w:rsidR="00CC4FD6" w:rsidRPr="00B907A3">
        <w:rPr>
          <w:rFonts w:ascii="Garamond" w:eastAsia="Calibri" w:hAnsi="Garamond"/>
          <w:sz w:val="24"/>
          <w:lang w:eastAsia="en-US"/>
        </w:rPr>
        <w:t xml:space="preserve">të </w:t>
      </w:r>
      <w:r w:rsidR="00467893" w:rsidRPr="00B907A3">
        <w:rPr>
          <w:rFonts w:ascii="Garamond" w:eastAsia="Calibri" w:hAnsi="Garamond"/>
          <w:sz w:val="24"/>
          <w:lang w:eastAsia="en-US"/>
        </w:rPr>
        <w:t>bazuar në të dhëna brenda të pesë shtyllave të sigurisë rrugore të OKB-së (1. Menaxhimi i Sigurisë Rrugore, 2. Infrastruktura Rrugore më e Sigurt, 3. Automjet</w:t>
      </w:r>
      <w:r w:rsidR="00CC4FD6" w:rsidRPr="00B907A3">
        <w:rPr>
          <w:rFonts w:ascii="Garamond" w:eastAsia="Calibri" w:hAnsi="Garamond"/>
          <w:sz w:val="24"/>
          <w:lang w:eastAsia="en-US"/>
        </w:rPr>
        <w:t>e</w:t>
      </w:r>
      <w:r w:rsidR="00467893" w:rsidRPr="00B907A3">
        <w:rPr>
          <w:rFonts w:ascii="Garamond" w:eastAsia="Calibri" w:hAnsi="Garamond"/>
          <w:sz w:val="24"/>
          <w:lang w:eastAsia="en-US"/>
        </w:rPr>
        <w:t xml:space="preserve"> më </w:t>
      </w:r>
      <w:r w:rsidR="00CC4FD6" w:rsidRPr="00B907A3">
        <w:rPr>
          <w:rFonts w:ascii="Garamond" w:eastAsia="Calibri" w:hAnsi="Garamond"/>
          <w:sz w:val="24"/>
          <w:lang w:eastAsia="en-US"/>
        </w:rPr>
        <w:t>t</w:t>
      </w:r>
      <w:r w:rsidR="00CC4FD6" w:rsidRPr="00B907A3">
        <w:rPr>
          <w:rFonts w:ascii="Garamond" w:hAnsi="Garamond"/>
          <w:sz w:val="24"/>
        </w:rPr>
        <w:t xml:space="preserve">ë </w:t>
      </w:r>
      <w:r w:rsidR="00467893" w:rsidRPr="00B907A3">
        <w:rPr>
          <w:rFonts w:ascii="Garamond" w:eastAsia="Calibri" w:hAnsi="Garamond"/>
          <w:sz w:val="24"/>
          <w:lang w:eastAsia="en-US"/>
        </w:rPr>
        <w:t>Sigurt</w:t>
      </w:r>
      <w:r w:rsidR="00CC4FD6" w:rsidRPr="00B907A3">
        <w:rPr>
          <w:rFonts w:ascii="Garamond" w:eastAsia="Calibri" w:hAnsi="Garamond"/>
          <w:sz w:val="24"/>
          <w:lang w:eastAsia="en-US"/>
        </w:rPr>
        <w:t>a</w:t>
      </w:r>
      <w:r w:rsidR="00467893" w:rsidRPr="00B907A3">
        <w:rPr>
          <w:rFonts w:ascii="Garamond" w:eastAsia="Calibri" w:hAnsi="Garamond"/>
          <w:sz w:val="24"/>
          <w:lang w:eastAsia="en-US"/>
        </w:rPr>
        <w:t>, 4. Përdorues më të Sigurt të Rrugës dhe 5. Shërbime pas aksidentit) të Planit Global të Veprimit të Organizatës Botërore të Shëndetësisë, duke përfshirë të gjithë palët kryesore të interes</w:t>
      </w:r>
      <w:r w:rsidR="00CC4FD6" w:rsidRPr="00B907A3">
        <w:rPr>
          <w:rFonts w:ascii="Garamond" w:eastAsia="Calibri" w:hAnsi="Garamond"/>
          <w:sz w:val="24"/>
          <w:lang w:eastAsia="en-US"/>
        </w:rPr>
        <w:t xml:space="preserve">it lidhur me </w:t>
      </w:r>
      <w:r w:rsidR="00467893" w:rsidRPr="00B907A3">
        <w:rPr>
          <w:rFonts w:ascii="Garamond" w:eastAsia="Calibri" w:hAnsi="Garamond"/>
          <w:sz w:val="24"/>
          <w:lang w:eastAsia="en-US"/>
        </w:rPr>
        <w:t>sigurinë rrugore</w:t>
      </w:r>
      <w:r w:rsidR="00754E7D" w:rsidRPr="00B907A3">
        <w:rPr>
          <w:rFonts w:ascii="Garamond" w:eastAsia="Calibri" w:hAnsi="Garamond"/>
          <w:sz w:val="24"/>
          <w:lang w:eastAsia="en-US"/>
        </w:rPr>
        <w:t>;</w:t>
      </w:r>
    </w:p>
    <w:p w14:paraId="3BCDCD7D" w14:textId="5116DC50" w:rsidR="00125436" w:rsidRPr="00B907A3" w:rsidRDefault="00A03CA0" w:rsidP="008C4E07">
      <w:pPr>
        <w:pStyle w:val="ListParagraph"/>
        <w:shd w:val="clear" w:color="auto" w:fill="E2EFD9" w:themeFill="accent6" w:themeFillTint="33"/>
        <w:ind w:left="0" w:firstLine="284"/>
        <w:jc w:val="both"/>
        <w:rPr>
          <w:rFonts w:ascii="Garamond" w:eastAsia="Calibri" w:hAnsi="Garamond"/>
          <w:sz w:val="24"/>
          <w:lang w:eastAsia="en-US"/>
        </w:rPr>
      </w:pPr>
      <w:r w:rsidRPr="00B907A3">
        <w:rPr>
          <w:rFonts w:ascii="Garamond" w:eastAsia="Calibri" w:hAnsi="Garamond"/>
          <w:b/>
          <w:bCs/>
          <w:spacing w:val="-2"/>
          <w:w w:val="105"/>
          <w:sz w:val="24"/>
          <w:lang w:eastAsia="en-US"/>
        </w:rPr>
        <w:t xml:space="preserve">- </w:t>
      </w:r>
      <w:r w:rsidR="00467893" w:rsidRPr="00B907A3">
        <w:rPr>
          <w:rFonts w:ascii="Garamond" w:eastAsia="Calibri" w:hAnsi="Garamond"/>
          <w:sz w:val="24"/>
          <w:lang w:eastAsia="en-US"/>
        </w:rPr>
        <w:t xml:space="preserve">Variablat e përcaktuara në secilën prej pesë shtyllave të </w:t>
      </w:r>
      <w:r w:rsidR="00CC4FD6" w:rsidRPr="00B907A3">
        <w:rPr>
          <w:rFonts w:ascii="Garamond" w:eastAsia="Calibri" w:hAnsi="Garamond"/>
          <w:sz w:val="24"/>
          <w:lang w:eastAsia="en-US"/>
        </w:rPr>
        <w:t xml:space="preserve">SRR </w:t>
      </w:r>
      <w:r w:rsidR="00467893" w:rsidRPr="00B907A3">
        <w:rPr>
          <w:rFonts w:ascii="Garamond" w:eastAsia="Calibri" w:hAnsi="Garamond"/>
          <w:sz w:val="24"/>
          <w:lang w:eastAsia="en-US"/>
        </w:rPr>
        <w:t xml:space="preserve">me arsyetimin, justifikimin dhe metodologjinë e tyre </w:t>
      </w:r>
      <w:r w:rsidR="00E401C3" w:rsidRPr="00B907A3">
        <w:rPr>
          <w:rFonts w:ascii="Garamond" w:eastAsia="Calibri" w:hAnsi="Garamond"/>
          <w:sz w:val="24"/>
          <w:lang w:eastAsia="en-US"/>
        </w:rPr>
        <w:t>t</w:t>
      </w:r>
      <w:r w:rsidR="00E401C3" w:rsidRPr="00B907A3">
        <w:rPr>
          <w:rFonts w:ascii="Garamond" w:hAnsi="Garamond"/>
          <w:sz w:val="24"/>
        </w:rPr>
        <w:t xml:space="preserve">ë </w:t>
      </w:r>
      <w:r w:rsidR="00467893" w:rsidRPr="00B907A3">
        <w:rPr>
          <w:rFonts w:ascii="Garamond" w:eastAsia="Calibri" w:hAnsi="Garamond"/>
          <w:sz w:val="24"/>
          <w:lang w:eastAsia="en-US"/>
        </w:rPr>
        <w:t>llogarit</w:t>
      </w:r>
      <w:r w:rsidR="00E401C3" w:rsidRPr="00B907A3">
        <w:rPr>
          <w:rFonts w:ascii="Garamond" w:eastAsia="Calibri" w:hAnsi="Garamond"/>
          <w:sz w:val="24"/>
          <w:lang w:eastAsia="en-US"/>
        </w:rPr>
        <w:t>jes</w:t>
      </w:r>
      <w:r w:rsidR="00125436" w:rsidRPr="00B907A3">
        <w:rPr>
          <w:rFonts w:ascii="Garamond" w:eastAsia="Calibri" w:hAnsi="Garamond"/>
          <w:sz w:val="24"/>
          <w:lang w:eastAsia="en-US"/>
        </w:rPr>
        <w:t>;</w:t>
      </w:r>
    </w:p>
    <w:p w14:paraId="61511152" w14:textId="750ECD2A" w:rsidR="00125436" w:rsidRPr="00B907A3" w:rsidRDefault="00A03CA0" w:rsidP="008C4E07">
      <w:pPr>
        <w:pStyle w:val="ListParagraph"/>
        <w:shd w:val="clear" w:color="auto" w:fill="E2EFD9" w:themeFill="accent6" w:themeFillTint="33"/>
        <w:ind w:left="0" w:firstLine="284"/>
        <w:jc w:val="both"/>
        <w:rPr>
          <w:rFonts w:ascii="Garamond" w:eastAsia="Calibri" w:hAnsi="Garamond"/>
          <w:sz w:val="24"/>
          <w:lang w:eastAsia="en-US"/>
        </w:rPr>
      </w:pPr>
      <w:r w:rsidRPr="00B907A3">
        <w:rPr>
          <w:rFonts w:ascii="Garamond" w:eastAsia="Calibri" w:hAnsi="Garamond"/>
          <w:b/>
          <w:bCs/>
          <w:spacing w:val="-2"/>
          <w:w w:val="105"/>
          <w:sz w:val="24"/>
          <w:lang w:eastAsia="en-US"/>
        </w:rPr>
        <w:t xml:space="preserve">- </w:t>
      </w:r>
      <w:r w:rsidR="00467893" w:rsidRPr="00B907A3">
        <w:rPr>
          <w:rFonts w:ascii="Garamond" w:eastAsia="Calibri" w:hAnsi="Garamond"/>
          <w:sz w:val="24"/>
          <w:lang w:eastAsia="en-US"/>
        </w:rPr>
        <w:t>Mundës</w:t>
      </w:r>
      <w:r w:rsidR="00CC4FD6" w:rsidRPr="00B907A3">
        <w:rPr>
          <w:rFonts w:ascii="Garamond" w:eastAsia="Calibri" w:hAnsi="Garamond"/>
          <w:sz w:val="24"/>
          <w:lang w:eastAsia="en-US"/>
        </w:rPr>
        <w:t xml:space="preserve">imi i </w:t>
      </w:r>
      <w:r w:rsidR="00467893" w:rsidRPr="00B907A3">
        <w:rPr>
          <w:rFonts w:ascii="Garamond" w:eastAsia="Calibri" w:hAnsi="Garamond"/>
          <w:sz w:val="24"/>
          <w:lang w:eastAsia="en-US"/>
        </w:rPr>
        <w:t>përcaktimi</w:t>
      </w:r>
      <w:r w:rsidR="00CC4FD6" w:rsidRPr="00B907A3">
        <w:rPr>
          <w:rFonts w:ascii="Garamond" w:eastAsia="Calibri" w:hAnsi="Garamond"/>
          <w:sz w:val="24"/>
          <w:lang w:eastAsia="en-US"/>
        </w:rPr>
        <w:t>t t</w:t>
      </w:r>
      <w:r w:rsidR="00CC4FD6" w:rsidRPr="00B907A3">
        <w:rPr>
          <w:rFonts w:ascii="Garamond" w:hAnsi="Garamond"/>
          <w:sz w:val="24"/>
        </w:rPr>
        <w:t>ë</w:t>
      </w:r>
      <w:r w:rsidR="00467893" w:rsidRPr="00B907A3">
        <w:rPr>
          <w:rFonts w:ascii="Garamond" w:eastAsia="Calibri" w:hAnsi="Garamond"/>
          <w:sz w:val="24"/>
          <w:lang w:eastAsia="en-US"/>
        </w:rPr>
        <w:t xml:space="preserve"> </w:t>
      </w:r>
      <w:r w:rsidR="00CC4FD6" w:rsidRPr="00B907A3">
        <w:rPr>
          <w:rFonts w:ascii="Garamond" w:eastAsia="Calibri" w:hAnsi="Garamond"/>
          <w:sz w:val="24"/>
          <w:lang w:eastAsia="en-US"/>
        </w:rPr>
        <w:t xml:space="preserve">prioriteteve </w:t>
      </w:r>
      <w:r w:rsidR="00467893" w:rsidRPr="00B907A3">
        <w:rPr>
          <w:rFonts w:ascii="Garamond" w:eastAsia="Calibri" w:hAnsi="Garamond"/>
          <w:sz w:val="24"/>
          <w:lang w:eastAsia="en-US"/>
        </w:rPr>
        <w:t>bazuar në të dhëna që lejon përzgjedhjen e masave; dhe</w:t>
      </w:r>
    </w:p>
    <w:p w14:paraId="0CCA0CD2" w14:textId="535E6D55" w:rsidR="00125436" w:rsidRPr="00B907A3" w:rsidRDefault="00A03CA0" w:rsidP="008C4E07">
      <w:pPr>
        <w:shd w:val="clear" w:color="auto" w:fill="E2EFD9" w:themeFill="accent6" w:themeFillTint="33"/>
        <w:spacing w:after="0"/>
        <w:ind w:firstLine="284"/>
        <w:rPr>
          <w:rFonts w:ascii="Garamond" w:eastAsia="Calibri" w:hAnsi="Garamond"/>
          <w:sz w:val="24"/>
          <w:lang w:eastAsia="en-US"/>
        </w:rPr>
      </w:pPr>
      <w:r w:rsidRPr="00B907A3">
        <w:rPr>
          <w:rFonts w:ascii="Garamond" w:eastAsia="Calibri" w:hAnsi="Garamond"/>
          <w:b/>
          <w:bCs/>
          <w:spacing w:val="-2"/>
          <w:w w:val="105"/>
          <w:sz w:val="24"/>
          <w:lang w:eastAsia="en-US"/>
        </w:rPr>
        <w:t xml:space="preserve">- </w:t>
      </w:r>
      <w:r w:rsidR="00467893" w:rsidRPr="00B907A3">
        <w:rPr>
          <w:rFonts w:ascii="Garamond" w:eastAsia="Calibri" w:hAnsi="Garamond"/>
          <w:sz w:val="24"/>
          <w:lang w:eastAsia="en-US"/>
        </w:rPr>
        <w:t>Zhvillimi</w:t>
      </w:r>
      <w:r w:rsidR="00CC4FD6" w:rsidRPr="00B907A3">
        <w:rPr>
          <w:rFonts w:ascii="Garamond" w:eastAsia="Calibri" w:hAnsi="Garamond"/>
          <w:sz w:val="24"/>
          <w:lang w:eastAsia="en-US"/>
        </w:rPr>
        <w:t xml:space="preserve"> i </w:t>
      </w:r>
      <w:r w:rsidR="00467893" w:rsidRPr="00B907A3">
        <w:rPr>
          <w:rFonts w:ascii="Garamond" w:eastAsia="Calibri" w:hAnsi="Garamond"/>
          <w:sz w:val="24"/>
          <w:lang w:eastAsia="en-US"/>
        </w:rPr>
        <w:t xml:space="preserve">një </w:t>
      </w:r>
      <w:r w:rsidR="00CC4FD6" w:rsidRPr="00B907A3">
        <w:rPr>
          <w:rFonts w:ascii="Garamond" w:eastAsia="Calibri" w:hAnsi="Garamond"/>
          <w:sz w:val="24"/>
          <w:lang w:eastAsia="en-US"/>
        </w:rPr>
        <w:t>data</w:t>
      </w:r>
      <w:r w:rsidR="00467893" w:rsidRPr="00B907A3">
        <w:rPr>
          <w:rFonts w:ascii="Garamond" w:eastAsia="Calibri" w:hAnsi="Garamond"/>
          <w:sz w:val="24"/>
          <w:lang w:eastAsia="en-US"/>
        </w:rPr>
        <w:t xml:space="preserve">baze mbështetëse të përshtatshme dhe një </w:t>
      </w:r>
      <w:r w:rsidR="00CC4FD6" w:rsidRPr="00B907A3">
        <w:rPr>
          <w:rFonts w:ascii="Garamond" w:eastAsia="Calibri" w:hAnsi="Garamond"/>
          <w:sz w:val="24"/>
          <w:lang w:eastAsia="en-US"/>
        </w:rPr>
        <w:t xml:space="preserve">instrumenti </w:t>
      </w:r>
      <w:r w:rsidR="00467893" w:rsidRPr="00B907A3">
        <w:rPr>
          <w:rFonts w:ascii="Garamond" w:eastAsia="Calibri" w:hAnsi="Garamond"/>
          <w:sz w:val="24"/>
          <w:lang w:eastAsia="en-US"/>
        </w:rPr>
        <w:t>vendimmarrës</w:t>
      </w:r>
      <w:r w:rsidR="00125436" w:rsidRPr="00B907A3">
        <w:rPr>
          <w:rFonts w:ascii="Garamond" w:eastAsia="Calibri" w:hAnsi="Garamond"/>
          <w:sz w:val="24"/>
          <w:lang w:eastAsia="en-US"/>
        </w:rPr>
        <w:t>.</w:t>
      </w:r>
    </w:p>
    <w:p w14:paraId="23098B98" w14:textId="689540CD" w:rsidR="00754E7D" w:rsidRPr="00B907A3" w:rsidRDefault="00467893" w:rsidP="008C4E07">
      <w:pPr>
        <w:spacing w:after="0"/>
        <w:ind w:firstLine="284"/>
        <w:rPr>
          <w:rFonts w:ascii="Garamond" w:eastAsia="Calibri" w:hAnsi="Garamond"/>
          <w:sz w:val="24"/>
          <w:lang w:eastAsia="en-US"/>
        </w:rPr>
      </w:pPr>
      <w:r w:rsidRPr="00B907A3">
        <w:rPr>
          <w:rFonts w:ascii="Garamond" w:eastAsia="Calibri" w:hAnsi="Garamond"/>
          <w:sz w:val="24"/>
          <w:lang w:eastAsia="en-US"/>
        </w:rPr>
        <w:t xml:space="preserve">Pas organizimit të dy </w:t>
      </w:r>
      <w:r w:rsidR="00AC7834" w:rsidRPr="00B907A3">
        <w:rPr>
          <w:rFonts w:ascii="Garamond" w:eastAsia="Calibri" w:hAnsi="Garamond"/>
          <w:sz w:val="24"/>
          <w:lang w:eastAsia="en-US"/>
        </w:rPr>
        <w:t>seminareve</w:t>
      </w:r>
      <w:r w:rsidRPr="00B907A3">
        <w:rPr>
          <w:rFonts w:ascii="Garamond" w:eastAsia="Calibri" w:hAnsi="Garamond"/>
          <w:sz w:val="24"/>
          <w:lang w:eastAsia="en-US"/>
        </w:rPr>
        <w:t xml:space="preserve"> në lidhje me metodologjinë me të gjithë palët e interes</w:t>
      </w:r>
      <w:r w:rsidR="00E401C3" w:rsidRPr="00B907A3">
        <w:rPr>
          <w:rFonts w:ascii="Garamond" w:eastAsia="Calibri" w:hAnsi="Garamond"/>
          <w:sz w:val="24"/>
          <w:lang w:eastAsia="en-US"/>
        </w:rPr>
        <w:t>it</w:t>
      </w:r>
      <w:r w:rsidRPr="00B907A3">
        <w:rPr>
          <w:rFonts w:ascii="Garamond" w:eastAsia="Calibri" w:hAnsi="Garamond"/>
          <w:sz w:val="24"/>
          <w:lang w:eastAsia="en-US"/>
        </w:rPr>
        <w:t xml:space="preserve">, u krye </w:t>
      </w:r>
      <w:r w:rsidR="00E401C3" w:rsidRPr="00B907A3">
        <w:rPr>
          <w:rFonts w:ascii="Garamond" w:eastAsia="Calibri" w:hAnsi="Garamond"/>
          <w:sz w:val="24"/>
          <w:lang w:eastAsia="en-US"/>
        </w:rPr>
        <w:t xml:space="preserve">Analiza e Hendekut </w:t>
      </w:r>
      <w:r w:rsidRPr="00B907A3">
        <w:rPr>
          <w:rFonts w:ascii="Garamond" w:eastAsia="Calibri" w:hAnsi="Garamond"/>
          <w:sz w:val="24"/>
          <w:lang w:eastAsia="en-US"/>
        </w:rPr>
        <w:t>dhe u hartua</w:t>
      </w:r>
      <w:r w:rsidR="00E401C3" w:rsidRPr="00B907A3">
        <w:rPr>
          <w:rFonts w:ascii="Garamond" w:eastAsia="Calibri" w:hAnsi="Garamond"/>
          <w:sz w:val="24"/>
          <w:lang w:eastAsia="en-US"/>
        </w:rPr>
        <w:t>n</w:t>
      </w:r>
      <w:r w:rsidRPr="00B907A3">
        <w:rPr>
          <w:rFonts w:ascii="Garamond" w:eastAsia="Calibri" w:hAnsi="Garamond"/>
          <w:sz w:val="24"/>
          <w:lang w:eastAsia="en-US"/>
        </w:rPr>
        <w:t xml:space="preserve"> një seri raportesh. </w:t>
      </w:r>
      <w:r w:rsidR="00AC7834" w:rsidRPr="00B907A3">
        <w:rPr>
          <w:rFonts w:ascii="Garamond" w:eastAsia="Calibri" w:hAnsi="Garamond"/>
          <w:sz w:val="24"/>
          <w:lang w:eastAsia="en-US"/>
        </w:rPr>
        <w:t>Seminari</w:t>
      </w:r>
      <w:r w:rsidRPr="00B907A3">
        <w:rPr>
          <w:rFonts w:ascii="Garamond" w:eastAsia="Calibri" w:hAnsi="Garamond"/>
          <w:sz w:val="24"/>
          <w:lang w:eastAsia="en-US"/>
        </w:rPr>
        <w:t xml:space="preserve"> </w:t>
      </w:r>
      <w:r w:rsidR="00AC7834" w:rsidRPr="00B907A3">
        <w:rPr>
          <w:rFonts w:ascii="Garamond" w:eastAsia="Calibri" w:hAnsi="Garamond"/>
          <w:sz w:val="24"/>
          <w:lang w:eastAsia="en-US"/>
        </w:rPr>
        <w:t>i</w:t>
      </w:r>
      <w:r w:rsidRPr="00B907A3">
        <w:rPr>
          <w:rFonts w:ascii="Garamond" w:eastAsia="Calibri" w:hAnsi="Garamond"/>
          <w:sz w:val="24"/>
          <w:lang w:eastAsia="en-US"/>
        </w:rPr>
        <w:t xml:space="preserve"> tretë u organizua pas </w:t>
      </w:r>
      <w:r w:rsidR="00E401C3" w:rsidRPr="00B907A3">
        <w:rPr>
          <w:rFonts w:ascii="Garamond" w:eastAsia="Calibri" w:hAnsi="Garamond"/>
          <w:sz w:val="24"/>
          <w:lang w:eastAsia="en-US"/>
        </w:rPr>
        <w:t>Analizës s</w:t>
      </w:r>
      <w:r w:rsidR="00E401C3" w:rsidRPr="00B907A3">
        <w:rPr>
          <w:rFonts w:ascii="Garamond" w:hAnsi="Garamond"/>
          <w:sz w:val="24"/>
        </w:rPr>
        <w:t xml:space="preserve">ë Hendekut </w:t>
      </w:r>
      <w:r w:rsidRPr="00B907A3">
        <w:rPr>
          <w:rFonts w:ascii="Garamond" w:eastAsia="Calibri" w:hAnsi="Garamond"/>
          <w:sz w:val="24"/>
          <w:lang w:eastAsia="en-US"/>
        </w:rPr>
        <w:t xml:space="preserve">dhe një modeli të propozuar të qeverisjes së </w:t>
      </w:r>
      <w:r w:rsidR="002B75DE" w:rsidRPr="00B907A3">
        <w:rPr>
          <w:rFonts w:ascii="Garamond" w:eastAsia="Calibri" w:hAnsi="Garamond"/>
          <w:sz w:val="24"/>
          <w:lang w:eastAsia="en-US"/>
        </w:rPr>
        <w:t>SR</w:t>
      </w:r>
      <w:r w:rsidR="00F72109" w:rsidRPr="00B907A3">
        <w:rPr>
          <w:rFonts w:ascii="Garamond" w:eastAsia="Calibri" w:hAnsi="Garamond"/>
          <w:sz w:val="24"/>
          <w:lang w:eastAsia="en-US"/>
        </w:rPr>
        <w:t>r</w:t>
      </w:r>
      <w:r w:rsidR="002B75DE" w:rsidRPr="00B907A3">
        <w:rPr>
          <w:rFonts w:ascii="Garamond" w:eastAsia="Calibri" w:hAnsi="Garamond"/>
          <w:sz w:val="24"/>
          <w:lang w:eastAsia="en-US"/>
        </w:rPr>
        <w:t xml:space="preserve"> </w:t>
      </w:r>
      <w:r w:rsidRPr="00B907A3">
        <w:rPr>
          <w:rFonts w:ascii="Garamond" w:eastAsia="Calibri" w:hAnsi="Garamond"/>
          <w:sz w:val="24"/>
          <w:lang w:eastAsia="en-US"/>
        </w:rPr>
        <w:t>për të diskutuar/konfirmuar gjetjet</w:t>
      </w:r>
      <w:r w:rsidR="002B75DE" w:rsidRPr="00B907A3">
        <w:rPr>
          <w:rFonts w:ascii="Garamond" w:eastAsia="Calibri" w:hAnsi="Garamond"/>
          <w:sz w:val="24"/>
          <w:lang w:eastAsia="en-US"/>
        </w:rPr>
        <w:t>,</w:t>
      </w:r>
      <w:r w:rsidRPr="00B907A3">
        <w:rPr>
          <w:rFonts w:ascii="Garamond" w:eastAsia="Calibri" w:hAnsi="Garamond"/>
          <w:sz w:val="24"/>
          <w:lang w:eastAsia="en-US"/>
        </w:rPr>
        <w:t xml:space="preserve"> </w:t>
      </w:r>
      <w:r w:rsidR="002B75DE" w:rsidRPr="00B907A3">
        <w:rPr>
          <w:rFonts w:ascii="Garamond" w:eastAsia="Calibri" w:hAnsi="Garamond"/>
          <w:sz w:val="24"/>
          <w:lang w:eastAsia="en-US"/>
        </w:rPr>
        <w:t>p</w:t>
      </w:r>
      <w:r w:rsidR="002B75DE" w:rsidRPr="00B907A3">
        <w:rPr>
          <w:rFonts w:ascii="Garamond" w:hAnsi="Garamond"/>
          <w:sz w:val="24"/>
        </w:rPr>
        <w:t>ër</w:t>
      </w:r>
      <w:r w:rsidRPr="00B907A3">
        <w:rPr>
          <w:rFonts w:ascii="Garamond" w:eastAsia="Calibri" w:hAnsi="Garamond"/>
          <w:sz w:val="24"/>
          <w:lang w:eastAsia="en-US"/>
        </w:rPr>
        <w:t xml:space="preserve">para hartimit të tekstit të </w:t>
      </w:r>
      <w:r w:rsidR="005B413A" w:rsidRPr="00B907A3">
        <w:rPr>
          <w:rFonts w:ascii="Garamond" w:eastAsia="Calibri" w:hAnsi="Garamond"/>
          <w:sz w:val="24"/>
          <w:lang w:eastAsia="en-US"/>
        </w:rPr>
        <w:t>SSR</w:t>
      </w:r>
      <w:r w:rsidR="00FE22B5" w:rsidRPr="00B907A3">
        <w:rPr>
          <w:rFonts w:ascii="Garamond" w:eastAsia="Calibri" w:hAnsi="Garamond"/>
          <w:sz w:val="24"/>
          <w:lang w:eastAsia="en-US"/>
        </w:rPr>
        <w:t>r</w:t>
      </w:r>
      <w:r w:rsidR="001F1EF4" w:rsidRPr="00B907A3">
        <w:rPr>
          <w:rFonts w:ascii="Garamond" w:eastAsia="Calibri" w:hAnsi="Garamond"/>
          <w:sz w:val="24"/>
          <w:lang w:eastAsia="en-US"/>
        </w:rPr>
        <w:t>.</w:t>
      </w:r>
    </w:p>
    <w:p w14:paraId="4E1D8F37" w14:textId="3A5FFBC3" w:rsidR="003013B3" w:rsidRPr="00B907A3" w:rsidRDefault="00467893" w:rsidP="008C4E07">
      <w:pPr>
        <w:spacing w:after="0"/>
        <w:ind w:firstLine="284"/>
        <w:rPr>
          <w:rFonts w:ascii="Garamond" w:eastAsia="Calibri" w:hAnsi="Garamond"/>
          <w:sz w:val="24"/>
          <w:lang w:eastAsia="en-US"/>
        </w:rPr>
      </w:pPr>
      <w:r w:rsidRPr="00B907A3">
        <w:rPr>
          <w:rFonts w:ascii="Garamond" w:eastAsia="Calibri" w:hAnsi="Garamond"/>
          <w:sz w:val="24"/>
          <w:lang w:eastAsia="en-US"/>
        </w:rPr>
        <w:t xml:space="preserve">Pasi u përgatit </w:t>
      </w:r>
      <w:r w:rsidR="005B413A" w:rsidRPr="00B907A3">
        <w:rPr>
          <w:rFonts w:ascii="Garamond" w:eastAsia="Calibri" w:hAnsi="Garamond"/>
          <w:sz w:val="24"/>
          <w:lang w:eastAsia="en-US"/>
        </w:rPr>
        <w:t>SSR</w:t>
      </w:r>
      <w:r w:rsidR="00FE22B5" w:rsidRPr="00B907A3">
        <w:rPr>
          <w:rFonts w:ascii="Garamond" w:eastAsia="Calibri" w:hAnsi="Garamond"/>
          <w:sz w:val="24"/>
          <w:lang w:eastAsia="en-US"/>
        </w:rPr>
        <w:t>r</w:t>
      </w:r>
      <w:r w:rsidRPr="00B907A3">
        <w:rPr>
          <w:rFonts w:ascii="Garamond" w:eastAsia="Calibri" w:hAnsi="Garamond"/>
          <w:sz w:val="24"/>
          <w:lang w:eastAsia="en-US"/>
        </w:rPr>
        <w:t xml:space="preserve">, ajo u </w:t>
      </w:r>
      <w:r w:rsidR="002B75DE" w:rsidRPr="00B907A3">
        <w:rPr>
          <w:rFonts w:ascii="Garamond" w:eastAsia="Calibri" w:hAnsi="Garamond"/>
          <w:sz w:val="24"/>
          <w:lang w:eastAsia="en-US"/>
        </w:rPr>
        <w:t>shp</w:t>
      </w:r>
      <w:r w:rsidR="002B75DE" w:rsidRPr="00B907A3">
        <w:rPr>
          <w:rFonts w:ascii="Garamond" w:hAnsi="Garamond"/>
          <w:sz w:val="24"/>
        </w:rPr>
        <w:t xml:space="preserve">ërnda </w:t>
      </w:r>
      <w:r w:rsidRPr="00B907A3">
        <w:rPr>
          <w:rFonts w:ascii="Garamond" w:eastAsia="Calibri" w:hAnsi="Garamond"/>
          <w:sz w:val="24"/>
          <w:lang w:eastAsia="en-US"/>
        </w:rPr>
        <w:t xml:space="preserve">për komente me palët </w:t>
      </w:r>
      <w:r w:rsidR="002B75DE" w:rsidRPr="00B907A3">
        <w:rPr>
          <w:rFonts w:ascii="Garamond" w:eastAsia="Calibri" w:hAnsi="Garamond"/>
          <w:sz w:val="24"/>
          <w:lang w:eastAsia="en-US"/>
        </w:rPr>
        <w:t>kryesore t</w:t>
      </w:r>
      <w:r w:rsidR="002B75DE" w:rsidRPr="00B907A3">
        <w:rPr>
          <w:rFonts w:ascii="Garamond" w:hAnsi="Garamond"/>
          <w:sz w:val="24"/>
        </w:rPr>
        <w:t xml:space="preserve">ë </w:t>
      </w:r>
      <w:r w:rsidRPr="00B907A3">
        <w:rPr>
          <w:rFonts w:ascii="Garamond" w:eastAsia="Calibri" w:hAnsi="Garamond"/>
          <w:sz w:val="24"/>
          <w:lang w:eastAsia="en-US"/>
        </w:rPr>
        <w:t>interes</w:t>
      </w:r>
      <w:r w:rsidR="002B75DE" w:rsidRPr="00B907A3">
        <w:rPr>
          <w:rFonts w:ascii="Garamond" w:eastAsia="Calibri" w:hAnsi="Garamond"/>
          <w:sz w:val="24"/>
          <w:lang w:eastAsia="en-US"/>
        </w:rPr>
        <w:t xml:space="preserve">it </w:t>
      </w:r>
      <w:r w:rsidRPr="00B907A3">
        <w:rPr>
          <w:rFonts w:ascii="Garamond" w:eastAsia="Calibri" w:hAnsi="Garamond"/>
          <w:sz w:val="24"/>
          <w:lang w:eastAsia="en-US"/>
        </w:rPr>
        <w:t xml:space="preserve">të sigurisë rrugore (anëtarë të </w:t>
      </w:r>
      <w:r w:rsidR="007951BD">
        <w:rPr>
          <w:rFonts w:ascii="Garamond" w:eastAsia="Calibri" w:hAnsi="Garamond"/>
          <w:sz w:val="24"/>
          <w:lang w:eastAsia="en-US"/>
        </w:rPr>
        <w:t>GNP</w:t>
      </w:r>
      <w:r w:rsidRPr="00B907A3">
        <w:rPr>
          <w:rFonts w:ascii="Garamond" w:eastAsia="Calibri" w:hAnsi="Garamond"/>
          <w:sz w:val="24"/>
          <w:lang w:eastAsia="en-US"/>
        </w:rPr>
        <w:t>-së</w:t>
      </w:r>
      <w:r w:rsidR="00320178" w:rsidRPr="00B907A3">
        <w:rPr>
          <w:rFonts w:ascii="Garamond" w:eastAsia="Calibri" w:hAnsi="Garamond"/>
          <w:sz w:val="24"/>
          <w:lang w:eastAsia="en-US"/>
        </w:rPr>
        <w:t>)</w:t>
      </w:r>
      <w:r w:rsidR="003013B3" w:rsidRPr="00B907A3">
        <w:rPr>
          <w:rFonts w:ascii="Garamond" w:eastAsia="Calibri" w:hAnsi="Garamond"/>
          <w:sz w:val="24"/>
          <w:lang w:eastAsia="en-US"/>
        </w:rPr>
        <w:t>.</w:t>
      </w:r>
    </w:p>
    <w:p w14:paraId="12EF6684" w14:textId="1B860F68" w:rsidR="006655F5" w:rsidRPr="00B907A3" w:rsidRDefault="00467893" w:rsidP="008C4E07">
      <w:pPr>
        <w:spacing w:after="0"/>
        <w:ind w:firstLine="284"/>
        <w:rPr>
          <w:rFonts w:ascii="Garamond" w:eastAsia="Calibri" w:hAnsi="Garamond"/>
          <w:sz w:val="24"/>
          <w:lang w:eastAsia="en-US"/>
        </w:rPr>
      </w:pPr>
      <w:r w:rsidRPr="00B907A3">
        <w:rPr>
          <w:rFonts w:ascii="Garamond" w:eastAsia="Calibri" w:hAnsi="Garamond"/>
          <w:sz w:val="24"/>
          <w:lang w:eastAsia="en-US"/>
        </w:rPr>
        <w:t xml:space="preserve">Përveç mbështetjes së rregullt të ofruar për përgatitjen e </w:t>
      </w:r>
      <w:r w:rsidR="005B413A" w:rsidRPr="00B907A3">
        <w:rPr>
          <w:rFonts w:ascii="Garamond" w:eastAsia="Calibri" w:hAnsi="Garamond"/>
          <w:sz w:val="24"/>
          <w:lang w:eastAsia="en-US"/>
        </w:rPr>
        <w:t>SSR</w:t>
      </w:r>
      <w:r w:rsidR="00431E62" w:rsidRPr="00B907A3">
        <w:rPr>
          <w:rFonts w:ascii="Garamond" w:eastAsia="Calibri" w:hAnsi="Garamond"/>
          <w:sz w:val="24"/>
          <w:lang w:eastAsia="en-US"/>
        </w:rPr>
        <w:t>r</w:t>
      </w:r>
      <w:r w:rsidRPr="00B907A3">
        <w:rPr>
          <w:rFonts w:ascii="Garamond" w:eastAsia="Calibri" w:hAnsi="Garamond"/>
          <w:sz w:val="24"/>
          <w:lang w:eastAsia="en-US"/>
        </w:rPr>
        <w:t xml:space="preserve"> dhe </w:t>
      </w:r>
      <w:r w:rsidR="002B75DE" w:rsidRPr="00B907A3">
        <w:rPr>
          <w:rFonts w:ascii="Garamond" w:eastAsia="Calibri" w:hAnsi="Garamond"/>
          <w:sz w:val="24"/>
          <w:lang w:eastAsia="en-US"/>
        </w:rPr>
        <w:t>Planit t</w:t>
      </w:r>
      <w:r w:rsidR="002B75DE" w:rsidRPr="00B907A3">
        <w:rPr>
          <w:rFonts w:ascii="Garamond" w:hAnsi="Garamond"/>
          <w:sz w:val="24"/>
        </w:rPr>
        <w:t>ë saj të Veprimit, e</w:t>
      </w:r>
      <w:r w:rsidRPr="00B907A3">
        <w:rPr>
          <w:rFonts w:ascii="Garamond" w:eastAsia="Calibri" w:hAnsi="Garamond"/>
          <w:sz w:val="24"/>
          <w:lang w:eastAsia="en-US"/>
        </w:rPr>
        <w:t>dhe pas miratimit zyrtar</w:t>
      </w:r>
      <w:r w:rsidR="002B75DE" w:rsidRPr="00B907A3">
        <w:rPr>
          <w:rFonts w:ascii="Garamond" w:eastAsia="Calibri" w:hAnsi="Garamond"/>
          <w:sz w:val="24"/>
          <w:lang w:eastAsia="en-US"/>
        </w:rPr>
        <w:t>,</w:t>
      </w:r>
      <w:r w:rsidRPr="00B907A3">
        <w:rPr>
          <w:rFonts w:ascii="Garamond" w:eastAsia="Calibri" w:hAnsi="Garamond"/>
          <w:sz w:val="24"/>
          <w:lang w:eastAsia="en-US"/>
        </w:rPr>
        <w:t xml:space="preserve"> </w:t>
      </w:r>
      <w:r w:rsidR="002B75DE" w:rsidRPr="00B907A3">
        <w:rPr>
          <w:rFonts w:ascii="Garamond" w:eastAsia="Calibri" w:hAnsi="Garamond"/>
          <w:sz w:val="24"/>
          <w:lang w:eastAsia="en-US"/>
        </w:rPr>
        <w:t xml:space="preserve">zbatimi i tyre </w:t>
      </w:r>
      <w:r w:rsidRPr="00B907A3">
        <w:rPr>
          <w:rFonts w:ascii="Garamond" w:eastAsia="Calibri" w:hAnsi="Garamond"/>
          <w:sz w:val="24"/>
          <w:lang w:eastAsia="en-US"/>
        </w:rPr>
        <w:t xml:space="preserve">do të mbështetet nga disponueshmëria e ekipit ndërkombëtar të ekspertëve, sipas nevojës dhe </w:t>
      </w:r>
      <w:r w:rsidR="002B75DE" w:rsidRPr="00B907A3">
        <w:rPr>
          <w:rFonts w:ascii="Garamond" w:eastAsia="Calibri" w:hAnsi="Garamond"/>
          <w:sz w:val="24"/>
          <w:lang w:eastAsia="en-US"/>
        </w:rPr>
        <w:t>n</w:t>
      </w:r>
      <w:r w:rsidR="002B75DE" w:rsidRPr="00B907A3">
        <w:rPr>
          <w:rFonts w:ascii="Garamond" w:hAnsi="Garamond"/>
          <w:sz w:val="24"/>
        </w:rPr>
        <w:t xml:space="preserve">ë përputhje me pritshmëritë e </w:t>
      </w:r>
      <w:r w:rsidRPr="00B907A3">
        <w:rPr>
          <w:rFonts w:ascii="Garamond" w:eastAsia="Calibri" w:hAnsi="Garamond"/>
          <w:sz w:val="24"/>
          <w:lang w:eastAsia="en-US"/>
        </w:rPr>
        <w:t>Qeveri</w:t>
      </w:r>
      <w:r w:rsidR="002B75DE" w:rsidRPr="00B907A3">
        <w:rPr>
          <w:rFonts w:ascii="Garamond" w:eastAsia="Calibri" w:hAnsi="Garamond"/>
          <w:sz w:val="24"/>
          <w:lang w:eastAsia="en-US"/>
        </w:rPr>
        <w:t>s</w:t>
      </w:r>
      <w:r w:rsidR="002B75DE" w:rsidRPr="00B907A3">
        <w:rPr>
          <w:rFonts w:ascii="Garamond" w:hAnsi="Garamond"/>
          <w:sz w:val="24"/>
        </w:rPr>
        <w:t xml:space="preserve">ë </w:t>
      </w:r>
      <w:r w:rsidRPr="00B907A3">
        <w:rPr>
          <w:rFonts w:ascii="Garamond" w:eastAsia="Calibri" w:hAnsi="Garamond"/>
          <w:sz w:val="24"/>
          <w:lang w:eastAsia="en-US"/>
        </w:rPr>
        <w:t>Shqip</w:t>
      </w:r>
      <w:r w:rsidR="002B75DE" w:rsidRPr="00B907A3">
        <w:rPr>
          <w:rFonts w:ascii="Garamond" w:eastAsia="Calibri" w:hAnsi="Garamond"/>
          <w:sz w:val="24"/>
          <w:lang w:eastAsia="en-US"/>
        </w:rPr>
        <w:t>tare</w:t>
      </w:r>
      <w:r w:rsidR="006655F5" w:rsidRPr="00B907A3">
        <w:rPr>
          <w:rFonts w:ascii="Garamond" w:eastAsia="Calibri" w:hAnsi="Garamond"/>
          <w:sz w:val="24"/>
          <w:lang w:eastAsia="en-US"/>
        </w:rPr>
        <w:t>.</w:t>
      </w:r>
    </w:p>
    <w:p w14:paraId="1A06464F" w14:textId="52FE586C" w:rsidR="003251A1" w:rsidRPr="007951BD" w:rsidRDefault="00A03CA0" w:rsidP="008C4E07">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16" w:name="_Toc208840559"/>
      <w:r w:rsidRPr="007951BD">
        <w:rPr>
          <w:rFonts w:ascii="Garamond" w:hAnsi="Garamond"/>
          <w:b w:val="0"/>
          <w:color w:val="auto"/>
          <w:sz w:val="24"/>
          <w:szCs w:val="24"/>
          <w:lang w:val="sq-AL"/>
        </w:rPr>
        <w:lastRenderedPageBreak/>
        <w:t xml:space="preserve">2. </w:t>
      </w:r>
      <w:r w:rsidR="002B75DE" w:rsidRPr="007951BD">
        <w:rPr>
          <w:rFonts w:ascii="Garamond" w:hAnsi="Garamond"/>
          <w:b w:val="0"/>
          <w:color w:val="auto"/>
          <w:sz w:val="24"/>
          <w:szCs w:val="24"/>
          <w:lang w:val="sq-AL"/>
        </w:rPr>
        <w:t xml:space="preserve">GJETJET KRYESORE </w:t>
      </w:r>
      <w:r w:rsidR="00AC7834" w:rsidRPr="007951BD">
        <w:rPr>
          <w:rFonts w:ascii="Garamond" w:hAnsi="Garamond"/>
          <w:b w:val="0"/>
          <w:color w:val="auto"/>
          <w:sz w:val="24"/>
          <w:szCs w:val="24"/>
          <w:lang w:val="sq-AL"/>
        </w:rPr>
        <w:t xml:space="preserve">NGA ANALIZA E </w:t>
      </w:r>
      <w:r w:rsidR="002B75DE" w:rsidRPr="007951BD">
        <w:rPr>
          <w:rFonts w:ascii="Garamond" w:hAnsi="Garamond"/>
          <w:b w:val="0"/>
          <w:color w:val="auto"/>
          <w:sz w:val="24"/>
          <w:szCs w:val="24"/>
          <w:lang w:val="sq-AL"/>
        </w:rPr>
        <w:t>HENDEKUT P</w:t>
      </w:r>
      <w:r w:rsidR="00AC7834" w:rsidRPr="007951BD">
        <w:rPr>
          <w:rFonts w:ascii="Garamond" w:hAnsi="Garamond"/>
          <w:b w:val="0"/>
          <w:color w:val="auto"/>
          <w:sz w:val="24"/>
          <w:szCs w:val="24"/>
          <w:lang w:val="sq-AL"/>
        </w:rPr>
        <w:t>Ë</w:t>
      </w:r>
      <w:r w:rsidR="002B75DE" w:rsidRPr="007951BD">
        <w:rPr>
          <w:rFonts w:ascii="Garamond" w:hAnsi="Garamond"/>
          <w:b w:val="0"/>
          <w:color w:val="auto"/>
          <w:sz w:val="24"/>
          <w:szCs w:val="24"/>
          <w:lang w:val="sq-AL"/>
        </w:rPr>
        <w:t>R</w:t>
      </w:r>
      <w:r w:rsidR="00AC7834" w:rsidRPr="007951BD">
        <w:rPr>
          <w:rFonts w:ascii="Garamond" w:hAnsi="Garamond"/>
          <w:b w:val="0"/>
          <w:color w:val="auto"/>
          <w:sz w:val="24"/>
          <w:szCs w:val="24"/>
          <w:lang w:val="sq-AL"/>
        </w:rPr>
        <w:t xml:space="preserve"> SIGURINË RRUGORE NË LIDHJE ME ZBATIMIN E STRATEGJISË</w:t>
      </w:r>
      <w:bookmarkEnd w:id="16"/>
    </w:p>
    <w:p w14:paraId="64480EAB" w14:textId="2A2D22B1" w:rsidR="003251A1" w:rsidRPr="00B907A3" w:rsidRDefault="00467893" w:rsidP="008C4E07">
      <w:pPr>
        <w:spacing w:after="0"/>
        <w:ind w:firstLine="284"/>
        <w:rPr>
          <w:rFonts w:ascii="Garamond" w:hAnsi="Garamond"/>
          <w:sz w:val="24"/>
          <w:lang w:eastAsia="en-GB"/>
        </w:rPr>
      </w:pPr>
      <w:r w:rsidRPr="00B907A3">
        <w:rPr>
          <w:rFonts w:ascii="Garamond" w:hAnsi="Garamond"/>
          <w:sz w:val="24"/>
          <w:lang w:eastAsia="en-GB"/>
        </w:rPr>
        <w:t>Kuptimi i situatës aktuale të sigurisë rrugore në Shqipëri,</w:t>
      </w:r>
      <w:r w:rsidR="00586F50" w:rsidRPr="00B907A3">
        <w:rPr>
          <w:rFonts w:ascii="Garamond" w:hAnsi="Garamond"/>
          <w:sz w:val="24"/>
          <w:lang w:eastAsia="en-GB"/>
        </w:rPr>
        <w:t xml:space="preserve"> p</w:t>
      </w:r>
      <w:r w:rsidR="00586F50" w:rsidRPr="00B907A3">
        <w:rPr>
          <w:rFonts w:ascii="Garamond" w:hAnsi="Garamond"/>
          <w:sz w:val="24"/>
        </w:rPr>
        <w:t xml:space="preserve">ërcaktimi i </w:t>
      </w:r>
      <w:r w:rsidRPr="00B907A3">
        <w:rPr>
          <w:rFonts w:ascii="Garamond" w:hAnsi="Garamond"/>
          <w:sz w:val="24"/>
          <w:lang w:eastAsia="en-GB"/>
        </w:rPr>
        <w:t>gjendjes së dëshiruar të sigurisë rrugore dhe identifikimi i ndërhyrjeve transformuese</w:t>
      </w:r>
      <w:r w:rsidR="00586F50" w:rsidRPr="00B907A3">
        <w:rPr>
          <w:rFonts w:ascii="Garamond" w:hAnsi="Garamond"/>
          <w:sz w:val="24"/>
          <w:lang w:eastAsia="en-GB"/>
        </w:rPr>
        <w:t>,</w:t>
      </w:r>
      <w:r w:rsidRPr="00B907A3">
        <w:rPr>
          <w:rFonts w:ascii="Garamond" w:hAnsi="Garamond"/>
          <w:sz w:val="24"/>
          <w:lang w:eastAsia="en-GB"/>
        </w:rPr>
        <w:t xml:space="preserve"> janë hapat kryesor</w:t>
      </w:r>
      <w:r w:rsidR="00D121E9" w:rsidRPr="00B907A3">
        <w:rPr>
          <w:rFonts w:ascii="Garamond" w:hAnsi="Garamond"/>
          <w:sz w:val="24"/>
          <w:lang w:eastAsia="en-GB"/>
        </w:rPr>
        <w:t>ë</w:t>
      </w:r>
      <w:r w:rsidR="00586F50" w:rsidRPr="00B907A3">
        <w:rPr>
          <w:rFonts w:ascii="Garamond" w:hAnsi="Garamond"/>
          <w:sz w:val="24"/>
          <w:lang w:eastAsia="en-GB"/>
        </w:rPr>
        <w:t xml:space="preserve"> </w:t>
      </w:r>
      <w:r w:rsidRPr="00B907A3">
        <w:rPr>
          <w:rFonts w:ascii="Garamond" w:hAnsi="Garamond"/>
          <w:sz w:val="24"/>
          <w:lang w:eastAsia="en-GB"/>
        </w:rPr>
        <w:t>në arritjen e Menaxhimit të suksesshëm të Sigurisë Rrugore (</w:t>
      </w:r>
      <w:r w:rsidR="00586F50" w:rsidRPr="00B907A3">
        <w:rPr>
          <w:rFonts w:ascii="Garamond" w:hAnsi="Garamond"/>
          <w:sz w:val="24"/>
          <w:lang w:eastAsia="en-GB"/>
        </w:rPr>
        <w:t>MSR</w:t>
      </w:r>
      <w:r w:rsidR="00BD7384" w:rsidRPr="00B907A3">
        <w:rPr>
          <w:rFonts w:ascii="Garamond" w:hAnsi="Garamond"/>
          <w:sz w:val="24"/>
          <w:lang w:eastAsia="en-GB"/>
        </w:rPr>
        <w:t>r</w:t>
      </w:r>
      <w:r w:rsidR="003251A1" w:rsidRPr="00B907A3">
        <w:rPr>
          <w:rFonts w:ascii="Garamond" w:hAnsi="Garamond"/>
          <w:sz w:val="24"/>
          <w:lang w:eastAsia="en-GB"/>
        </w:rPr>
        <w:t xml:space="preserve">). </w:t>
      </w:r>
    </w:p>
    <w:p w14:paraId="3B67B3ED" w14:textId="0527F9FD" w:rsidR="003251A1" w:rsidRPr="00B907A3" w:rsidRDefault="00467893" w:rsidP="008C4E07">
      <w:pPr>
        <w:spacing w:after="0"/>
        <w:ind w:firstLine="284"/>
        <w:rPr>
          <w:rFonts w:ascii="Garamond" w:hAnsi="Garamond"/>
          <w:sz w:val="24"/>
          <w:lang w:eastAsia="en-GB"/>
        </w:rPr>
      </w:pPr>
      <w:r w:rsidRPr="00B907A3">
        <w:rPr>
          <w:rFonts w:ascii="Garamond" w:hAnsi="Garamond"/>
          <w:sz w:val="24"/>
          <w:lang w:eastAsia="en-GB"/>
        </w:rPr>
        <w:t xml:space="preserve">Analiza e </w:t>
      </w:r>
      <w:r w:rsidR="00586F50" w:rsidRPr="00B907A3">
        <w:rPr>
          <w:rFonts w:ascii="Garamond" w:hAnsi="Garamond"/>
          <w:sz w:val="24"/>
          <w:lang w:eastAsia="en-GB"/>
        </w:rPr>
        <w:t xml:space="preserve">Hendekut </w:t>
      </w:r>
      <w:r w:rsidRPr="00B907A3">
        <w:rPr>
          <w:rFonts w:ascii="Garamond" w:hAnsi="Garamond"/>
          <w:sz w:val="24"/>
          <w:lang w:eastAsia="en-GB"/>
        </w:rPr>
        <w:t xml:space="preserve">në lidhje me </w:t>
      </w:r>
      <w:r w:rsidR="005B413A" w:rsidRPr="00B907A3">
        <w:rPr>
          <w:rFonts w:ascii="Garamond" w:hAnsi="Garamond"/>
          <w:sz w:val="24"/>
          <w:lang w:eastAsia="en-GB"/>
        </w:rPr>
        <w:t>SS</w:t>
      </w:r>
      <w:r w:rsidR="00586F50" w:rsidRPr="00B907A3">
        <w:rPr>
          <w:rFonts w:ascii="Garamond" w:hAnsi="Garamond"/>
          <w:sz w:val="24"/>
          <w:lang w:eastAsia="en-GB"/>
        </w:rPr>
        <w:t>R</w:t>
      </w:r>
      <w:r w:rsidR="00BD7384" w:rsidRPr="00B907A3">
        <w:rPr>
          <w:rFonts w:ascii="Garamond" w:hAnsi="Garamond"/>
          <w:sz w:val="24"/>
          <w:lang w:eastAsia="en-GB"/>
        </w:rPr>
        <w:t>r</w:t>
      </w:r>
      <w:r w:rsidRPr="00B907A3">
        <w:rPr>
          <w:rFonts w:ascii="Garamond" w:hAnsi="Garamond"/>
          <w:sz w:val="24"/>
          <w:lang w:eastAsia="en-GB"/>
        </w:rPr>
        <w:t xml:space="preserve"> </w:t>
      </w:r>
      <w:r w:rsidR="00586F50" w:rsidRPr="00B907A3">
        <w:rPr>
          <w:rFonts w:ascii="Garamond" w:hAnsi="Garamond"/>
          <w:sz w:val="24"/>
          <w:lang w:eastAsia="en-GB"/>
        </w:rPr>
        <w:t xml:space="preserve">kryhet </w:t>
      </w:r>
      <w:r w:rsidRPr="00B907A3">
        <w:rPr>
          <w:rFonts w:ascii="Garamond" w:hAnsi="Garamond"/>
          <w:sz w:val="24"/>
          <w:lang w:eastAsia="en-GB"/>
        </w:rPr>
        <w:t xml:space="preserve">bazuar në tre aspekte: </w:t>
      </w:r>
      <w:r w:rsidR="00586F50" w:rsidRPr="00B907A3">
        <w:rPr>
          <w:rFonts w:ascii="Garamond" w:hAnsi="Garamond"/>
          <w:sz w:val="24"/>
          <w:lang w:eastAsia="en-GB"/>
        </w:rPr>
        <w:t xml:space="preserve">shqyrtimi i </w:t>
      </w:r>
      <w:r w:rsidRPr="00B907A3">
        <w:rPr>
          <w:rFonts w:ascii="Garamond" w:hAnsi="Garamond"/>
          <w:sz w:val="24"/>
          <w:lang w:eastAsia="en-GB"/>
        </w:rPr>
        <w:t xml:space="preserve">kapacitetit institucional </w:t>
      </w:r>
      <w:r w:rsidR="00586F50" w:rsidRPr="00B907A3">
        <w:rPr>
          <w:rFonts w:ascii="Garamond" w:hAnsi="Garamond"/>
          <w:sz w:val="24"/>
          <w:lang w:eastAsia="en-GB"/>
        </w:rPr>
        <w:t xml:space="preserve">për </w:t>
      </w:r>
      <w:r w:rsidRPr="00B907A3">
        <w:rPr>
          <w:rFonts w:ascii="Garamond" w:hAnsi="Garamond"/>
          <w:sz w:val="24"/>
          <w:lang w:eastAsia="en-GB"/>
        </w:rPr>
        <w:t>siguri</w:t>
      </w:r>
      <w:r w:rsidR="00586F50" w:rsidRPr="00B907A3">
        <w:rPr>
          <w:rFonts w:ascii="Garamond" w:hAnsi="Garamond"/>
          <w:sz w:val="24"/>
          <w:lang w:eastAsia="en-GB"/>
        </w:rPr>
        <w:t>n</w:t>
      </w:r>
      <w:r w:rsidRPr="00B907A3">
        <w:rPr>
          <w:rFonts w:ascii="Garamond" w:hAnsi="Garamond"/>
          <w:sz w:val="24"/>
          <w:lang w:eastAsia="en-GB"/>
        </w:rPr>
        <w:t xml:space="preserve">ë rrugore, përfshirë qeverisjen e </w:t>
      </w:r>
      <w:r w:rsidR="00EF5DD9" w:rsidRPr="00B907A3">
        <w:rPr>
          <w:rFonts w:ascii="Garamond" w:hAnsi="Garamond"/>
          <w:sz w:val="24"/>
          <w:lang w:eastAsia="en-GB"/>
        </w:rPr>
        <w:t>MSR</w:t>
      </w:r>
      <w:r w:rsidR="00BD7384" w:rsidRPr="00B907A3">
        <w:rPr>
          <w:rFonts w:ascii="Garamond" w:hAnsi="Garamond"/>
          <w:sz w:val="24"/>
          <w:lang w:eastAsia="en-GB"/>
        </w:rPr>
        <w:t>r</w:t>
      </w:r>
      <w:r w:rsidRPr="00B907A3">
        <w:rPr>
          <w:rFonts w:ascii="Garamond" w:hAnsi="Garamond"/>
          <w:sz w:val="24"/>
          <w:lang w:eastAsia="en-GB"/>
        </w:rPr>
        <w:t xml:space="preserve">, </w:t>
      </w:r>
      <w:r w:rsidR="00586F50" w:rsidRPr="00B907A3">
        <w:rPr>
          <w:rFonts w:ascii="Garamond" w:hAnsi="Garamond"/>
          <w:sz w:val="24"/>
          <w:lang w:eastAsia="en-GB"/>
        </w:rPr>
        <w:t xml:space="preserve">Analiza </w:t>
      </w:r>
      <w:r w:rsidRPr="00B907A3">
        <w:rPr>
          <w:rFonts w:ascii="Garamond" w:hAnsi="Garamond"/>
          <w:sz w:val="24"/>
          <w:lang w:eastAsia="en-GB"/>
        </w:rPr>
        <w:t xml:space="preserve">e </w:t>
      </w:r>
      <w:r w:rsidR="00586F50" w:rsidRPr="00B907A3">
        <w:rPr>
          <w:rFonts w:ascii="Garamond" w:hAnsi="Garamond"/>
          <w:sz w:val="24"/>
          <w:lang w:eastAsia="en-GB"/>
        </w:rPr>
        <w:t>Hendekut t</w:t>
      </w:r>
      <w:r w:rsidR="00586F50" w:rsidRPr="00B907A3">
        <w:rPr>
          <w:rFonts w:ascii="Garamond" w:hAnsi="Garamond"/>
          <w:sz w:val="24"/>
        </w:rPr>
        <w:t xml:space="preserve">ë </w:t>
      </w:r>
      <w:r w:rsidRPr="00B907A3">
        <w:rPr>
          <w:rFonts w:ascii="Garamond" w:hAnsi="Garamond"/>
          <w:sz w:val="24"/>
          <w:lang w:eastAsia="en-GB"/>
        </w:rPr>
        <w:t xml:space="preserve">praktikës aktuale të </w:t>
      </w:r>
      <w:r w:rsidR="00EF5DD9" w:rsidRPr="00B907A3">
        <w:rPr>
          <w:rFonts w:ascii="Garamond" w:hAnsi="Garamond"/>
          <w:sz w:val="24"/>
          <w:lang w:eastAsia="en-GB"/>
        </w:rPr>
        <w:t>MSR</w:t>
      </w:r>
      <w:r w:rsidR="00F677CD" w:rsidRPr="00B907A3">
        <w:rPr>
          <w:rFonts w:ascii="Garamond" w:hAnsi="Garamond"/>
          <w:sz w:val="24"/>
          <w:lang w:eastAsia="en-GB"/>
        </w:rPr>
        <w:t>r</w:t>
      </w:r>
      <w:r w:rsidRPr="00B907A3">
        <w:rPr>
          <w:rFonts w:ascii="Garamond" w:hAnsi="Garamond"/>
          <w:sz w:val="24"/>
          <w:lang w:eastAsia="en-GB"/>
        </w:rPr>
        <w:t xml:space="preserve"> brenda pesë shtyllave të OKB-së për sigurinë rrugore (dekada e parë) dhe </w:t>
      </w:r>
      <w:r w:rsidR="00586F50" w:rsidRPr="00B907A3">
        <w:rPr>
          <w:rFonts w:ascii="Garamond" w:hAnsi="Garamond"/>
          <w:sz w:val="24"/>
          <w:lang w:eastAsia="en-GB"/>
        </w:rPr>
        <w:t>boshll</w:t>
      </w:r>
      <w:r w:rsidR="00586F50" w:rsidRPr="00B907A3">
        <w:rPr>
          <w:rFonts w:ascii="Garamond" w:hAnsi="Garamond"/>
          <w:sz w:val="24"/>
        </w:rPr>
        <w:t xml:space="preserve">ëqet e </w:t>
      </w:r>
      <w:r w:rsidRPr="00B907A3">
        <w:rPr>
          <w:rFonts w:ascii="Garamond" w:hAnsi="Garamond"/>
          <w:sz w:val="24"/>
          <w:lang w:eastAsia="en-GB"/>
        </w:rPr>
        <w:t>identifikuara brenda sistemeve mbështetëse</w:t>
      </w:r>
      <w:r w:rsidR="00586F50" w:rsidRPr="00B907A3">
        <w:rPr>
          <w:rFonts w:ascii="Garamond" w:hAnsi="Garamond"/>
          <w:sz w:val="24"/>
          <w:lang w:eastAsia="en-GB"/>
        </w:rPr>
        <w:t>,</w:t>
      </w:r>
      <w:r w:rsidRPr="00B907A3">
        <w:rPr>
          <w:rFonts w:ascii="Garamond" w:hAnsi="Garamond"/>
          <w:sz w:val="24"/>
          <w:lang w:eastAsia="en-GB"/>
        </w:rPr>
        <w:t xml:space="preserve"> për një monitorim/vlerësim të suksesshëm </w:t>
      </w:r>
      <w:r w:rsidR="00586F50" w:rsidRPr="00B907A3">
        <w:rPr>
          <w:rFonts w:ascii="Garamond" w:hAnsi="Garamond"/>
          <w:sz w:val="24"/>
          <w:lang w:eastAsia="en-GB"/>
        </w:rPr>
        <w:t xml:space="preserve">të sigurisë rrugore, </w:t>
      </w:r>
      <w:r w:rsidRPr="00B907A3">
        <w:rPr>
          <w:rFonts w:ascii="Garamond" w:hAnsi="Garamond"/>
          <w:sz w:val="24"/>
          <w:lang w:eastAsia="en-GB"/>
        </w:rPr>
        <w:t>të bazuar në të dhëna</w:t>
      </w:r>
      <w:r w:rsidR="003251A1" w:rsidRPr="00B907A3">
        <w:rPr>
          <w:rFonts w:ascii="Garamond" w:hAnsi="Garamond"/>
          <w:sz w:val="24"/>
          <w:lang w:eastAsia="en-GB"/>
        </w:rPr>
        <w:t>.</w:t>
      </w:r>
    </w:p>
    <w:p w14:paraId="46D39531" w14:textId="7659FF16" w:rsidR="00467893" w:rsidRPr="007951BD" w:rsidRDefault="00E36D18" w:rsidP="008C4E07">
      <w:pPr>
        <w:spacing w:after="0"/>
        <w:ind w:firstLine="284"/>
        <w:jc w:val="left"/>
        <w:rPr>
          <w:rFonts w:ascii="Garamond" w:hAnsi="Garamond"/>
          <w:i/>
          <w:sz w:val="24"/>
        </w:rPr>
      </w:pPr>
      <w:bookmarkStart w:id="17" w:name="_Toc208840995"/>
      <w:r w:rsidRPr="007951BD">
        <w:rPr>
          <w:rFonts w:ascii="Garamond" w:hAnsi="Garamond"/>
          <w:i/>
          <w:sz w:val="24"/>
        </w:rPr>
        <w:t>Figur</w:t>
      </w:r>
      <w:r w:rsidR="007951BD">
        <w:rPr>
          <w:rFonts w:ascii="Garamond" w:hAnsi="Garamond"/>
          <w:i/>
          <w:sz w:val="24"/>
        </w:rPr>
        <w:t>a</w:t>
      </w:r>
      <w:r w:rsidRPr="007951BD">
        <w:rPr>
          <w:rFonts w:ascii="Garamond" w:hAnsi="Garamond"/>
          <w:i/>
          <w:sz w:val="24"/>
        </w:rPr>
        <w:t xml:space="preserve"> </w:t>
      </w:r>
      <w:r w:rsidR="00B430D5" w:rsidRPr="007951BD">
        <w:rPr>
          <w:rFonts w:ascii="Garamond" w:hAnsi="Garamond"/>
          <w:i/>
          <w:sz w:val="24"/>
        </w:rPr>
        <w:fldChar w:fldCharType="begin"/>
      </w:r>
      <w:r w:rsidR="00B430D5" w:rsidRPr="007951BD">
        <w:rPr>
          <w:rFonts w:ascii="Garamond" w:hAnsi="Garamond"/>
          <w:i/>
          <w:sz w:val="24"/>
        </w:rPr>
        <w:instrText xml:space="preserve"> STYLEREF 1 \s </w:instrText>
      </w:r>
      <w:r w:rsidR="00B430D5" w:rsidRPr="007951BD">
        <w:rPr>
          <w:rFonts w:ascii="Garamond" w:hAnsi="Garamond"/>
          <w:i/>
          <w:sz w:val="24"/>
        </w:rPr>
        <w:fldChar w:fldCharType="separate"/>
      </w:r>
      <w:r w:rsidR="00D13C76" w:rsidRPr="007951BD">
        <w:rPr>
          <w:rFonts w:ascii="Garamond" w:hAnsi="Garamond"/>
          <w:i/>
          <w:sz w:val="24"/>
        </w:rPr>
        <w:t>2</w:t>
      </w:r>
      <w:r w:rsidR="00B430D5" w:rsidRPr="007951BD">
        <w:rPr>
          <w:rFonts w:ascii="Garamond" w:hAnsi="Garamond"/>
          <w:i/>
          <w:sz w:val="24"/>
        </w:rPr>
        <w:fldChar w:fldCharType="end"/>
      </w:r>
      <w:r w:rsidR="00B430D5" w:rsidRPr="007951BD">
        <w:rPr>
          <w:rFonts w:ascii="Garamond" w:hAnsi="Garamond"/>
          <w:i/>
          <w:sz w:val="24"/>
        </w:rPr>
        <w:noBreakHyphen/>
      </w:r>
      <w:r w:rsidR="00B430D5" w:rsidRPr="007951BD">
        <w:rPr>
          <w:rFonts w:ascii="Garamond" w:hAnsi="Garamond"/>
          <w:i/>
          <w:sz w:val="24"/>
        </w:rPr>
        <w:fldChar w:fldCharType="begin"/>
      </w:r>
      <w:r w:rsidR="00B430D5" w:rsidRPr="007951BD">
        <w:rPr>
          <w:rFonts w:ascii="Garamond" w:hAnsi="Garamond"/>
          <w:i/>
          <w:sz w:val="24"/>
        </w:rPr>
        <w:instrText xml:space="preserve"> SEQ Figure \* ARABIC \s 1 </w:instrText>
      </w:r>
      <w:r w:rsidR="00B430D5" w:rsidRPr="007951BD">
        <w:rPr>
          <w:rFonts w:ascii="Garamond" w:hAnsi="Garamond"/>
          <w:i/>
          <w:sz w:val="24"/>
        </w:rPr>
        <w:fldChar w:fldCharType="separate"/>
      </w:r>
      <w:r w:rsidR="00D13C76" w:rsidRPr="007951BD">
        <w:rPr>
          <w:rFonts w:ascii="Garamond" w:hAnsi="Garamond"/>
          <w:i/>
          <w:sz w:val="24"/>
        </w:rPr>
        <w:t>1</w:t>
      </w:r>
      <w:r w:rsidR="00B430D5" w:rsidRPr="007951BD">
        <w:rPr>
          <w:rFonts w:ascii="Garamond" w:hAnsi="Garamond"/>
          <w:i/>
          <w:sz w:val="24"/>
        </w:rPr>
        <w:fldChar w:fldCharType="end"/>
      </w:r>
      <w:r w:rsidR="007951BD">
        <w:rPr>
          <w:rFonts w:ascii="Garamond" w:hAnsi="Garamond"/>
          <w:i/>
          <w:sz w:val="24"/>
        </w:rPr>
        <w:t>.</w:t>
      </w:r>
      <w:r w:rsidR="00AD50E8" w:rsidRPr="007951BD">
        <w:rPr>
          <w:rFonts w:ascii="Garamond" w:hAnsi="Garamond"/>
          <w:i/>
          <w:sz w:val="24"/>
        </w:rPr>
        <w:t xml:space="preserve"> </w:t>
      </w:r>
      <w:r w:rsidR="00467893" w:rsidRPr="007951BD">
        <w:rPr>
          <w:rFonts w:ascii="Garamond" w:hAnsi="Garamond"/>
          <w:i/>
          <w:sz w:val="24"/>
        </w:rPr>
        <w:t>Pesë shtylla të OKB-së për sigurinë rrugore</w:t>
      </w:r>
      <w:bookmarkEnd w:id="17"/>
    </w:p>
    <w:p w14:paraId="49A3CB4F" w14:textId="3016D2C1" w:rsidR="0093634B" w:rsidRPr="00B907A3" w:rsidRDefault="00467893" w:rsidP="008C4E07">
      <w:pPr>
        <w:spacing w:after="0"/>
        <w:ind w:firstLine="284"/>
        <w:jc w:val="left"/>
        <w:rPr>
          <w:rFonts w:ascii="Garamond" w:hAnsi="Garamond"/>
          <w:sz w:val="24"/>
        </w:rPr>
      </w:pPr>
      <w:r w:rsidRPr="00B907A3">
        <w:rPr>
          <w:rFonts w:ascii="Garamond" w:hAnsi="Garamond"/>
          <w:sz w:val="24"/>
        </w:rPr>
        <w:t>(Burimi: Plani Global për Dekadën e Veprimeve për Sigurinë Rrugore 2011</w:t>
      </w:r>
      <w:r w:rsidR="007951BD">
        <w:rPr>
          <w:rFonts w:ascii="Garamond" w:hAnsi="Garamond"/>
          <w:sz w:val="24"/>
        </w:rPr>
        <w:t>–</w:t>
      </w:r>
      <w:r w:rsidR="00AD50E8" w:rsidRPr="00B907A3">
        <w:rPr>
          <w:rFonts w:ascii="Garamond" w:hAnsi="Garamond"/>
          <w:sz w:val="24"/>
        </w:rPr>
        <w:t>2020)</w:t>
      </w:r>
    </w:p>
    <w:p w14:paraId="62E06931" w14:textId="6FA55317" w:rsidR="00C054DF" w:rsidRPr="00B907A3" w:rsidRDefault="00C054DF" w:rsidP="008C4E07">
      <w:pPr>
        <w:spacing w:after="0"/>
        <w:jc w:val="center"/>
        <w:rPr>
          <w:rFonts w:ascii="Garamond" w:hAnsi="Garamond"/>
          <w:sz w:val="24"/>
        </w:rPr>
      </w:pPr>
      <w:r w:rsidRPr="00B907A3">
        <w:rPr>
          <w:rFonts w:ascii="Garamond" w:hAnsi="Garamond"/>
          <w:noProof/>
          <w:sz w:val="24"/>
          <w:lang w:eastAsia="sq-AL"/>
        </w:rPr>
        <w:drawing>
          <wp:inline distT="0" distB="0" distL="0" distR="0" wp14:anchorId="34718B8C" wp14:editId="3EF25D51">
            <wp:extent cx="5981700" cy="6432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81700" cy="643255"/>
                    </a:xfrm>
                    <a:prstGeom prst="rect">
                      <a:avLst/>
                    </a:prstGeom>
                  </pic:spPr>
                </pic:pic>
              </a:graphicData>
            </a:graphic>
          </wp:inline>
        </w:drawing>
      </w:r>
    </w:p>
    <w:p w14:paraId="1CC4CE5C" w14:textId="77777777" w:rsidR="0093634B" w:rsidRPr="00B907A3" w:rsidRDefault="0093634B" w:rsidP="008C4E07">
      <w:pPr>
        <w:spacing w:after="0"/>
        <w:ind w:firstLine="284"/>
        <w:rPr>
          <w:rFonts w:ascii="Garamond" w:hAnsi="Garamond"/>
          <w:sz w:val="24"/>
        </w:rPr>
      </w:pPr>
    </w:p>
    <w:p w14:paraId="69FDBE8A" w14:textId="6E5E5A57" w:rsidR="003251A1" w:rsidRPr="00B907A3" w:rsidRDefault="00A03CA0" w:rsidP="008C4E07">
      <w:pPr>
        <w:pStyle w:val="Heading2"/>
        <w:numPr>
          <w:ilvl w:val="0"/>
          <w:numId w:val="0"/>
        </w:numPr>
        <w:spacing w:after="0"/>
        <w:ind w:firstLine="284"/>
        <w:rPr>
          <w:rFonts w:ascii="Garamond" w:hAnsi="Garamond"/>
          <w:color w:val="auto"/>
          <w:lang w:val="sq-AL"/>
        </w:rPr>
      </w:pPr>
      <w:bookmarkStart w:id="18" w:name="_Toc208840560"/>
      <w:r w:rsidRPr="00B907A3">
        <w:rPr>
          <w:rFonts w:ascii="Garamond" w:hAnsi="Garamond"/>
          <w:color w:val="auto"/>
          <w:lang w:val="sq-AL"/>
        </w:rPr>
        <w:t xml:space="preserve">2.1 </w:t>
      </w:r>
      <w:r w:rsidR="00467893" w:rsidRPr="00B907A3">
        <w:rPr>
          <w:rFonts w:ascii="Garamond" w:hAnsi="Garamond"/>
          <w:color w:val="auto"/>
          <w:lang w:val="sq-AL"/>
        </w:rPr>
        <w:t xml:space="preserve">Rishikimi i kapacitetit institucional të sigurisë rrugore dhe qeverisja e </w:t>
      </w:r>
      <w:r w:rsidR="00EF5DD9" w:rsidRPr="00B907A3">
        <w:rPr>
          <w:rFonts w:ascii="Garamond" w:hAnsi="Garamond"/>
          <w:color w:val="auto"/>
          <w:lang w:val="sq-AL"/>
        </w:rPr>
        <w:t>MSR</w:t>
      </w:r>
      <w:r w:rsidR="00CF0E40" w:rsidRPr="00B907A3">
        <w:rPr>
          <w:rFonts w:ascii="Garamond" w:hAnsi="Garamond"/>
          <w:color w:val="auto"/>
          <w:lang w:val="sq-AL"/>
        </w:rPr>
        <w:t>r</w:t>
      </w:r>
      <w:bookmarkEnd w:id="18"/>
      <w:r w:rsidR="003251A1" w:rsidRPr="00B907A3">
        <w:rPr>
          <w:rFonts w:ascii="Garamond" w:hAnsi="Garamond"/>
          <w:color w:val="auto"/>
          <w:lang w:val="sq-AL"/>
        </w:rPr>
        <w:t xml:space="preserve"> </w:t>
      </w:r>
    </w:p>
    <w:p w14:paraId="46839CBC" w14:textId="1077D7B2" w:rsidR="003251A1" w:rsidRPr="00B907A3" w:rsidRDefault="001E5ACA" w:rsidP="008C4E07">
      <w:pPr>
        <w:spacing w:after="0"/>
        <w:ind w:firstLine="284"/>
        <w:rPr>
          <w:rFonts w:ascii="Garamond" w:hAnsi="Garamond"/>
          <w:w w:val="105"/>
          <w:sz w:val="24"/>
          <w:lang w:eastAsia="en-US"/>
        </w:rPr>
      </w:pPr>
      <w:r w:rsidRPr="00B907A3">
        <w:rPr>
          <w:rFonts w:ascii="Garamond" w:hAnsi="Garamond"/>
          <w:w w:val="105"/>
          <w:sz w:val="24"/>
          <w:lang w:eastAsia="en-US"/>
        </w:rPr>
        <w:t xml:space="preserve">Gjatë dekadës së fundit (zbatimi i </w:t>
      </w:r>
      <w:r w:rsidR="00C054DF" w:rsidRPr="00B907A3">
        <w:rPr>
          <w:rFonts w:ascii="Garamond" w:hAnsi="Garamond"/>
          <w:w w:val="105"/>
          <w:sz w:val="24"/>
          <w:lang w:eastAsia="en-US"/>
        </w:rPr>
        <w:t>SSR</w:t>
      </w:r>
      <w:r w:rsidR="00CF0E40" w:rsidRPr="00B907A3">
        <w:rPr>
          <w:rFonts w:ascii="Garamond" w:hAnsi="Garamond"/>
          <w:w w:val="105"/>
          <w:sz w:val="24"/>
          <w:lang w:eastAsia="en-US"/>
        </w:rPr>
        <w:t>r</w:t>
      </w:r>
      <w:r w:rsidR="00C054DF" w:rsidRPr="00B907A3">
        <w:rPr>
          <w:rFonts w:ascii="Garamond" w:hAnsi="Garamond"/>
          <w:w w:val="105"/>
          <w:sz w:val="24"/>
          <w:lang w:eastAsia="en-US"/>
        </w:rPr>
        <w:t xml:space="preserve"> </w:t>
      </w:r>
      <w:r w:rsidR="00CF0E40" w:rsidRPr="00B907A3">
        <w:rPr>
          <w:rFonts w:ascii="Garamond" w:hAnsi="Garamond"/>
          <w:w w:val="105"/>
          <w:sz w:val="24"/>
          <w:lang w:eastAsia="en-US"/>
        </w:rPr>
        <w:t>t</w:t>
      </w:r>
      <w:r w:rsidR="00C054DF" w:rsidRPr="00B907A3">
        <w:rPr>
          <w:rFonts w:ascii="Garamond" w:hAnsi="Garamond"/>
          <w:w w:val="105"/>
          <w:sz w:val="24"/>
          <w:lang w:eastAsia="en-US"/>
        </w:rPr>
        <w:t xml:space="preserve">ë </w:t>
      </w:r>
      <w:r w:rsidRPr="00B907A3">
        <w:rPr>
          <w:rFonts w:ascii="Garamond" w:hAnsi="Garamond"/>
          <w:w w:val="105"/>
          <w:sz w:val="24"/>
          <w:lang w:eastAsia="en-US"/>
        </w:rPr>
        <w:t xml:space="preserve">parë), Shqipëria arriti të krijojë </w:t>
      </w:r>
      <w:r w:rsidR="0093634B" w:rsidRPr="00B907A3">
        <w:rPr>
          <w:rFonts w:ascii="Garamond" w:hAnsi="Garamond"/>
          <w:w w:val="105"/>
          <w:sz w:val="24"/>
          <w:lang w:eastAsia="en-US"/>
        </w:rPr>
        <w:t>s</w:t>
      </w:r>
      <w:r w:rsidR="00CF0E40" w:rsidRPr="00B907A3">
        <w:rPr>
          <w:rFonts w:ascii="Garamond" w:hAnsi="Garamond"/>
          <w:w w:val="105"/>
          <w:sz w:val="24"/>
          <w:lang w:eastAsia="en-US"/>
        </w:rPr>
        <w:t>i</w:t>
      </w:r>
      <w:r w:rsidR="0093634B" w:rsidRPr="00B907A3">
        <w:rPr>
          <w:rFonts w:ascii="Garamond" w:hAnsi="Garamond"/>
          <w:w w:val="105"/>
          <w:sz w:val="24"/>
          <w:lang w:eastAsia="en-US"/>
        </w:rPr>
        <w:t xml:space="preserve">stemin e </w:t>
      </w:r>
      <w:r w:rsidR="00EF5DD9" w:rsidRPr="00B907A3">
        <w:rPr>
          <w:rFonts w:ascii="Garamond" w:hAnsi="Garamond"/>
          <w:w w:val="105"/>
          <w:sz w:val="24"/>
          <w:lang w:eastAsia="en-US"/>
        </w:rPr>
        <w:t>MSR</w:t>
      </w:r>
      <w:r w:rsidR="00CF0E40" w:rsidRPr="00B907A3">
        <w:rPr>
          <w:rFonts w:ascii="Garamond" w:hAnsi="Garamond"/>
          <w:w w:val="105"/>
          <w:sz w:val="24"/>
          <w:lang w:eastAsia="en-US"/>
        </w:rPr>
        <w:t>r</w:t>
      </w:r>
      <w:r w:rsidRPr="00B907A3">
        <w:rPr>
          <w:rFonts w:ascii="Garamond" w:hAnsi="Garamond"/>
          <w:w w:val="105"/>
          <w:sz w:val="24"/>
          <w:lang w:eastAsia="en-US"/>
        </w:rPr>
        <w:t xml:space="preserve"> dhe, aktualisht, ka një numër institucionesh të angazhuara </w:t>
      </w:r>
      <w:r w:rsidR="00C054DF" w:rsidRPr="00B907A3">
        <w:rPr>
          <w:rFonts w:ascii="Garamond" w:hAnsi="Garamond"/>
          <w:w w:val="105"/>
          <w:sz w:val="24"/>
          <w:lang w:eastAsia="en-US"/>
        </w:rPr>
        <w:t>me</w:t>
      </w:r>
      <w:r w:rsidRPr="00B907A3">
        <w:rPr>
          <w:rFonts w:ascii="Garamond" w:hAnsi="Garamond"/>
          <w:w w:val="105"/>
          <w:sz w:val="24"/>
          <w:lang w:eastAsia="en-US"/>
        </w:rPr>
        <w:t xml:space="preserve"> </w:t>
      </w:r>
      <w:r w:rsidR="00EF5DD9" w:rsidRPr="00B907A3">
        <w:rPr>
          <w:rFonts w:ascii="Garamond" w:hAnsi="Garamond"/>
          <w:w w:val="105"/>
          <w:sz w:val="24"/>
          <w:lang w:eastAsia="en-US"/>
        </w:rPr>
        <w:t>MSR</w:t>
      </w:r>
      <w:r w:rsidR="00EA33EE" w:rsidRPr="00B907A3">
        <w:rPr>
          <w:rFonts w:ascii="Garamond" w:hAnsi="Garamond"/>
          <w:w w:val="105"/>
          <w:sz w:val="24"/>
          <w:lang w:eastAsia="en-US"/>
        </w:rPr>
        <w:t>r</w:t>
      </w:r>
      <w:r w:rsidRPr="00B907A3">
        <w:rPr>
          <w:rFonts w:ascii="Garamond" w:hAnsi="Garamond"/>
          <w:w w:val="105"/>
          <w:sz w:val="24"/>
          <w:lang w:eastAsia="en-US"/>
        </w:rPr>
        <w:t>, përfshirë</w:t>
      </w:r>
      <w:r w:rsidR="003251A1" w:rsidRPr="00B907A3">
        <w:rPr>
          <w:rFonts w:ascii="Garamond" w:hAnsi="Garamond"/>
          <w:w w:val="105"/>
          <w:sz w:val="24"/>
          <w:lang w:eastAsia="en-US"/>
        </w:rPr>
        <w:t>:</w:t>
      </w:r>
    </w:p>
    <w:p w14:paraId="4220A1A7" w14:textId="1BEAC345"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 xml:space="preserve">Ministrinë e Infrastrukturës dhe Energjisë me </w:t>
      </w:r>
      <w:r w:rsidR="00C054DF" w:rsidRPr="00B907A3">
        <w:rPr>
          <w:rFonts w:ascii="Garamond" w:hAnsi="Garamond"/>
          <w:sz w:val="24"/>
          <w:lang w:eastAsia="en-US"/>
        </w:rPr>
        <w:t xml:space="preserve">institucionet e </w:t>
      </w:r>
      <w:r w:rsidR="001E5ACA" w:rsidRPr="00B907A3">
        <w:rPr>
          <w:rFonts w:ascii="Garamond" w:hAnsi="Garamond"/>
          <w:sz w:val="24"/>
          <w:lang w:eastAsia="en-US"/>
        </w:rPr>
        <w:t xml:space="preserve">saj </w:t>
      </w:r>
      <w:r w:rsidR="00C054DF" w:rsidRPr="00B907A3">
        <w:rPr>
          <w:rFonts w:ascii="Garamond" w:hAnsi="Garamond"/>
          <w:sz w:val="24"/>
          <w:lang w:eastAsia="en-US"/>
        </w:rPr>
        <w:t>t</w:t>
      </w:r>
      <w:r w:rsidR="00C054DF" w:rsidRPr="00B907A3">
        <w:rPr>
          <w:rFonts w:ascii="Garamond" w:hAnsi="Garamond"/>
          <w:w w:val="105"/>
          <w:sz w:val="24"/>
          <w:lang w:eastAsia="en-US"/>
        </w:rPr>
        <w:t xml:space="preserve">ë </w:t>
      </w:r>
      <w:r w:rsidR="001E5ACA" w:rsidRPr="00B907A3">
        <w:rPr>
          <w:rFonts w:ascii="Garamond" w:hAnsi="Garamond"/>
          <w:sz w:val="24"/>
          <w:lang w:eastAsia="en-US"/>
        </w:rPr>
        <w:t>var</w:t>
      </w:r>
      <w:r w:rsidR="00C054DF" w:rsidRPr="00B907A3">
        <w:rPr>
          <w:rFonts w:ascii="Garamond" w:hAnsi="Garamond"/>
          <w:w w:val="105"/>
          <w:sz w:val="24"/>
          <w:lang w:eastAsia="en-US"/>
        </w:rPr>
        <w:t xml:space="preserve">ësisë </w:t>
      </w:r>
      <w:r w:rsidR="001E5ACA" w:rsidRPr="00B907A3">
        <w:rPr>
          <w:rFonts w:ascii="Garamond" w:hAnsi="Garamond"/>
          <w:sz w:val="24"/>
          <w:lang w:eastAsia="en-US"/>
        </w:rPr>
        <w:t>(Drejtoria e Shërbimeve të Transportit Rrugor, Autoriteti Rrugor Shqiptar dhe Instituti i Transportit</w:t>
      </w:r>
      <w:r w:rsidR="003251A1" w:rsidRPr="00B907A3">
        <w:rPr>
          <w:rFonts w:ascii="Garamond" w:hAnsi="Garamond"/>
          <w:sz w:val="24"/>
          <w:lang w:eastAsia="en-US"/>
        </w:rPr>
        <w:t>);</w:t>
      </w:r>
    </w:p>
    <w:p w14:paraId="78E656D6" w14:textId="1851EE95" w:rsidR="003251A1" w:rsidRPr="00B907A3" w:rsidRDefault="00A03CA0" w:rsidP="008C4E07">
      <w:pPr>
        <w:pStyle w:val="ListParagraph"/>
        <w:ind w:left="0" w:firstLine="284"/>
        <w:contextualSpacing/>
        <w:jc w:val="both"/>
        <w:rPr>
          <w:rFonts w:ascii="Garamond" w:hAnsi="Garamond"/>
          <w:sz w:val="24"/>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 xml:space="preserve">Ministrinë e </w:t>
      </w:r>
      <w:r w:rsidR="009E7D11" w:rsidRPr="00B907A3">
        <w:rPr>
          <w:rFonts w:ascii="Garamond" w:hAnsi="Garamond"/>
          <w:sz w:val="24"/>
          <w:lang w:eastAsia="en-US"/>
        </w:rPr>
        <w:t xml:space="preserve">Punëve të </w:t>
      </w:r>
      <w:r w:rsidR="001E5ACA" w:rsidRPr="00B907A3">
        <w:rPr>
          <w:rFonts w:ascii="Garamond" w:hAnsi="Garamond"/>
          <w:sz w:val="24"/>
          <w:lang w:eastAsia="en-US"/>
        </w:rPr>
        <w:t xml:space="preserve">Brendshme </w:t>
      </w:r>
      <w:r w:rsidR="0027393D" w:rsidRPr="00B907A3">
        <w:rPr>
          <w:rFonts w:ascii="Garamond" w:hAnsi="Garamond"/>
          <w:sz w:val="24"/>
          <w:lang w:eastAsia="en-US"/>
        </w:rPr>
        <w:t>dhe institucionet e saj t</w:t>
      </w:r>
      <w:r w:rsidR="0027393D" w:rsidRPr="00B907A3">
        <w:rPr>
          <w:rFonts w:ascii="Garamond" w:hAnsi="Garamond"/>
          <w:w w:val="105"/>
          <w:sz w:val="24"/>
          <w:lang w:eastAsia="en-US"/>
        </w:rPr>
        <w:t xml:space="preserve">ë </w:t>
      </w:r>
      <w:r w:rsidR="001E5ACA" w:rsidRPr="00B907A3">
        <w:rPr>
          <w:rFonts w:ascii="Garamond" w:hAnsi="Garamond"/>
          <w:sz w:val="24"/>
          <w:lang w:eastAsia="en-US"/>
        </w:rPr>
        <w:t>var</w:t>
      </w:r>
      <w:r w:rsidR="0027393D" w:rsidRPr="00B907A3">
        <w:rPr>
          <w:rFonts w:ascii="Garamond" w:hAnsi="Garamond"/>
          <w:w w:val="105"/>
          <w:sz w:val="24"/>
          <w:lang w:eastAsia="en-US"/>
        </w:rPr>
        <w:t xml:space="preserve">ësisë </w:t>
      </w:r>
      <w:r w:rsidR="001E5ACA" w:rsidRPr="00B907A3">
        <w:rPr>
          <w:rFonts w:ascii="Garamond" w:hAnsi="Garamond"/>
          <w:sz w:val="24"/>
          <w:lang w:eastAsia="en-US"/>
        </w:rPr>
        <w:t>(Drejtoria e Policisë Rrugore dhe Sektorët e Rendit Publik - operatorët 112</w:t>
      </w:r>
      <w:r w:rsidR="003251A1" w:rsidRPr="00B907A3">
        <w:rPr>
          <w:rFonts w:ascii="Garamond" w:hAnsi="Garamond"/>
          <w:sz w:val="24"/>
        </w:rPr>
        <w:t>);</w:t>
      </w:r>
    </w:p>
    <w:p w14:paraId="379E4169" w14:textId="1BFC5FBF"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 xml:space="preserve">Ministrinë e Shëndetësisë dhe </w:t>
      </w:r>
      <w:r w:rsidR="007951BD" w:rsidRPr="00B907A3">
        <w:rPr>
          <w:rFonts w:ascii="Garamond" w:hAnsi="Garamond"/>
          <w:sz w:val="24"/>
          <w:lang w:eastAsia="en-US"/>
        </w:rPr>
        <w:t>Mirëqenies</w:t>
      </w:r>
      <w:r w:rsidR="001E5ACA" w:rsidRPr="00B907A3">
        <w:rPr>
          <w:rFonts w:ascii="Garamond" w:hAnsi="Garamond"/>
          <w:sz w:val="24"/>
          <w:lang w:eastAsia="en-US"/>
        </w:rPr>
        <w:t xml:space="preserve"> Sociale me </w:t>
      </w:r>
      <w:r w:rsidR="0027393D" w:rsidRPr="00B907A3">
        <w:rPr>
          <w:rFonts w:ascii="Garamond" w:hAnsi="Garamond"/>
          <w:sz w:val="24"/>
          <w:lang w:eastAsia="en-US"/>
        </w:rPr>
        <w:t xml:space="preserve">institucionet </w:t>
      </w:r>
      <w:r w:rsidR="001E5ACA" w:rsidRPr="00B907A3">
        <w:rPr>
          <w:rFonts w:ascii="Garamond" w:hAnsi="Garamond"/>
          <w:sz w:val="24"/>
          <w:lang w:eastAsia="en-US"/>
        </w:rPr>
        <w:t xml:space="preserve">e saj </w:t>
      </w:r>
      <w:r w:rsidR="0027393D" w:rsidRPr="00B907A3">
        <w:rPr>
          <w:rFonts w:ascii="Garamond" w:hAnsi="Garamond"/>
          <w:sz w:val="24"/>
          <w:lang w:eastAsia="en-US"/>
        </w:rPr>
        <w:t>t</w:t>
      </w:r>
      <w:r w:rsidR="0027393D" w:rsidRPr="00B907A3">
        <w:rPr>
          <w:rFonts w:ascii="Garamond" w:hAnsi="Garamond"/>
          <w:w w:val="105"/>
          <w:sz w:val="24"/>
          <w:lang w:eastAsia="en-US"/>
        </w:rPr>
        <w:t xml:space="preserve">ë </w:t>
      </w:r>
      <w:r w:rsidR="001E5ACA" w:rsidRPr="00B907A3">
        <w:rPr>
          <w:rFonts w:ascii="Garamond" w:hAnsi="Garamond"/>
          <w:sz w:val="24"/>
          <w:lang w:eastAsia="en-US"/>
        </w:rPr>
        <w:t>var</w:t>
      </w:r>
      <w:r w:rsidR="0027393D" w:rsidRPr="00B907A3">
        <w:rPr>
          <w:rFonts w:ascii="Garamond" w:hAnsi="Garamond"/>
          <w:w w:val="105"/>
          <w:sz w:val="24"/>
          <w:lang w:eastAsia="en-US"/>
        </w:rPr>
        <w:t xml:space="preserve">ësisë </w:t>
      </w:r>
      <w:r w:rsidR="001E5ACA" w:rsidRPr="00B907A3">
        <w:rPr>
          <w:rFonts w:ascii="Garamond" w:hAnsi="Garamond"/>
          <w:sz w:val="24"/>
          <w:lang w:eastAsia="en-US"/>
        </w:rPr>
        <w:t xml:space="preserve">(Qendrat Shëndetësore, </w:t>
      </w:r>
      <w:r w:rsidR="00D424A4" w:rsidRPr="00B907A3">
        <w:rPr>
          <w:rFonts w:ascii="Garamond" w:hAnsi="Garamond"/>
          <w:sz w:val="24"/>
          <w:lang w:eastAsia="en-US"/>
        </w:rPr>
        <w:t>Qendra Komb</w:t>
      </w:r>
      <w:r w:rsidR="00D424A4" w:rsidRPr="00B907A3">
        <w:rPr>
          <w:rFonts w:ascii="Garamond" w:hAnsi="Garamond"/>
          <w:w w:val="105"/>
          <w:sz w:val="24"/>
          <w:lang w:eastAsia="en-US"/>
        </w:rPr>
        <w:t xml:space="preserve">ëtare e </w:t>
      </w:r>
      <w:r w:rsidR="00D424A4" w:rsidRPr="00B907A3">
        <w:rPr>
          <w:rFonts w:ascii="Garamond" w:hAnsi="Garamond"/>
          <w:sz w:val="24"/>
          <w:lang w:eastAsia="en-US"/>
        </w:rPr>
        <w:t>Urgjenc</w:t>
      </w:r>
      <w:r w:rsidR="00D424A4" w:rsidRPr="00B907A3">
        <w:rPr>
          <w:rFonts w:ascii="Garamond" w:hAnsi="Garamond"/>
          <w:w w:val="105"/>
          <w:sz w:val="24"/>
          <w:lang w:eastAsia="en-US"/>
        </w:rPr>
        <w:t xml:space="preserve">ës </w:t>
      </w:r>
      <w:r w:rsidR="00D424A4" w:rsidRPr="00B907A3">
        <w:rPr>
          <w:rFonts w:ascii="Garamond" w:hAnsi="Garamond"/>
          <w:sz w:val="24"/>
          <w:lang w:eastAsia="en-US"/>
        </w:rPr>
        <w:t>Mjek</w:t>
      </w:r>
      <w:r w:rsidR="00D424A4" w:rsidRPr="00B907A3">
        <w:rPr>
          <w:rFonts w:ascii="Garamond" w:hAnsi="Garamond"/>
          <w:w w:val="105"/>
          <w:sz w:val="24"/>
          <w:lang w:eastAsia="en-US"/>
        </w:rPr>
        <w:t xml:space="preserve">ësore </w:t>
      </w:r>
      <w:r w:rsidR="001E5ACA" w:rsidRPr="00B907A3">
        <w:rPr>
          <w:rFonts w:ascii="Garamond" w:hAnsi="Garamond"/>
          <w:sz w:val="24"/>
          <w:lang w:eastAsia="en-US"/>
        </w:rPr>
        <w:t>(</w:t>
      </w:r>
      <w:r w:rsidR="00D424A4" w:rsidRPr="00B907A3">
        <w:rPr>
          <w:rFonts w:ascii="Garamond" w:hAnsi="Garamond"/>
          <w:sz w:val="24"/>
          <w:lang w:eastAsia="en-US"/>
        </w:rPr>
        <w:t>QKUM</w:t>
      </w:r>
      <w:r w:rsidR="001E5ACA" w:rsidRPr="00B907A3">
        <w:rPr>
          <w:rFonts w:ascii="Garamond" w:hAnsi="Garamond"/>
          <w:sz w:val="24"/>
          <w:lang w:eastAsia="en-US"/>
        </w:rPr>
        <w:t>) dhe Reagimi ndaj Emergjencave në Shqipëri 127</w:t>
      </w:r>
      <w:r w:rsidR="003251A1" w:rsidRPr="00B907A3">
        <w:rPr>
          <w:rFonts w:ascii="Garamond" w:hAnsi="Garamond"/>
          <w:sz w:val="24"/>
          <w:lang w:eastAsia="en-US"/>
        </w:rPr>
        <w:t>);</w:t>
      </w:r>
    </w:p>
    <w:p w14:paraId="4D4021C0" w14:textId="01E4D52A"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93634B" w:rsidRPr="00B907A3">
        <w:rPr>
          <w:rFonts w:ascii="Garamond" w:hAnsi="Garamond"/>
          <w:sz w:val="24"/>
          <w:lang w:eastAsia="en-US"/>
        </w:rPr>
        <w:t>Ministri</w:t>
      </w:r>
      <w:r w:rsidR="00F749AC" w:rsidRPr="00B907A3">
        <w:rPr>
          <w:rFonts w:ascii="Garamond" w:hAnsi="Garamond"/>
          <w:sz w:val="24"/>
          <w:lang w:eastAsia="en-US"/>
        </w:rPr>
        <w:t>në</w:t>
      </w:r>
      <w:r w:rsidR="0093634B" w:rsidRPr="00B907A3">
        <w:rPr>
          <w:rFonts w:ascii="Garamond" w:hAnsi="Garamond"/>
          <w:sz w:val="24"/>
          <w:lang w:eastAsia="en-US"/>
        </w:rPr>
        <w:t xml:space="preserve"> e Arsimit me </w:t>
      </w:r>
      <w:r w:rsidR="00D424A4" w:rsidRPr="00B907A3">
        <w:rPr>
          <w:rFonts w:ascii="Garamond" w:hAnsi="Garamond"/>
          <w:sz w:val="24"/>
          <w:lang w:eastAsia="en-US"/>
        </w:rPr>
        <w:t xml:space="preserve">institucionet e </w:t>
      </w:r>
      <w:r w:rsidR="0093634B" w:rsidRPr="00B907A3">
        <w:rPr>
          <w:rFonts w:ascii="Garamond" w:hAnsi="Garamond"/>
          <w:sz w:val="24"/>
          <w:lang w:eastAsia="en-US"/>
        </w:rPr>
        <w:t xml:space="preserve">saj </w:t>
      </w:r>
      <w:r w:rsidR="00D424A4" w:rsidRPr="00B907A3">
        <w:rPr>
          <w:rFonts w:ascii="Garamond" w:hAnsi="Garamond"/>
          <w:sz w:val="24"/>
          <w:lang w:eastAsia="en-US"/>
        </w:rPr>
        <w:t>t</w:t>
      </w:r>
      <w:r w:rsidR="00D424A4" w:rsidRPr="00B907A3">
        <w:rPr>
          <w:rFonts w:ascii="Garamond" w:hAnsi="Garamond"/>
          <w:w w:val="105"/>
          <w:sz w:val="24"/>
          <w:lang w:eastAsia="en-US"/>
        </w:rPr>
        <w:t xml:space="preserve">ë </w:t>
      </w:r>
      <w:r w:rsidR="0093634B" w:rsidRPr="00B907A3">
        <w:rPr>
          <w:rFonts w:ascii="Garamond" w:hAnsi="Garamond"/>
          <w:sz w:val="24"/>
          <w:lang w:eastAsia="en-US"/>
        </w:rPr>
        <w:t>var</w:t>
      </w:r>
      <w:r w:rsidR="00D424A4" w:rsidRPr="00B907A3">
        <w:rPr>
          <w:rFonts w:ascii="Garamond" w:hAnsi="Garamond"/>
          <w:w w:val="105"/>
          <w:sz w:val="24"/>
          <w:lang w:eastAsia="en-US"/>
        </w:rPr>
        <w:t xml:space="preserve">ësisë </w:t>
      </w:r>
      <w:r w:rsidR="0093634B" w:rsidRPr="00B907A3">
        <w:rPr>
          <w:rFonts w:ascii="Garamond" w:hAnsi="Garamond"/>
          <w:sz w:val="24"/>
          <w:lang w:eastAsia="en-US"/>
        </w:rPr>
        <w:t>(AS</w:t>
      </w:r>
      <w:r w:rsidR="00D424A4" w:rsidRPr="00B907A3">
        <w:rPr>
          <w:rFonts w:ascii="Garamond" w:hAnsi="Garamond"/>
          <w:sz w:val="24"/>
          <w:lang w:eastAsia="en-US"/>
        </w:rPr>
        <w:t>CAP</w:t>
      </w:r>
      <w:r w:rsidR="0093634B" w:rsidRPr="00B907A3">
        <w:rPr>
          <w:rFonts w:ascii="Garamond" w:hAnsi="Garamond"/>
          <w:sz w:val="24"/>
          <w:lang w:eastAsia="en-US"/>
        </w:rPr>
        <w:t xml:space="preserve"> – Agjencia </w:t>
      </w:r>
      <w:r w:rsidR="00D424A4" w:rsidRPr="00B907A3">
        <w:rPr>
          <w:rFonts w:ascii="Garamond" w:hAnsi="Garamond"/>
          <w:sz w:val="24"/>
          <w:lang w:eastAsia="en-US"/>
        </w:rPr>
        <w:t>e</w:t>
      </w:r>
      <w:r w:rsidR="00887CC6">
        <w:rPr>
          <w:rFonts w:ascii="Garamond" w:hAnsi="Garamond"/>
          <w:sz w:val="24"/>
          <w:lang w:eastAsia="en-US"/>
        </w:rPr>
        <w:t xml:space="preserve"> </w:t>
      </w:r>
      <w:r w:rsidR="0093634B" w:rsidRPr="00B907A3">
        <w:rPr>
          <w:rFonts w:ascii="Garamond" w:hAnsi="Garamond"/>
          <w:sz w:val="24"/>
          <w:lang w:eastAsia="en-US"/>
        </w:rPr>
        <w:t xml:space="preserve">Sigurimin e Cilësisë </w:t>
      </w:r>
      <w:r w:rsidR="00D424A4" w:rsidRPr="00B907A3">
        <w:rPr>
          <w:rFonts w:ascii="Garamond" w:hAnsi="Garamond"/>
          <w:sz w:val="24"/>
          <w:lang w:eastAsia="en-US"/>
        </w:rPr>
        <w:t xml:space="preserve">së </w:t>
      </w:r>
      <w:r w:rsidR="0093634B" w:rsidRPr="00B907A3">
        <w:rPr>
          <w:rFonts w:ascii="Garamond" w:hAnsi="Garamond"/>
          <w:sz w:val="24"/>
          <w:lang w:eastAsia="en-US"/>
        </w:rPr>
        <w:t>Arsimi</w:t>
      </w:r>
      <w:r w:rsidR="00D424A4" w:rsidRPr="00B907A3">
        <w:rPr>
          <w:rFonts w:ascii="Garamond" w:hAnsi="Garamond"/>
          <w:sz w:val="24"/>
          <w:lang w:eastAsia="en-US"/>
        </w:rPr>
        <w:t>t</w:t>
      </w:r>
      <w:r w:rsidR="0093634B" w:rsidRPr="00B907A3">
        <w:rPr>
          <w:rFonts w:ascii="Garamond" w:hAnsi="Garamond"/>
          <w:sz w:val="24"/>
          <w:lang w:eastAsia="en-US"/>
        </w:rPr>
        <w:t xml:space="preserve"> Parauniversitar dhe Qendra </w:t>
      </w:r>
      <w:r w:rsidR="00BD7406" w:rsidRPr="00B907A3">
        <w:rPr>
          <w:rFonts w:ascii="Garamond" w:hAnsi="Garamond"/>
          <w:sz w:val="24"/>
          <w:lang w:eastAsia="en-US"/>
        </w:rPr>
        <w:t xml:space="preserve">e </w:t>
      </w:r>
      <w:r w:rsidR="0093634B" w:rsidRPr="00B907A3">
        <w:rPr>
          <w:rFonts w:ascii="Garamond" w:hAnsi="Garamond"/>
          <w:sz w:val="24"/>
          <w:lang w:eastAsia="en-US"/>
        </w:rPr>
        <w:t>Shërbime</w:t>
      </w:r>
      <w:r w:rsidR="00BD7406" w:rsidRPr="00B907A3">
        <w:rPr>
          <w:rFonts w:ascii="Garamond" w:hAnsi="Garamond"/>
          <w:sz w:val="24"/>
          <w:lang w:eastAsia="en-US"/>
        </w:rPr>
        <w:t>ve</w:t>
      </w:r>
      <w:r w:rsidR="0093634B" w:rsidRPr="00B907A3">
        <w:rPr>
          <w:rFonts w:ascii="Garamond" w:hAnsi="Garamond"/>
          <w:sz w:val="24"/>
          <w:lang w:eastAsia="en-US"/>
        </w:rPr>
        <w:t xml:space="preserve"> Arsimore</w:t>
      </w:r>
      <w:r w:rsidR="003251A1" w:rsidRPr="00B907A3">
        <w:rPr>
          <w:rFonts w:ascii="Garamond" w:hAnsi="Garamond"/>
          <w:sz w:val="24"/>
          <w:lang w:eastAsia="en-US"/>
        </w:rPr>
        <w:t>);</w:t>
      </w:r>
    </w:p>
    <w:p w14:paraId="305B9CF7" w14:textId="4FC7507C"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 xml:space="preserve">Bashkitë (Policia Bashkiake, </w:t>
      </w:r>
      <w:r w:rsidR="0027393D" w:rsidRPr="00B907A3">
        <w:rPr>
          <w:rFonts w:ascii="Garamond" w:hAnsi="Garamond"/>
          <w:sz w:val="24"/>
          <w:lang w:eastAsia="en-US"/>
        </w:rPr>
        <w:t xml:space="preserve">strukturat e </w:t>
      </w:r>
      <w:r w:rsidR="001E5ACA" w:rsidRPr="00B907A3">
        <w:rPr>
          <w:rFonts w:ascii="Garamond" w:hAnsi="Garamond"/>
          <w:sz w:val="24"/>
          <w:lang w:eastAsia="en-US"/>
        </w:rPr>
        <w:t xml:space="preserve">rrugëve dhe </w:t>
      </w:r>
      <w:r w:rsidR="0027393D" w:rsidRPr="00B907A3">
        <w:rPr>
          <w:rFonts w:ascii="Garamond" w:hAnsi="Garamond"/>
          <w:sz w:val="24"/>
          <w:lang w:eastAsia="en-US"/>
        </w:rPr>
        <w:t>qarkullimit</w:t>
      </w:r>
      <w:r w:rsidR="001E5ACA" w:rsidRPr="00B907A3">
        <w:rPr>
          <w:rFonts w:ascii="Garamond" w:hAnsi="Garamond"/>
          <w:sz w:val="24"/>
          <w:lang w:eastAsia="en-US"/>
        </w:rPr>
        <w:t xml:space="preserve">, </w:t>
      </w:r>
      <w:r w:rsidR="0027393D" w:rsidRPr="00B907A3">
        <w:rPr>
          <w:rFonts w:ascii="Garamond" w:hAnsi="Garamond"/>
          <w:sz w:val="24"/>
          <w:lang w:eastAsia="en-US"/>
        </w:rPr>
        <w:t xml:space="preserve">strukturat e </w:t>
      </w:r>
      <w:r w:rsidR="001E5ACA" w:rsidRPr="00B907A3">
        <w:rPr>
          <w:rFonts w:ascii="Garamond" w:hAnsi="Garamond"/>
          <w:sz w:val="24"/>
          <w:lang w:eastAsia="en-US"/>
        </w:rPr>
        <w:t xml:space="preserve">planifikimit urban dhe </w:t>
      </w:r>
      <w:r w:rsidR="0027393D" w:rsidRPr="00B907A3">
        <w:rPr>
          <w:rFonts w:ascii="Garamond" w:hAnsi="Garamond"/>
          <w:sz w:val="24"/>
          <w:lang w:eastAsia="en-US"/>
        </w:rPr>
        <w:t>ato t</w:t>
      </w:r>
      <w:r w:rsidR="0027393D" w:rsidRPr="00B907A3">
        <w:rPr>
          <w:rFonts w:ascii="Garamond" w:hAnsi="Garamond"/>
          <w:w w:val="105"/>
          <w:sz w:val="24"/>
          <w:lang w:eastAsia="en-US"/>
        </w:rPr>
        <w:t xml:space="preserve">ë </w:t>
      </w:r>
      <w:r w:rsidR="001E5ACA" w:rsidRPr="00B907A3">
        <w:rPr>
          <w:rFonts w:ascii="Garamond" w:hAnsi="Garamond"/>
          <w:sz w:val="24"/>
          <w:lang w:eastAsia="en-US"/>
        </w:rPr>
        <w:t>transportit urban, etj</w:t>
      </w:r>
      <w:r w:rsidR="003251A1" w:rsidRPr="00B907A3">
        <w:rPr>
          <w:rFonts w:ascii="Garamond" w:hAnsi="Garamond"/>
          <w:sz w:val="24"/>
          <w:lang w:eastAsia="en-US"/>
        </w:rPr>
        <w:t>.);</w:t>
      </w:r>
    </w:p>
    <w:p w14:paraId="45A17DE1" w14:textId="2C6779A4"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Akademinë (universitete dhe fakultete të ndryshme</w:t>
      </w:r>
      <w:r w:rsidR="003251A1" w:rsidRPr="00B907A3">
        <w:rPr>
          <w:rFonts w:ascii="Garamond" w:hAnsi="Garamond"/>
          <w:sz w:val="24"/>
          <w:lang w:eastAsia="en-US"/>
        </w:rPr>
        <w:t>);</w:t>
      </w:r>
    </w:p>
    <w:p w14:paraId="5F670BE2" w14:textId="24D64E8E"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Shoqata profesionale (një numër organizatash profesionale në fusha të ndryshme që lidhen me transportin rrugor, sigurinë rrugore dhe të drejtat e pasagjerëve/përdoruesve</w:t>
      </w:r>
      <w:r w:rsidR="003251A1" w:rsidRPr="00B907A3">
        <w:rPr>
          <w:rFonts w:ascii="Garamond" w:hAnsi="Garamond"/>
          <w:sz w:val="24"/>
          <w:lang w:eastAsia="en-US"/>
        </w:rPr>
        <w:t>);</w:t>
      </w:r>
    </w:p>
    <w:p w14:paraId="0F3FD391" w14:textId="682D16F3"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Sektori</w:t>
      </w:r>
      <w:r w:rsidR="00BD7406" w:rsidRPr="00B907A3">
        <w:rPr>
          <w:rFonts w:ascii="Garamond" w:hAnsi="Garamond"/>
          <w:sz w:val="24"/>
          <w:lang w:eastAsia="en-US"/>
        </w:rPr>
        <w:t>n</w:t>
      </w:r>
      <w:r w:rsidR="001E5ACA" w:rsidRPr="00B907A3">
        <w:rPr>
          <w:rFonts w:ascii="Garamond" w:hAnsi="Garamond"/>
          <w:sz w:val="24"/>
          <w:lang w:eastAsia="en-US"/>
        </w:rPr>
        <w:t xml:space="preserve"> Privat (Shoqata e Kompanive të Sigurimeve të Shqipërisë); dhe</w:t>
      </w:r>
    </w:p>
    <w:p w14:paraId="1EA41BD3" w14:textId="34457883"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1E5ACA" w:rsidRPr="00B907A3">
        <w:rPr>
          <w:rFonts w:ascii="Garamond" w:hAnsi="Garamond"/>
          <w:sz w:val="24"/>
          <w:lang w:eastAsia="en-US"/>
        </w:rPr>
        <w:t>Shoqëria Civile (OJF të ndryshme</w:t>
      </w:r>
      <w:r w:rsidR="003251A1" w:rsidRPr="00B907A3">
        <w:rPr>
          <w:rFonts w:ascii="Garamond" w:hAnsi="Garamond"/>
          <w:sz w:val="24"/>
          <w:lang w:eastAsia="en-US"/>
        </w:rPr>
        <w:t>).</w:t>
      </w:r>
    </w:p>
    <w:p w14:paraId="18CC1F55" w14:textId="7FE11574" w:rsidR="003251A1" w:rsidRPr="00B907A3" w:rsidRDefault="001E5ACA" w:rsidP="008C4E07">
      <w:pPr>
        <w:spacing w:after="0"/>
        <w:ind w:firstLine="284"/>
        <w:rPr>
          <w:rFonts w:ascii="Garamond" w:hAnsi="Garamond"/>
          <w:sz w:val="24"/>
          <w:lang w:eastAsia="en-US"/>
        </w:rPr>
      </w:pPr>
      <w:r w:rsidRPr="00B907A3">
        <w:rPr>
          <w:rFonts w:ascii="Garamond" w:hAnsi="Garamond"/>
          <w:sz w:val="24"/>
          <w:lang w:eastAsia="en-US"/>
        </w:rPr>
        <w:t xml:space="preserve">Secili prej institucioneve të specifikuara më sipër ka vendin e vet në sistemin </w:t>
      </w:r>
      <w:r w:rsidR="00EF5DD9" w:rsidRPr="00B907A3">
        <w:rPr>
          <w:rFonts w:ascii="Garamond" w:hAnsi="Garamond"/>
          <w:sz w:val="24"/>
          <w:lang w:eastAsia="en-US"/>
        </w:rPr>
        <w:t>MSR</w:t>
      </w:r>
      <w:r w:rsidR="001C2461" w:rsidRPr="00B907A3">
        <w:rPr>
          <w:rFonts w:ascii="Garamond" w:hAnsi="Garamond"/>
          <w:sz w:val="24"/>
          <w:lang w:eastAsia="en-US"/>
        </w:rPr>
        <w:t>r</w:t>
      </w:r>
      <w:r w:rsidRPr="00B907A3">
        <w:rPr>
          <w:rFonts w:ascii="Garamond" w:hAnsi="Garamond"/>
          <w:sz w:val="24"/>
          <w:lang w:eastAsia="en-US"/>
        </w:rPr>
        <w:t>, megjithatë, duke marrë parasysh vizion</w:t>
      </w:r>
      <w:r w:rsidR="00BD7406" w:rsidRPr="00B907A3">
        <w:rPr>
          <w:rFonts w:ascii="Garamond" w:hAnsi="Garamond"/>
          <w:sz w:val="24"/>
          <w:lang w:eastAsia="en-US"/>
        </w:rPr>
        <w:t>in</w:t>
      </w:r>
      <w:r w:rsidRPr="00B907A3">
        <w:rPr>
          <w:rFonts w:ascii="Garamond" w:hAnsi="Garamond"/>
          <w:sz w:val="24"/>
          <w:lang w:eastAsia="en-US"/>
        </w:rPr>
        <w:t xml:space="preserve"> dhe </w:t>
      </w:r>
      <w:r w:rsidR="00BD7406" w:rsidRPr="00B907A3">
        <w:rPr>
          <w:rFonts w:ascii="Garamond" w:hAnsi="Garamond"/>
          <w:sz w:val="24"/>
          <w:lang w:eastAsia="en-US"/>
        </w:rPr>
        <w:t xml:space="preserve">objektivat </w:t>
      </w:r>
      <w:r w:rsidRPr="00B907A3">
        <w:rPr>
          <w:rFonts w:ascii="Garamond" w:hAnsi="Garamond"/>
          <w:sz w:val="24"/>
          <w:lang w:eastAsia="en-US"/>
        </w:rPr>
        <w:t xml:space="preserve">shumë ambicioze të </w:t>
      </w:r>
      <w:r w:rsidR="005B413A" w:rsidRPr="00B907A3">
        <w:rPr>
          <w:rFonts w:ascii="Garamond" w:hAnsi="Garamond"/>
          <w:sz w:val="24"/>
          <w:lang w:eastAsia="en-US"/>
        </w:rPr>
        <w:t>SS</w:t>
      </w:r>
      <w:r w:rsidR="00BD7406" w:rsidRPr="00B907A3">
        <w:rPr>
          <w:rFonts w:ascii="Garamond" w:hAnsi="Garamond"/>
          <w:sz w:val="24"/>
          <w:lang w:eastAsia="en-US"/>
        </w:rPr>
        <w:t>R</w:t>
      </w:r>
      <w:r w:rsidR="00D6173F" w:rsidRPr="00B907A3">
        <w:rPr>
          <w:rFonts w:ascii="Garamond" w:hAnsi="Garamond"/>
          <w:sz w:val="24"/>
          <w:lang w:eastAsia="en-US"/>
        </w:rPr>
        <w:t>r</w:t>
      </w:r>
      <w:r w:rsidRPr="00B907A3">
        <w:rPr>
          <w:rFonts w:ascii="Garamond" w:hAnsi="Garamond"/>
          <w:sz w:val="24"/>
          <w:lang w:eastAsia="en-US"/>
        </w:rPr>
        <w:t xml:space="preserve">, kapacitetet e këtyre institucioneve duhet të përmirësohen në mënyrë që të përshtaten me praktikat më të mira </w:t>
      </w:r>
      <w:r w:rsidR="00BD7406" w:rsidRPr="00B907A3">
        <w:rPr>
          <w:rFonts w:ascii="Garamond" w:hAnsi="Garamond"/>
          <w:sz w:val="24"/>
          <w:lang w:eastAsia="en-US"/>
        </w:rPr>
        <w:t>p</w:t>
      </w:r>
      <w:r w:rsidRPr="00B907A3">
        <w:rPr>
          <w:rFonts w:ascii="Garamond" w:hAnsi="Garamond"/>
          <w:sz w:val="24"/>
          <w:lang w:eastAsia="en-US"/>
        </w:rPr>
        <w:t>ë</w:t>
      </w:r>
      <w:r w:rsidR="00BD7406" w:rsidRPr="00B907A3">
        <w:rPr>
          <w:rFonts w:ascii="Garamond" w:hAnsi="Garamond"/>
          <w:sz w:val="24"/>
          <w:lang w:eastAsia="en-US"/>
        </w:rPr>
        <w:t>r</w:t>
      </w:r>
      <w:r w:rsidRPr="00B907A3">
        <w:rPr>
          <w:rFonts w:ascii="Garamond" w:hAnsi="Garamond"/>
          <w:sz w:val="24"/>
          <w:lang w:eastAsia="en-US"/>
        </w:rPr>
        <w:t xml:space="preserve"> sigurinë rrugore në mënyrat e propozuara më poshtë</w:t>
      </w:r>
      <w:r w:rsidR="003251A1" w:rsidRPr="00B907A3">
        <w:rPr>
          <w:rFonts w:ascii="Garamond" w:hAnsi="Garamond"/>
          <w:sz w:val="24"/>
          <w:lang w:eastAsia="en-US"/>
        </w:rPr>
        <w:t>:</w:t>
      </w:r>
      <w:r w:rsidR="00BD7406" w:rsidRPr="00B907A3">
        <w:rPr>
          <w:rFonts w:ascii="Garamond" w:hAnsi="Garamond"/>
          <w:sz w:val="24"/>
          <w:lang w:eastAsia="en-US"/>
        </w:rPr>
        <w:t xml:space="preserve"> </w:t>
      </w:r>
    </w:p>
    <w:p w14:paraId="69DAC3C3" w14:textId="2AE5283D"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 xml:space="preserve">Ministria e Infrastrukturës dhe Energjisë me </w:t>
      </w:r>
      <w:r w:rsidR="00BD7406" w:rsidRPr="00B907A3">
        <w:rPr>
          <w:rFonts w:ascii="Garamond" w:hAnsi="Garamond"/>
          <w:sz w:val="24"/>
          <w:lang w:eastAsia="en-US"/>
        </w:rPr>
        <w:t>institucionet e saj t</w:t>
      </w:r>
      <w:r w:rsidR="00BD7406" w:rsidRPr="00B907A3">
        <w:rPr>
          <w:rFonts w:ascii="Garamond" w:hAnsi="Garamond"/>
          <w:w w:val="105"/>
          <w:sz w:val="24"/>
          <w:lang w:eastAsia="en-US"/>
        </w:rPr>
        <w:t>ë varësisë</w:t>
      </w:r>
      <w:r w:rsidR="00D8032C" w:rsidRPr="00B907A3">
        <w:rPr>
          <w:rFonts w:ascii="Garamond" w:hAnsi="Garamond"/>
          <w:sz w:val="24"/>
          <w:lang w:eastAsia="en-US"/>
        </w:rPr>
        <w:t>: ekziston një nevojë e fortë për të forcuar qeverisjen e sigurisë rrugore të Ministrisë së I</w:t>
      </w:r>
      <w:r w:rsidR="00431B7E" w:rsidRPr="00B907A3">
        <w:rPr>
          <w:rFonts w:ascii="Garamond" w:hAnsi="Garamond"/>
          <w:sz w:val="24"/>
          <w:lang w:eastAsia="en-US"/>
        </w:rPr>
        <w:t>nfrastruktur</w:t>
      </w:r>
      <w:r w:rsidR="00431B7E" w:rsidRPr="00B907A3">
        <w:rPr>
          <w:rFonts w:ascii="Garamond" w:hAnsi="Garamond"/>
          <w:w w:val="105"/>
          <w:sz w:val="24"/>
          <w:lang w:eastAsia="en-US"/>
        </w:rPr>
        <w:t xml:space="preserve">ës dhe Energjisë </w:t>
      </w:r>
      <w:r w:rsidR="00D8032C" w:rsidRPr="00B907A3">
        <w:rPr>
          <w:rFonts w:ascii="Garamond" w:hAnsi="Garamond"/>
          <w:sz w:val="24"/>
          <w:lang w:eastAsia="en-US"/>
        </w:rPr>
        <w:t xml:space="preserve">(MIE) duke </w:t>
      </w:r>
      <w:r w:rsidR="004130DA" w:rsidRPr="00B907A3">
        <w:rPr>
          <w:rFonts w:ascii="Garamond" w:hAnsi="Garamond"/>
          <w:sz w:val="24"/>
          <w:lang w:eastAsia="en-US"/>
        </w:rPr>
        <w:t>përmirësuar</w:t>
      </w:r>
      <w:r w:rsidR="00D8032C" w:rsidRPr="00B907A3">
        <w:rPr>
          <w:rFonts w:ascii="Garamond" w:hAnsi="Garamond"/>
          <w:sz w:val="24"/>
          <w:lang w:eastAsia="en-US"/>
        </w:rPr>
        <w:t xml:space="preserve"> funksionet e sigurisë rrugore të një agjencie kryesore të sigurisë rrugore </w:t>
      </w:r>
      <w:r w:rsidR="001C73A4" w:rsidRPr="00B907A3">
        <w:rPr>
          <w:rFonts w:ascii="Garamond" w:hAnsi="Garamond"/>
          <w:sz w:val="24"/>
          <w:lang w:eastAsia="en-US"/>
        </w:rPr>
        <w:t>si:</w:t>
      </w:r>
      <w:r w:rsidR="00D8032C" w:rsidRPr="00B907A3">
        <w:rPr>
          <w:rFonts w:ascii="Garamond" w:hAnsi="Garamond"/>
          <w:sz w:val="24"/>
          <w:lang w:eastAsia="en-US"/>
        </w:rPr>
        <w:t xml:space="preserve"> </w:t>
      </w:r>
      <w:r w:rsidR="0048688B" w:rsidRPr="00B907A3">
        <w:rPr>
          <w:rFonts w:ascii="Garamond" w:hAnsi="Garamond"/>
          <w:sz w:val="24"/>
          <w:lang w:eastAsia="en-US"/>
        </w:rPr>
        <w:t xml:space="preserve">DPSHTRR, </w:t>
      </w:r>
      <w:r w:rsidR="00D8032C" w:rsidRPr="00B907A3">
        <w:rPr>
          <w:rFonts w:ascii="Garamond" w:hAnsi="Garamond"/>
          <w:sz w:val="24"/>
          <w:lang w:eastAsia="en-US"/>
        </w:rPr>
        <w:t>si dhe duke përmirësuar performancën e I</w:t>
      </w:r>
      <w:r w:rsidR="00431B7E" w:rsidRPr="00B907A3">
        <w:rPr>
          <w:rFonts w:ascii="Garamond" w:hAnsi="Garamond"/>
          <w:sz w:val="24"/>
          <w:lang w:eastAsia="en-US"/>
        </w:rPr>
        <w:t>nstitutit t</w:t>
      </w:r>
      <w:r w:rsidR="00431B7E" w:rsidRPr="00B907A3">
        <w:rPr>
          <w:rFonts w:ascii="Garamond" w:hAnsi="Garamond"/>
          <w:w w:val="105"/>
          <w:sz w:val="24"/>
          <w:lang w:eastAsia="en-US"/>
        </w:rPr>
        <w:t>ë Transportit (IT)</w:t>
      </w:r>
      <w:r w:rsidR="003251A1" w:rsidRPr="00B907A3">
        <w:rPr>
          <w:rFonts w:ascii="Garamond" w:hAnsi="Garamond"/>
          <w:sz w:val="24"/>
          <w:lang w:eastAsia="en-US"/>
        </w:rPr>
        <w:t>;</w:t>
      </w:r>
    </w:p>
    <w:p w14:paraId="0894FF69" w14:textId="1EB54357" w:rsidR="003251A1" w:rsidRPr="00B907A3" w:rsidRDefault="00A03CA0" w:rsidP="008C4E07">
      <w:pPr>
        <w:pStyle w:val="ListParagraph"/>
        <w:ind w:left="0" w:firstLine="284"/>
        <w:contextualSpacing/>
        <w:jc w:val="both"/>
        <w:rPr>
          <w:rFonts w:ascii="Garamond" w:hAnsi="Garamond"/>
          <w:sz w:val="24"/>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 xml:space="preserve">Ministria e </w:t>
      </w:r>
      <w:r w:rsidR="0046458F" w:rsidRPr="00B907A3">
        <w:rPr>
          <w:rFonts w:ascii="Garamond" w:hAnsi="Garamond"/>
          <w:sz w:val="24"/>
          <w:lang w:eastAsia="en-US"/>
        </w:rPr>
        <w:t xml:space="preserve">Punëve të </w:t>
      </w:r>
      <w:r w:rsidR="00D8032C" w:rsidRPr="00B907A3">
        <w:rPr>
          <w:rFonts w:ascii="Garamond" w:hAnsi="Garamond"/>
          <w:sz w:val="24"/>
          <w:lang w:eastAsia="en-US"/>
        </w:rPr>
        <w:t xml:space="preserve">Brendshme me </w:t>
      </w:r>
      <w:r w:rsidR="00431B7E" w:rsidRPr="00B907A3">
        <w:rPr>
          <w:rFonts w:ascii="Garamond" w:hAnsi="Garamond"/>
          <w:sz w:val="24"/>
          <w:lang w:eastAsia="en-US"/>
        </w:rPr>
        <w:t>institucionet e saj t</w:t>
      </w:r>
      <w:r w:rsidR="00431B7E" w:rsidRPr="00B907A3">
        <w:rPr>
          <w:rFonts w:ascii="Garamond" w:hAnsi="Garamond"/>
          <w:w w:val="105"/>
          <w:sz w:val="24"/>
          <w:lang w:eastAsia="en-US"/>
        </w:rPr>
        <w:t>ë varësisë</w:t>
      </w:r>
      <w:r w:rsidR="00D8032C" w:rsidRPr="00B907A3">
        <w:rPr>
          <w:rFonts w:ascii="Garamond" w:hAnsi="Garamond"/>
          <w:sz w:val="24"/>
          <w:lang w:eastAsia="en-US"/>
        </w:rPr>
        <w:t xml:space="preserve">: </w:t>
      </w:r>
      <w:r w:rsidR="00431B7E" w:rsidRPr="00B907A3">
        <w:rPr>
          <w:rFonts w:ascii="Garamond" w:hAnsi="Garamond"/>
          <w:sz w:val="24"/>
          <w:lang w:eastAsia="en-US"/>
        </w:rPr>
        <w:t>data</w:t>
      </w:r>
      <w:r w:rsidR="00D8032C" w:rsidRPr="00B907A3">
        <w:rPr>
          <w:rFonts w:ascii="Garamond" w:hAnsi="Garamond"/>
          <w:sz w:val="24"/>
          <w:lang w:eastAsia="en-US"/>
        </w:rPr>
        <w:t xml:space="preserve">baza </w:t>
      </w:r>
      <w:r w:rsidR="00431B7E" w:rsidRPr="00B907A3">
        <w:rPr>
          <w:rFonts w:ascii="Garamond" w:hAnsi="Garamond"/>
          <w:sz w:val="24"/>
          <w:lang w:eastAsia="en-US"/>
        </w:rPr>
        <w:t xml:space="preserve">aktuale e </w:t>
      </w:r>
      <w:r w:rsidR="00D8032C" w:rsidRPr="00B907A3">
        <w:rPr>
          <w:rFonts w:ascii="Garamond" w:hAnsi="Garamond"/>
          <w:sz w:val="24"/>
          <w:lang w:eastAsia="en-US"/>
        </w:rPr>
        <w:t>aksidenteve duhet të përmirësohet (në thelb dhe në aspektin teknologjik) dhe Polici</w:t>
      </w:r>
      <w:r w:rsidR="001C73A4" w:rsidRPr="00B907A3">
        <w:rPr>
          <w:rFonts w:ascii="Garamond" w:hAnsi="Garamond"/>
          <w:sz w:val="24"/>
          <w:lang w:eastAsia="en-US"/>
        </w:rPr>
        <w:t>a</w:t>
      </w:r>
      <w:r w:rsidR="00D8032C" w:rsidRPr="00B907A3">
        <w:rPr>
          <w:rFonts w:ascii="Garamond" w:hAnsi="Garamond"/>
          <w:sz w:val="24"/>
          <w:lang w:eastAsia="en-US"/>
        </w:rPr>
        <w:t xml:space="preserve"> Rrugore duhet të trajnohet </w:t>
      </w:r>
      <w:r w:rsidR="00431B7E" w:rsidRPr="00B907A3">
        <w:rPr>
          <w:rFonts w:ascii="Garamond" w:hAnsi="Garamond"/>
          <w:sz w:val="24"/>
          <w:lang w:eastAsia="en-US"/>
        </w:rPr>
        <w:t xml:space="preserve">mbi </w:t>
      </w:r>
      <w:r w:rsidR="00D8032C" w:rsidRPr="00B907A3">
        <w:rPr>
          <w:rFonts w:ascii="Garamond" w:hAnsi="Garamond"/>
          <w:sz w:val="24"/>
          <w:lang w:eastAsia="en-US"/>
        </w:rPr>
        <w:t>përdorimin e saj</w:t>
      </w:r>
      <w:r w:rsidR="003251A1" w:rsidRPr="00B907A3">
        <w:rPr>
          <w:rFonts w:ascii="Garamond" w:hAnsi="Garamond"/>
          <w:sz w:val="24"/>
          <w:lang w:eastAsia="en-US"/>
        </w:rPr>
        <w:t>.</w:t>
      </w:r>
    </w:p>
    <w:p w14:paraId="57172461" w14:textId="22A732F0"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 xml:space="preserve">Ministria e Shëndetësisë dhe </w:t>
      </w:r>
      <w:r w:rsidR="007951BD" w:rsidRPr="00B907A3">
        <w:rPr>
          <w:rFonts w:ascii="Garamond" w:hAnsi="Garamond"/>
          <w:sz w:val="24"/>
          <w:lang w:eastAsia="en-US"/>
        </w:rPr>
        <w:t>Mirëqenies</w:t>
      </w:r>
      <w:r w:rsidR="00D8032C" w:rsidRPr="00B907A3">
        <w:rPr>
          <w:rFonts w:ascii="Garamond" w:hAnsi="Garamond"/>
          <w:sz w:val="24"/>
          <w:lang w:eastAsia="en-US"/>
        </w:rPr>
        <w:t xml:space="preserve"> Sociale me</w:t>
      </w:r>
      <w:r w:rsidR="00431B7E" w:rsidRPr="00B907A3">
        <w:rPr>
          <w:rFonts w:ascii="Garamond" w:hAnsi="Garamond"/>
          <w:sz w:val="24"/>
          <w:lang w:eastAsia="en-US"/>
        </w:rPr>
        <w:t xml:space="preserve"> institucionet e saj t</w:t>
      </w:r>
      <w:r w:rsidR="00431B7E" w:rsidRPr="00B907A3">
        <w:rPr>
          <w:rFonts w:ascii="Garamond" w:hAnsi="Garamond"/>
          <w:w w:val="105"/>
          <w:sz w:val="24"/>
          <w:lang w:eastAsia="en-US"/>
        </w:rPr>
        <w:t>ë varësisë</w:t>
      </w:r>
      <w:r w:rsidR="00D8032C" w:rsidRPr="00B907A3">
        <w:rPr>
          <w:rFonts w:ascii="Garamond" w:hAnsi="Garamond"/>
          <w:sz w:val="24"/>
          <w:lang w:eastAsia="en-US"/>
        </w:rPr>
        <w:t xml:space="preserve">: sektori i shëndetësisë ka nevojë për përmirësimin e sistemit të informacionit spitalor në lidhje me aksidentet dhe lidhje më të mirë me </w:t>
      </w:r>
      <w:r w:rsidR="00431B7E" w:rsidRPr="00B907A3">
        <w:rPr>
          <w:rFonts w:ascii="Garamond" w:hAnsi="Garamond"/>
          <w:sz w:val="24"/>
          <w:lang w:eastAsia="en-US"/>
        </w:rPr>
        <w:t>data</w:t>
      </w:r>
      <w:r w:rsidR="00D8032C" w:rsidRPr="00B907A3">
        <w:rPr>
          <w:rFonts w:ascii="Garamond" w:hAnsi="Garamond"/>
          <w:sz w:val="24"/>
          <w:lang w:eastAsia="en-US"/>
        </w:rPr>
        <w:t xml:space="preserve">bazën e Ministrisë së </w:t>
      </w:r>
      <w:r w:rsidR="00251F56" w:rsidRPr="00B907A3">
        <w:rPr>
          <w:rFonts w:ascii="Garamond" w:hAnsi="Garamond"/>
          <w:sz w:val="24"/>
          <w:lang w:eastAsia="en-US"/>
        </w:rPr>
        <w:t xml:space="preserve">Punëve të </w:t>
      </w:r>
      <w:r w:rsidR="00D8032C" w:rsidRPr="00B907A3">
        <w:rPr>
          <w:rFonts w:ascii="Garamond" w:hAnsi="Garamond"/>
          <w:sz w:val="24"/>
          <w:lang w:eastAsia="en-US"/>
        </w:rPr>
        <w:t>Brendshme</w:t>
      </w:r>
      <w:r w:rsidR="003251A1" w:rsidRPr="00B907A3">
        <w:rPr>
          <w:rFonts w:ascii="Garamond" w:hAnsi="Garamond"/>
          <w:sz w:val="24"/>
          <w:lang w:eastAsia="en-US"/>
        </w:rPr>
        <w:t>;</w:t>
      </w:r>
    </w:p>
    <w:p w14:paraId="2DDB70C9" w14:textId="2C31420A"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 xml:space="preserve">Ministria e Arsimit </w:t>
      </w:r>
      <w:r w:rsidR="005E4327" w:rsidRPr="00B907A3">
        <w:rPr>
          <w:rFonts w:ascii="Garamond" w:hAnsi="Garamond"/>
          <w:sz w:val="24"/>
          <w:lang w:eastAsia="en-US"/>
        </w:rPr>
        <w:t>me institucionet e saj t</w:t>
      </w:r>
      <w:r w:rsidR="005E4327" w:rsidRPr="00B907A3">
        <w:rPr>
          <w:rFonts w:ascii="Garamond" w:hAnsi="Garamond"/>
          <w:w w:val="105"/>
          <w:sz w:val="24"/>
          <w:lang w:eastAsia="en-US"/>
        </w:rPr>
        <w:t>ë varësisë</w:t>
      </w:r>
      <w:r w:rsidR="00F749AC" w:rsidRPr="00B907A3">
        <w:rPr>
          <w:rFonts w:ascii="Garamond" w:hAnsi="Garamond"/>
          <w:sz w:val="24"/>
          <w:lang w:eastAsia="en-US"/>
        </w:rPr>
        <w:t>,</w:t>
      </w:r>
      <w:r w:rsidR="00D8032C" w:rsidRPr="00B907A3">
        <w:rPr>
          <w:rFonts w:ascii="Garamond" w:hAnsi="Garamond"/>
          <w:sz w:val="24"/>
          <w:lang w:eastAsia="en-US"/>
        </w:rPr>
        <w:t xml:space="preserve"> shkollat fillore kanë një kurrikul për sigurinë rrugore, megjithatë, materialet mësimore në përdorim të përmirës</w:t>
      </w:r>
      <w:r w:rsidR="006A4F1C" w:rsidRPr="00B907A3">
        <w:rPr>
          <w:rFonts w:ascii="Garamond" w:hAnsi="Garamond"/>
          <w:sz w:val="24"/>
          <w:lang w:eastAsia="en-US"/>
        </w:rPr>
        <w:t>uara</w:t>
      </w:r>
      <w:r w:rsidR="00D8032C" w:rsidRPr="00B907A3">
        <w:rPr>
          <w:rFonts w:ascii="Garamond" w:hAnsi="Garamond"/>
          <w:sz w:val="24"/>
          <w:lang w:eastAsia="en-US"/>
        </w:rPr>
        <w:t xml:space="preserve"> të futen </w:t>
      </w:r>
      <w:r w:rsidR="005530F1" w:rsidRPr="00B907A3">
        <w:rPr>
          <w:rFonts w:ascii="Garamond" w:hAnsi="Garamond"/>
          <w:sz w:val="24"/>
          <w:lang w:eastAsia="en-US"/>
        </w:rPr>
        <w:t xml:space="preserve">në </w:t>
      </w:r>
      <w:r w:rsidR="00D8032C" w:rsidRPr="00B907A3">
        <w:rPr>
          <w:rFonts w:ascii="Garamond" w:hAnsi="Garamond"/>
          <w:sz w:val="24"/>
          <w:lang w:eastAsia="en-US"/>
        </w:rPr>
        <w:t>ushtrime praktike</w:t>
      </w:r>
      <w:r w:rsidR="003251A1" w:rsidRPr="00B907A3">
        <w:rPr>
          <w:rFonts w:ascii="Garamond" w:hAnsi="Garamond"/>
          <w:sz w:val="24"/>
          <w:lang w:eastAsia="en-US"/>
        </w:rPr>
        <w:t>;</w:t>
      </w:r>
    </w:p>
    <w:p w14:paraId="568296CD" w14:textId="0FAED5B6"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lastRenderedPageBreak/>
        <w:t xml:space="preserve">- </w:t>
      </w:r>
      <w:r w:rsidR="00D8032C" w:rsidRPr="00B907A3">
        <w:rPr>
          <w:rFonts w:ascii="Garamond" w:hAnsi="Garamond"/>
          <w:sz w:val="24"/>
          <w:lang w:eastAsia="en-US"/>
        </w:rPr>
        <w:t>Bashkitë: ekziston një nevojë e fortë për një angazhim më të thellë të komuniteteve lokale në punën e sigurisë rrugore dhe një koordinim më të mirë vertikal të aktiviteteve të sigurisë rrugore</w:t>
      </w:r>
      <w:r w:rsidR="003251A1" w:rsidRPr="00B907A3">
        <w:rPr>
          <w:rFonts w:ascii="Garamond" w:hAnsi="Garamond"/>
          <w:sz w:val="24"/>
          <w:lang w:eastAsia="en-US"/>
        </w:rPr>
        <w:t>;</w:t>
      </w:r>
    </w:p>
    <w:p w14:paraId="6AE010C2" w14:textId="4AC55731"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Akademia: universitetet duhet të pranojnë më shumë angazhime në punën kërkimore dhe transferimin e njohurive për sigurinë rrugore</w:t>
      </w:r>
      <w:r w:rsidR="003251A1" w:rsidRPr="00B907A3">
        <w:rPr>
          <w:rFonts w:ascii="Garamond" w:hAnsi="Garamond"/>
          <w:sz w:val="24"/>
          <w:lang w:eastAsia="en-US"/>
        </w:rPr>
        <w:t>;</w:t>
      </w:r>
    </w:p>
    <w:p w14:paraId="30EFDDF6" w14:textId="618F1FD7"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 xml:space="preserve">Shoqatat Profesionale: angazhimi i tyre </w:t>
      </w:r>
      <w:r w:rsidR="005E4327" w:rsidRPr="00B907A3">
        <w:rPr>
          <w:rFonts w:ascii="Garamond" w:hAnsi="Garamond"/>
          <w:sz w:val="24"/>
          <w:lang w:eastAsia="en-US"/>
        </w:rPr>
        <w:t>p</w:t>
      </w:r>
      <w:r w:rsidR="00D8032C" w:rsidRPr="00B907A3">
        <w:rPr>
          <w:rFonts w:ascii="Garamond" w:hAnsi="Garamond"/>
          <w:sz w:val="24"/>
          <w:lang w:eastAsia="en-US"/>
        </w:rPr>
        <w:t>ë</w:t>
      </w:r>
      <w:r w:rsidR="005E4327" w:rsidRPr="00B907A3">
        <w:rPr>
          <w:rFonts w:ascii="Garamond" w:hAnsi="Garamond"/>
          <w:sz w:val="24"/>
          <w:lang w:eastAsia="en-US"/>
        </w:rPr>
        <w:t>r</w:t>
      </w:r>
      <w:r w:rsidR="00D8032C" w:rsidRPr="00B907A3">
        <w:rPr>
          <w:rFonts w:ascii="Garamond" w:hAnsi="Garamond"/>
          <w:sz w:val="24"/>
          <w:lang w:eastAsia="en-US"/>
        </w:rPr>
        <w:t xml:space="preserve"> sigurinë rrugore është i vogël dhe kjo duhet të përmirësohet</w:t>
      </w:r>
      <w:r w:rsidR="003251A1" w:rsidRPr="00B907A3">
        <w:rPr>
          <w:rFonts w:ascii="Garamond" w:hAnsi="Garamond"/>
          <w:sz w:val="24"/>
          <w:lang w:eastAsia="en-US"/>
        </w:rPr>
        <w:t>;</w:t>
      </w:r>
    </w:p>
    <w:p w14:paraId="7D22E707" w14:textId="0EE0CFC3"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Sektori Privat: kompanitë e sigurimeve nuk janë shumë të përfshira në çështjet e sigurisë rrugore dhe kjo situatë duhet të ndryshojë, prandaj ka hapësirë për përmirësim</w:t>
      </w:r>
      <w:r w:rsidR="003251A1" w:rsidRPr="00B907A3">
        <w:rPr>
          <w:rFonts w:ascii="Garamond" w:hAnsi="Garamond"/>
          <w:sz w:val="24"/>
          <w:lang w:eastAsia="en-US"/>
        </w:rPr>
        <w:t>;</w:t>
      </w:r>
    </w:p>
    <w:p w14:paraId="3F05EE61" w14:textId="18B26531" w:rsidR="003251A1" w:rsidRPr="00B907A3" w:rsidRDefault="00A03CA0" w:rsidP="008C4E07">
      <w:pPr>
        <w:pStyle w:val="ListParagraph"/>
        <w:ind w:left="0" w:firstLine="284"/>
        <w:jc w:val="both"/>
        <w:rPr>
          <w:rFonts w:ascii="Garamond" w:hAnsi="Garamond"/>
          <w:sz w:val="24"/>
          <w:lang w:eastAsia="en-US"/>
        </w:rPr>
      </w:pPr>
      <w:r w:rsidRPr="00B907A3">
        <w:rPr>
          <w:rFonts w:ascii="Garamond" w:eastAsia="Calibri" w:hAnsi="Garamond"/>
          <w:bCs/>
          <w:spacing w:val="-2"/>
          <w:w w:val="105"/>
          <w:sz w:val="24"/>
          <w:lang w:eastAsia="en-US"/>
        </w:rPr>
        <w:t xml:space="preserve">- </w:t>
      </w:r>
      <w:r w:rsidR="00D8032C" w:rsidRPr="00B907A3">
        <w:rPr>
          <w:rFonts w:ascii="Garamond" w:hAnsi="Garamond"/>
          <w:sz w:val="24"/>
          <w:lang w:eastAsia="en-US"/>
        </w:rPr>
        <w:t>Shoqëria Civile: ekziston nevoja për një angazhim më të konsiderueshëm të OJQ-ve në çështjet e sigurisë rrugore</w:t>
      </w:r>
      <w:r w:rsidR="003251A1" w:rsidRPr="00B907A3">
        <w:rPr>
          <w:rFonts w:ascii="Garamond" w:hAnsi="Garamond"/>
          <w:sz w:val="24"/>
          <w:lang w:eastAsia="en-US"/>
        </w:rPr>
        <w:t>.</w:t>
      </w:r>
    </w:p>
    <w:p w14:paraId="6196DC5F" w14:textId="0704D3AC" w:rsidR="003251A1" w:rsidRPr="00B907A3" w:rsidRDefault="00D8032C" w:rsidP="008C4E07">
      <w:pPr>
        <w:spacing w:after="0"/>
        <w:ind w:firstLine="284"/>
        <w:rPr>
          <w:rFonts w:ascii="Garamond" w:hAnsi="Garamond"/>
          <w:sz w:val="24"/>
          <w:lang w:eastAsia="en-US"/>
        </w:rPr>
      </w:pPr>
      <w:r w:rsidRPr="00B907A3">
        <w:rPr>
          <w:rFonts w:ascii="Garamond" w:hAnsi="Garamond"/>
          <w:sz w:val="24"/>
          <w:lang w:eastAsia="en-US"/>
        </w:rPr>
        <w:t xml:space="preserve">Të gjitha boshllëqet e specifikuara më sipër do të mbulohen nga fushat prioritare të ndërhyrjes së </w:t>
      </w:r>
      <w:r w:rsidR="005B413A" w:rsidRPr="00B907A3">
        <w:rPr>
          <w:rFonts w:ascii="Garamond" w:hAnsi="Garamond"/>
          <w:sz w:val="24"/>
          <w:lang w:eastAsia="en-US"/>
        </w:rPr>
        <w:t>SSR</w:t>
      </w:r>
      <w:r w:rsidR="00AF536C" w:rsidRPr="00B907A3">
        <w:rPr>
          <w:rFonts w:ascii="Garamond" w:hAnsi="Garamond"/>
          <w:sz w:val="24"/>
          <w:lang w:eastAsia="en-US"/>
        </w:rPr>
        <w:t>r</w:t>
      </w:r>
      <w:r w:rsidRPr="00B907A3">
        <w:rPr>
          <w:rFonts w:ascii="Garamond" w:hAnsi="Garamond"/>
          <w:sz w:val="24"/>
          <w:lang w:eastAsia="en-US"/>
        </w:rPr>
        <w:t>, si dhe në</w:t>
      </w:r>
      <w:r w:rsidR="00431B7E" w:rsidRPr="00B907A3">
        <w:rPr>
          <w:rFonts w:ascii="Garamond" w:hAnsi="Garamond"/>
          <w:sz w:val="24"/>
          <w:lang w:eastAsia="en-US"/>
        </w:rPr>
        <w:t xml:space="preserve"> Planin e saj të Veprimit </w:t>
      </w:r>
      <w:r w:rsidRPr="00B907A3">
        <w:rPr>
          <w:rFonts w:ascii="Garamond" w:hAnsi="Garamond"/>
          <w:sz w:val="24"/>
          <w:lang w:eastAsia="en-US"/>
        </w:rPr>
        <w:t>në më shumë detaje</w:t>
      </w:r>
      <w:r w:rsidR="003251A1" w:rsidRPr="00B907A3">
        <w:rPr>
          <w:rFonts w:ascii="Garamond" w:hAnsi="Garamond"/>
          <w:sz w:val="24"/>
          <w:lang w:eastAsia="en-US"/>
        </w:rPr>
        <w:t>.</w:t>
      </w:r>
    </w:p>
    <w:p w14:paraId="7391203F" w14:textId="5AD1AA77" w:rsidR="003251A1" w:rsidRPr="00B907A3" w:rsidRDefault="00F749AC" w:rsidP="008C4E07">
      <w:pPr>
        <w:spacing w:after="0"/>
        <w:ind w:firstLine="284"/>
        <w:rPr>
          <w:rFonts w:ascii="Garamond" w:hAnsi="Garamond"/>
          <w:sz w:val="24"/>
          <w:lang w:eastAsia="en-US"/>
        </w:rPr>
      </w:pPr>
      <w:r w:rsidRPr="00B907A3">
        <w:rPr>
          <w:rFonts w:ascii="Garamond" w:hAnsi="Garamond"/>
          <w:sz w:val="24"/>
          <w:lang w:eastAsia="en-US"/>
        </w:rPr>
        <w:t xml:space="preserve">Këto </w:t>
      </w:r>
      <w:r w:rsidR="005E4327" w:rsidRPr="00B907A3">
        <w:rPr>
          <w:rFonts w:ascii="Garamond" w:hAnsi="Garamond"/>
          <w:sz w:val="24"/>
          <w:lang w:eastAsia="en-US"/>
        </w:rPr>
        <w:t>p</w:t>
      </w:r>
      <w:r w:rsidR="00D8032C" w:rsidRPr="00B907A3">
        <w:rPr>
          <w:rFonts w:ascii="Garamond" w:hAnsi="Garamond"/>
          <w:sz w:val="24"/>
          <w:lang w:eastAsia="en-US"/>
        </w:rPr>
        <w:t xml:space="preserve">ërmirësime të palëve </w:t>
      </w:r>
      <w:r w:rsidR="005E4327" w:rsidRPr="00B907A3">
        <w:rPr>
          <w:rFonts w:ascii="Garamond" w:hAnsi="Garamond"/>
          <w:sz w:val="24"/>
          <w:lang w:eastAsia="en-US"/>
        </w:rPr>
        <w:t xml:space="preserve">kryesore </w:t>
      </w:r>
      <w:r w:rsidR="00D8032C" w:rsidRPr="00B907A3">
        <w:rPr>
          <w:rFonts w:ascii="Garamond" w:hAnsi="Garamond"/>
          <w:sz w:val="24"/>
          <w:lang w:eastAsia="en-US"/>
        </w:rPr>
        <w:t>të interes</w:t>
      </w:r>
      <w:r w:rsidR="005E4327" w:rsidRPr="00B907A3">
        <w:rPr>
          <w:rFonts w:ascii="Garamond" w:hAnsi="Garamond"/>
          <w:sz w:val="24"/>
          <w:lang w:eastAsia="en-US"/>
        </w:rPr>
        <w:t>it p</w:t>
      </w:r>
      <w:r w:rsidR="00D8032C" w:rsidRPr="00B907A3">
        <w:rPr>
          <w:rFonts w:ascii="Garamond" w:hAnsi="Garamond"/>
          <w:sz w:val="24"/>
          <w:lang w:eastAsia="en-US"/>
        </w:rPr>
        <w:t>ë</w:t>
      </w:r>
      <w:r w:rsidR="005E4327" w:rsidRPr="00B907A3">
        <w:rPr>
          <w:rFonts w:ascii="Garamond" w:hAnsi="Garamond"/>
          <w:sz w:val="24"/>
          <w:lang w:eastAsia="en-US"/>
        </w:rPr>
        <w:t>r</w:t>
      </w:r>
      <w:r w:rsidR="00D8032C" w:rsidRPr="00B907A3">
        <w:rPr>
          <w:rFonts w:ascii="Garamond" w:hAnsi="Garamond"/>
          <w:sz w:val="24"/>
          <w:lang w:eastAsia="en-US"/>
        </w:rPr>
        <w:t xml:space="preserve"> sigurinë rrugore, duke përfshirë qeverisjen e </w:t>
      </w:r>
      <w:r w:rsidR="00EF5DD9" w:rsidRPr="00B907A3">
        <w:rPr>
          <w:rFonts w:ascii="Garamond" w:hAnsi="Garamond"/>
          <w:sz w:val="24"/>
          <w:lang w:eastAsia="en-US"/>
        </w:rPr>
        <w:t>MSR</w:t>
      </w:r>
      <w:r w:rsidR="008D1873" w:rsidRPr="00B907A3">
        <w:rPr>
          <w:rFonts w:ascii="Garamond" w:hAnsi="Garamond"/>
          <w:sz w:val="24"/>
          <w:lang w:eastAsia="en-US"/>
        </w:rPr>
        <w:t>r</w:t>
      </w:r>
      <w:r w:rsidR="00D8032C" w:rsidRPr="00B907A3">
        <w:rPr>
          <w:rFonts w:ascii="Garamond" w:hAnsi="Garamond"/>
          <w:sz w:val="24"/>
          <w:lang w:eastAsia="en-US"/>
        </w:rPr>
        <w:t xml:space="preserve">, do të mundësojnë krijimin e një baze të mirë për përmirësimin e </w:t>
      </w:r>
      <w:r w:rsidR="00EF5DD9" w:rsidRPr="00B907A3">
        <w:rPr>
          <w:rFonts w:ascii="Garamond" w:hAnsi="Garamond"/>
          <w:sz w:val="24"/>
          <w:lang w:eastAsia="en-US"/>
        </w:rPr>
        <w:t>MSR</w:t>
      </w:r>
      <w:r w:rsidR="008D1873" w:rsidRPr="00B907A3">
        <w:rPr>
          <w:rFonts w:ascii="Garamond" w:hAnsi="Garamond"/>
          <w:sz w:val="24"/>
          <w:lang w:eastAsia="en-US"/>
        </w:rPr>
        <w:t>r</w:t>
      </w:r>
      <w:r w:rsidR="00D8032C" w:rsidRPr="00B907A3">
        <w:rPr>
          <w:rFonts w:ascii="Garamond" w:hAnsi="Garamond"/>
          <w:sz w:val="24"/>
          <w:lang w:eastAsia="en-US"/>
        </w:rPr>
        <w:t xml:space="preserve"> dhe zbatimin e ndërhyrjeve të identifikuara dhe të nevojshme për sigurinë rrugore</w:t>
      </w:r>
      <w:r w:rsidR="003251A1" w:rsidRPr="00B907A3">
        <w:rPr>
          <w:rFonts w:ascii="Garamond" w:hAnsi="Garamond"/>
          <w:sz w:val="24"/>
          <w:lang w:eastAsia="en-US"/>
        </w:rPr>
        <w:t>.</w:t>
      </w:r>
    </w:p>
    <w:p w14:paraId="0450E1FE" w14:textId="56E60271" w:rsidR="003251A1" w:rsidRPr="00B907A3" w:rsidRDefault="00A03CA0" w:rsidP="008C4E07">
      <w:pPr>
        <w:pStyle w:val="Heading2"/>
        <w:numPr>
          <w:ilvl w:val="0"/>
          <w:numId w:val="0"/>
        </w:numPr>
        <w:spacing w:after="0"/>
        <w:ind w:firstLine="284"/>
        <w:rPr>
          <w:rFonts w:ascii="Garamond" w:hAnsi="Garamond"/>
          <w:color w:val="auto"/>
          <w:lang w:val="sq-AL"/>
        </w:rPr>
      </w:pPr>
      <w:bookmarkStart w:id="19" w:name="_Toc208840561"/>
      <w:r w:rsidRPr="00B907A3">
        <w:rPr>
          <w:rFonts w:ascii="Garamond" w:hAnsi="Garamond"/>
          <w:color w:val="auto"/>
          <w:lang w:val="sq-AL"/>
        </w:rPr>
        <w:t xml:space="preserve">2.2 </w:t>
      </w:r>
      <w:r w:rsidR="007B7500" w:rsidRPr="00B907A3">
        <w:rPr>
          <w:rFonts w:ascii="Garamond" w:hAnsi="Garamond"/>
          <w:color w:val="auto"/>
          <w:lang w:val="sq-AL"/>
        </w:rPr>
        <w:t xml:space="preserve">Analiza </w:t>
      </w:r>
      <w:r w:rsidR="005E4327" w:rsidRPr="00B907A3">
        <w:rPr>
          <w:rFonts w:ascii="Garamond" w:hAnsi="Garamond"/>
          <w:color w:val="auto"/>
          <w:lang w:val="sq-AL"/>
        </w:rPr>
        <w:t xml:space="preserve">Hendekut </w:t>
      </w:r>
      <w:r w:rsidR="007B7500" w:rsidRPr="00B907A3">
        <w:rPr>
          <w:rFonts w:ascii="Garamond" w:hAnsi="Garamond"/>
          <w:color w:val="auto"/>
          <w:lang w:val="sq-AL"/>
        </w:rPr>
        <w:t>e praktikës aktuale të sigurisë rrugore brenda pesë shtyllave të OKB-së për sigurinë rrugore</w:t>
      </w:r>
      <w:bookmarkEnd w:id="19"/>
      <w:r w:rsidR="003251A1" w:rsidRPr="00B907A3">
        <w:rPr>
          <w:rFonts w:ascii="Garamond" w:hAnsi="Garamond"/>
          <w:color w:val="auto"/>
          <w:lang w:val="sq-AL"/>
        </w:rPr>
        <w:t xml:space="preserve"> </w:t>
      </w:r>
    </w:p>
    <w:p w14:paraId="2DFA7822" w14:textId="45DC8D4D" w:rsidR="003251A1" w:rsidRPr="00B907A3" w:rsidRDefault="00E26055"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Gjat</w:t>
      </w:r>
      <w:r w:rsidRPr="00B907A3">
        <w:rPr>
          <w:rFonts w:ascii="Garamond" w:hAnsi="Garamond"/>
          <w:sz w:val="24"/>
          <w:lang w:eastAsia="en-US"/>
        </w:rPr>
        <w:t xml:space="preserve">ë përcaktimit të standardeve të sigurisë rrugore </w:t>
      </w:r>
      <w:r w:rsidR="007B7500" w:rsidRPr="00B907A3">
        <w:rPr>
          <w:rFonts w:ascii="Garamond" w:eastAsia="Calibri" w:hAnsi="Garamond"/>
          <w:spacing w:val="-2"/>
          <w:w w:val="105"/>
          <w:sz w:val="24"/>
          <w:lang w:eastAsia="en-US"/>
        </w:rPr>
        <w:t xml:space="preserve">u identifikuan </w:t>
      </w:r>
      <w:r w:rsidRPr="00B907A3">
        <w:rPr>
          <w:rFonts w:ascii="Garamond" w:eastAsia="Calibri" w:hAnsi="Garamond"/>
          <w:spacing w:val="-2"/>
          <w:w w:val="105"/>
          <w:sz w:val="24"/>
          <w:lang w:eastAsia="en-US"/>
        </w:rPr>
        <w:t>mangësitë e mëposhtme të sigurisë rrugore, brenda pesë shtyllave të OKB-së:</w:t>
      </w:r>
    </w:p>
    <w:p w14:paraId="7CDF864A" w14:textId="50F89552" w:rsidR="003251A1" w:rsidRPr="00B907A3" w:rsidRDefault="00A03CA0" w:rsidP="008C4E07">
      <w:pPr>
        <w:pStyle w:val="ListParagraph"/>
        <w:shd w:val="clear" w:color="auto" w:fill="E2EFD9" w:themeFill="accent6" w:themeFillTint="33"/>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b/>
          <w:spacing w:val="-2"/>
          <w:w w:val="105"/>
          <w:sz w:val="24"/>
          <w:lang w:eastAsia="en-US"/>
        </w:rPr>
        <w:t xml:space="preserve">Shtylla 1 (Menaxhimi i Sigurisë Rrugore): </w:t>
      </w:r>
      <w:r w:rsidR="007B7500" w:rsidRPr="00B907A3">
        <w:rPr>
          <w:rFonts w:ascii="Garamond" w:eastAsia="Calibri" w:hAnsi="Garamond"/>
          <w:bCs/>
          <w:spacing w:val="-2"/>
          <w:w w:val="105"/>
          <w:sz w:val="24"/>
          <w:lang w:eastAsia="en-US"/>
        </w:rPr>
        <w:t>aspektet e mëposhtme të sigurisë rrugore kanë nevojë për vëmendje dhe përmirësime shtesë</w:t>
      </w:r>
      <w:r w:rsidR="003251A1" w:rsidRPr="00B907A3">
        <w:rPr>
          <w:rFonts w:ascii="Garamond" w:eastAsia="Calibri" w:hAnsi="Garamond"/>
          <w:spacing w:val="-2"/>
          <w:w w:val="105"/>
          <w:sz w:val="24"/>
          <w:lang w:eastAsia="en-US"/>
        </w:rPr>
        <w:t xml:space="preserve">: </w:t>
      </w:r>
    </w:p>
    <w:p w14:paraId="262FD233" w14:textId="6B8556AF"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spacing w:val="-2"/>
          <w:w w:val="105"/>
          <w:sz w:val="24"/>
          <w:lang w:eastAsia="en-US"/>
        </w:rPr>
        <w:t>Një agjenci/</w:t>
      </w:r>
      <w:r w:rsidR="00A85213" w:rsidRPr="00B907A3">
        <w:rPr>
          <w:rFonts w:ascii="Garamond" w:eastAsia="Calibri" w:hAnsi="Garamond"/>
          <w:spacing w:val="-2"/>
          <w:w w:val="105"/>
          <w:sz w:val="24"/>
          <w:lang w:eastAsia="en-US"/>
        </w:rPr>
        <w:t>strukture</w:t>
      </w:r>
      <w:r w:rsidR="007B7500" w:rsidRPr="00B907A3">
        <w:rPr>
          <w:rFonts w:ascii="Garamond" w:eastAsia="Calibri" w:hAnsi="Garamond"/>
          <w:spacing w:val="-2"/>
          <w:w w:val="105"/>
          <w:sz w:val="24"/>
          <w:lang w:eastAsia="en-US"/>
        </w:rPr>
        <w:t xml:space="preserve"> kryesore</w:t>
      </w:r>
      <w:r w:rsidR="00A85213" w:rsidRPr="00B907A3">
        <w:rPr>
          <w:rFonts w:ascii="Garamond" w:eastAsia="Calibri" w:hAnsi="Garamond"/>
          <w:spacing w:val="-2"/>
          <w:w w:val="105"/>
          <w:sz w:val="24"/>
          <w:lang w:eastAsia="en-US"/>
        </w:rPr>
        <w:t xml:space="preserve"> e</w:t>
      </w:r>
      <w:r w:rsidR="007B7500" w:rsidRPr="00B907A3">
        <w:rPr>
          <w:rFonts w:ascii="Garamond" w:eastAsia="Calibri" w:hAnsi="Garamond"/>
          <w:spacing w:val="-2"/>
          <w:w w:val="105"/>
          <w:sz w:val="24"/>
          <w:lang w:eastAsia="en-US"/>
        </w:rPr>
        <w:t xml:space="preserve"> sigurisë rrugore dhe, veçanërisht, mekanizma koordinimi të sigurisë rrugore</w:t>
      </w:r>
      <w:r w:rsidR="003251A1" w:rsidRPr="00B907A3">
        <w:rPr>
          <w:rFonts w:ascii="Garamond" w:eastAsia="Calibri" w:hAnsi="Garamond"/>
          <w:spacing w:val="-2"/>
          <w:w w:val="105"/>
          <w:sz w:val="24"/>
          <w:lang w:eastAsia="en-US"/>
        </w:rPr>
        <w:t>;</w:t>
      </w:r>
    </w:p>
    <w:p w14:paraId="139FB82F" w14:textId="0C2C596E"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spacing w:val="-2"/>
          <w:w w:val="105"/>
          <w:sz w:val="24"/>
          <w:lang w:eastAsia="en-US"/>
        </w:rPr>
        <w:t xml:space="preserve">Strategjia </w:t>
      </w:r>
      <w:r w:rsidR="00B316AC" w:rsidRPr="00B907A3">
        <w:rPr>
          <w:rFonts w:ascii="Garamond" w:eastAsia="Calibri" w:hAnsi="Garamond"/>
          <w:spacing w:val="-2"/>
          <w:w w:val="105"/>
          <w:sz w:val="24"/>
          <w:lang w:eastAsia="en-US"/>
        </w:rPr>
        <w:t xml:space="preserve">për Sigurinë </w:t>
      </w:r>
      <w:r w:rsidR="00D648AA" w:rsidRPr="00B907A3">
        <w:rPr>
          <w:rFonts w:ascii="Garamond" w:eastAsia="Calibri" w:hAnsi="Garamond"/>
          <w:spacing w:val="-2"/>
          <w:w w:val="105"/>
          <w:sz w:val="24"/>
          <w:lang w:eastAsia="en-US"/>
        </w:rPr>
        <w:t xml:space="preserve">Rrugore </w:t>
      </w:r>
      <w:r w:rsidR="00B316AC" w:rsidRPr="00B907A3">
        <w:rPr>
          <w:rFonts w:ascii="Garamond" w:eastAsia="Calibri" w:hAnsi="Garamond"/>
          <w:spacing w:val="-2"/>
          <w:w w:val="105"/>
          <w:sz w:val="24"/>
          <w:lang w:eastAsia="en-US"/>
        </w:rPr>
        <w:t xml:space="preserve">dhe Plani i saj i Veprimit, </w:t>
      </w:r>
      <w:r w:rsidR="007B7500" w:rsidRPr="00B907A3">
        <w:rPr>
          <w:rFonts w:ascii="Garamond" w:eastAsia="Calibri" w:hAnsi="Garamond"/>
          <w:spacing w:val="-2"/>
          <w:w w:val="105"/>
          <w:sz w:val="24"/>
          <w:lang w:eastAsia="en-US"/>
        </w:rPr>
        <w:t xml:space="preserve">me </w:t>
      </w:r>
      <w:r w:rsidR="00903C6C" w:rsidRPr="00B907A3">
        <w:rPr>
          <w:rFonts w:ascii="Garamond" w:eastAsia="Calibri" w:hAnsi="Garamond"/>
          <w:spacing w:val="-2"/>
          <w:w w:val="105"/>
          <w:sz w:val="24"/>
          <w:lang w:eastAsia="en-US"/>
        </w:rPr>
        <w:t>objektiva</w:t>
      </w:r>
      <w:r w:rsidR="00B316AC" w:rsidRPr="00B907A3">
        <w:rPr>
          <w:rFonts w:ascii="Garamond" w:eastAsia="Calibri" w:hAnsi="Garamond"/>
          <w:spacing w:val="-2"/>
          <w:w w:val="105"/>
          <w:sz w:val="24"/>
          <w:lang w:eastAsia="en-US"/>
        </w:rPr>
        <w:t xml:space="preserve"> </w:t>
      </w:r>
      <w:r w:rsidR="007B7500" w:rsidRPr="00B907A3">
        <w:rPr>
          <w:rFonts w:ascii="Garamond" w:eastAsia="Calibri" w:hAnsi="Garamond"/>
          <w:spacing w:val="-2"/>
          <w:w w:val="105"/>
          <w:sz w:val="24"/>
          <w:lang w:eastAsia="en-US"/>
        </w:rPr>
        <w:t>realist</w:t>
      </w:r>
      <w:r w:rsidR="00D121E9">
        <w:rPr>
          <w:rFonts w:ascii="Garamond" w:eastAsia="Calibri" w:hAnsi="Garamond"/>
          <w:spacing w:val="-2"/>
          <w:w w:val="105"/>
          <w:sz w:val="24"/>
          <w:lang w:eastAsia="en-US"/>
        </w:rPr>
        <w:t>ë</w:t>
      </w:r>
      <w:r w:rsidR="007B7500" w:rsidRPr="00B907A3">
        <w:rPr>
          <w:rFonts w:ascii="Garamond" w:eastAsia="Calibri" w:hAnsi="Garamond"/>
          <w:spacing w:val="-2"/>
          <w:w w:val="105"/>
          <w:sz w:val="24"/>
          <w:lang w:eastAsia="en-US"/>
        </w:rPr>
        <w:t xml:space="preserve"> dhe afatgjat</w:t>
      </w:r>
      <w:r w:rsidR="00D121E9">
        <w:rPr>
          <w:rFonts w:ascii="Garamond" w:eastAsia="Calibri" w:hAnsi="Garamond"/>
          <w:spacing w:val="-2"/>
          <w:w w:val="105"/>
          <w:sz w:val="24"/>
          <w:lang w:eastAsia="en-US"/>
        </w:rPr>
        <w:t>ë</w:t>
      </w:r>
      <w:r w:rsidR="007B7500" w:rsidRPr="00B907A3">
        <w:rPr>
          <w:rFonts w:ascii="Garamond" w:eastAsia="Calibri" w:hAnsi="Garamond"/>
          <w:spacing w:val="-2"/>
          <w:w w:val="105"/>
          <w:sz w:val="24"/>
          <w:lang w:eastAsia="en-US"/>
        </w:rPr>
        <w:t xml:space="preserve"> mungo</w:t>
      </w:r>
      <w:r w:rsidR="00AB1CF4" w:rsidRPr="00B907A3">
        <w:rPr>
          <w:rFonts w:ascii="Garamond" w:eastAsia="Calibri" w:hAnsi="Garamond"/>
          <w:spacing w:val="-2"/>
          <w:w w:val="105"/>
          <w:sz w:val="24"/>
          <w:lang w:eastAsia="en-US"/>
        </w:rPr>
        <w:t>n</w:t>
      </w:r>
      <w:r w:rsidR="007B7500" w:rsidRPr="00B907A3">
        <w:rPr>
          <w:rFonts w:ascii="Garamond" w:eastAsia="Calibri" w:hAnsi="Garamond"/>
          <w:spacing w:val="-2"/>
          <w:w w:val="105"/>
          <w:sz w:val="24"/>
          <w:lang w:eastAsia="en-US"/>
        </w:rPr>
        <w:t xml:space="preserve"> plotësisht</w:t>
      </w:r>
      <w:r w:rsidR="003251A1" w:rsidRPr="00B907A3">
        <w:rPr>
          <w:rFonts w:ascii="Garamond" w:eastAsia="Calibri" w:hAnsi="Garamond"/>
          <w:spacing w:val="-2"/>
          <w:w w:val="105"/>
          <w:sz w:val="24"/>
          <w:lang w:eastAsia="en-US"/>
        </w:rPr>
        <w:t>;</w:t>
      </w:r>
    </w:p>
    <w:p w14:paraId="5ED09063" w14:textId="4E8AFC02" w:rsidR="00977164"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spacing w:val="-2"/>
          <w:w w:val="105"/>
          <w:sz w:val="24"/>
          <w:lang w:eastAsia="en-US"/>
        </w:rPr>
        <w:t>Sistemet mbështetëse të sigurisë kanë nevojë për përmirësime të konsiderueshme (një</w:t>
      </w:r>
      <w:r w:rsidR="00EA1686" w:rsidRPr="00B907A3">
        <w:rPr>
          <w:rFonts w:ascii="Garamond" w:eastAsia="Calibri" w:hAnsi="Garamond"/>
          <w:spacing w:val="-2"/>
          <w:w w:val="105"/>
          <w:sz w:val="24"/>
          <w:lang w:eastAsia="en-US"/>
        </w:rPr>
        <w:t xml:space="preserve"> data</w:t>
      </w:r>
      <w:r w:rsidR="007B7500" w:rsidRPr="00B907A3">
        <w:rPr>
          <w:rFonts w:ascii="Garamond" w:eastAsia="Calibri" w:hAnsi="Garamond"/>
          <w:spacing w:val="-2"/>
          <w:w w:val="105"/>
          <w:sz w:val="24"/>
          <w:lang w:eastAsia="en-US"/>
        </w:rPr>
        <w:t xml:space="preserve">bazë për aksidentet, një </w:t>
      </w:r>
      <w:r w:rsidR="00EA1686" w:rsidRPr="00B907A3">
        <w:rPr>
          <w:rFonts w:ascii="Garamond" w:eastAsia="Calibri" w:hAnsi="Garamond"/>
          <w:spacing w:val="-2"/>
          <w:w w:val="105"/>
          <w:sz w:val="24"/>
          <w:lang w:eastAsia="en-US"/>
        </w:rPr>
        <w:t>data</w:t>
      </w:r>
      <w:r w:rsidR="007B7500" w:rsidRPr="00B907A3">
        <w:rPr>
          <w:rFonts w:ascii="Garamond" w:eastAsia="Calibri" w:hAnsi="Garamond"/>
          <w:spacing w:val="-2"/>
          <w:w w:val="105"/>
          <w:sz w:val="24"/>
          <w:lang w:eastAsia="en-US"/>
        </w:rPr>
        <w:t xml:space="preserve">bazë për shëndetin, </w:t>
      </w:r>
      <w:r w:rsidR="006D6A4F" w:rsidRPr="00B907A3">
        <w:rPr>
          <w:rFonts w:ascii="Garamond" w:eastAsia="Calibri" w:hAnsi="Garamond"/>
          <w:spacing w:val="-2"/>
          <w:w w:val="105"/>
          <w:sz w:val="24"/>
          <w:lang w:eastAsia="en-US"/>
        </w:rPr>
        <w:t>për rrugët</w:t>
      </w:r>
      <w:r w:rsidR="007B7500" w:rsidRPr="00B907A3">
        <w:rPr>
          <w:rFonts w:ascii="Garamond" w:eastAsia="Calibri" w:hAnsi="Garamond"/>
          <w:spacing w:val="-2"/>
          <w:w w:val="105"/>
          <w:sz w:val="24"/>
          <w:lang w:eastAsia="en-US"/>
        </w:rPr>
        <w:t>, integrimi i një regjistri qendror të automjeteve, etj</w:t>
      </w:r>
      <w:r w:rsidR="003251A1" w:rsidRPr="00B907A3">
        <w:rPr>
          <w:rFonts w:ascii="Garamond" w:eastAsia="Calibri" w:hAnsi="Garamond"/>
          <w:spacing w:val="-2"/>
          <w:w w:val="105"/>
          <w:sz w:val="24"/>
          <w:lang w:eastAsia="en-US"/>
        </w:rPr>
        <w:t>.).</w:t>
      </w:r>
    </w:p>
    <w:p w14:paraId="51EBE9B6" w14:textId="44F2BB8F" w:rsidR="003251A1" w:rsidRPr="00B907A3" w:rsidRDefault="00A03CA0" w:rsidP="008C4E07">
      <w:pPr>
        <w:pStyle w:val="ListParagraph"/>
        <w:shd w:val="clear" w:color="auto" w:fill="E2EFD9" w:themeFill="accent6" w:themeFillTint="33"/>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b/>
          <w:spacing w:val="-2"/>
          <w:w w:val="105"/>
          <w:sz w:val="24"/>
          <w:lang w:eastAsia="en-US"/>
        </w:rPr>
        <w:t xml:space="preserve">Shtylla 2 (Rrugë të Sigurta dhe </w:t>
      </w:r>
      <w:r w:rsidR="006A5087" w:rsidRPr="00B907A3">
        <w:rPr>
          <w:rFonts w:ascii="Garamond" w:eastAsia="Calibri" w:hAnsi="Garamond"/>
          <w:b/>
          <w:spacing w:val="-2"/>
          <w:w w:val="105"/>
          <w:sz w:val="24"/>
          <w:lang w:eastAsia="en-US"/>
        </w:rPr>
        <w:t>Lëvizshmëri</w:t>
      </w:r>
      <w:r w:rsidR="007B7500" w:rsidRPr="00B907A3">
        <w:rPr>
          <w:rFonts w:ascii="Garamond" w:eastAsia="Calibri" w:hAnsi="Garamond"/>
          <w:b/>
          <w:spacing w:val="-2"/>
          <w:w w:val="105"/>
          <w:sz w:val="24"/>
          <w:lang w:eastAsia="en-US"/>
        </w:rPr>
        <w:t xml:space="preserve">): </w:t>
      </w:r>
      <w:r w:rsidR="007B7500" w:rsidRPr="00B907A3">
        <w:rPr>
          <w:rFonts w:ascii="Garamond" w:eastAsia="Calibri" w:hAnsi="Garamond"/>
          <w:bCs/>
          <w:spacing w:val="-2"/>
          <w:w w:val="105"/>
          <w:sz w:val="24"/>
          <w:lang w:eastAsia="en-US"/>
        </w:rPr>
        <w:t>aspektet e mëposhtme të sigurisë rrugore kanë nevojë për vëmendje dhe përmirësime shtesë</w:t>
      </w:r>
      <w:r w:rsidR="003251A1" w:rsidRPr="00B907A3">
        <w:rPr>
          <w:rFonts w:ascii="Garamond" w:eastAsia="Calibri" w:hAnsi="Garamond"/>
          <w:spacing w:val="-2"/>
          <w:w w:val="105"/>
          <w:sz w:val="24"/>
          <w:lang w:eastAsia="en-US"/>
        </w:rPr>
        <w:t xml:space="preserve">: </w:t>
      </w:r>
    </w:p>
    <w:p w14:paraId="6271DDAE" w14:textId="2F1226D4"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spacing w:val="-2"/>
          <w:w w:val="105"/>
          <w:sz w:val="24"/>
          <w:lang w:eastAsia="en-US"/>
        </w:rPr>
        <w:t>Ekziston nevoja për forcimin e kapaciteteve të AR</w:t>
      </w:r>
      <w:r w:rsidR="00EA1686" w:rsidRPr="00B907A3">
        <w:rPr>
          <w:rFonts w:ascii="Garamond" w:eastAsia="Calibri" w:hAnsi="Garamond"/>
          <w:spacing w:val="-2"/>
          <w:w w:val="105"/>
          <w:sz w:val="24"/>
          <w:lang w:eastAsia="en-US"/>
        </w:rPr>
        <w:t>SH</w:t>
      </w:r>
      <w:r w:rsidR="007B7500" w:rsidRPr="00B907A3">
        <w:rPr>
          <w:rFonts w:ascii="Garamond" w:eastAsia="Calibri" w:hAnsi="Garamond"/>
          <w:spacing w:val="-2"/>
          <w:w w:val="105"/>
          <w:sz w:val="24"/>
          <w:lang w:eastAsia="en-US"/>
        </w:rPr>
        <w:t xml:space="preserve">-së (krijimi i një </w:t>
      </w:r>
      <w:r w:rsidR="00EA1686" w:rsidRPr="00B907A3">
        <w:rPr>
          <w:rFonts w:ascii="Garamond" w:eastAsia="Calibri" w:hAnsi="Garamond"/>
          <w:spacing w:val="-2"/>
          <w:w w:val="105"/>
          <w:sz w:val="24"/>
          <w:lang w:eastAsia="en-US"/>
        </w:rPr>
        <w:t xml:space="preserve">strukture </w:t>
      </w:r>
      <w:r w:rsidR="007B7500" w:rsidRPr="00B907A3">
        <w:rPr>
          <w:rFonts w:ascii="Garamond" w:eastAsia="Calibri" w:hAnsi="Garamond"/>
          <w:spacing w:val="-2"/>
          <w:w w:val="105"/>
          <w:sz w:val="24"/>
          <w:lang w:eastAsia="en-US"/>
        </w:rPr>
        <w:t>të dedikuar për sigurinë rrugore</w:t>
      </w:r>
      <w:r w:rsidR="003251A1" w:rsidRPr="00B907A3">
        <w:rPr>
          <w:rFonts w:ascii="Garamond" w:eastAsia="Calibri" w:hAnsi="Garamond"/>
          <w:spacing w:val="-2"/>
          <w:w w:val="105"/>
          <w:sz w:val="24"/>
          <w:lang w:eastAsia="en-US"/>
        </w:rPr>
        <w:t>);</w:t>
      </w:r>
    </w:p>
    <w:p w14:paraId="45525200" w14:textId="66687099"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spacing w:val="-2"/>
          <w:w w:val="105"/>
          <w:sz w:val="24"/>
          <w:lang w:eastAsia="en-US"/>
        </w:rPr>
        <w:t xml:space="preserve">Planifikimi i qëndrueshëm dhe i sigurt, si dhe arritja e rrugëve të reja më të sigurta, kanë nevojë për përmirësime mesatare deri të larta, ndërsa funksionimi i sigurt i rrjetit ekzistues rrugor ka nevojë për përmirësime të lehta, duke marrë parasysh se shumë investime janë në </w:t>
      </w:r>
      <w:r w:rsidR="00EA1686" w:rsidRPr="00B907A3">
        <w:rPr>
          <w:rFonts w:ascii="Garamond" w:eastAsia="Calibri" w:hAnsi="Garamond"/>
          <w:spacing w:val="-2"/>
          <w:w w:val="105"/>
          <w:sz w:val="24"/>
          <w:lang w:eastAsia="en-US"/>
        </w:rPr>
        <w:t>proces</w:t>
      </w:r>
      <w:r w:rsidR="007B7500" w:rsidRPr="00B907A3">
        <w:rPr>
          <w:rFonts w:ascii="Garamond" w:eastAsia="Calibri" w:hAnsi="Garamond"/>
          <w:spacing w:val="-2"/>
          <w:w w:val="105"/>
          <w:sz w:val="24"/>
          <w:lang w:eastAsia="en-US"/>
        </w:rPr>
        <w:t xml:space="preserve">. </w:t>
      </w:r>
      <w:r w:rsidR="004C714F" w:rsidRPr="00B907A3">
        <w:rPr>
          <w:rFonts w:ascii="Garamond" w:eastAsia="Calibri" w:hAnsi="Garamond"/>
          <w:spacing w:val="-2"/>
          <w:w w:val="105"/>
          <w:sz w:val="24"/>
          <w:lang w:eastAsia="en-US"/>
        </w:rPr>
        <w:t xml:space="preserve">Sistemi </w:t>
      </w:r>
      <w:r w:rsidR="005A552A" w:rsidRPr="00B907A3">
        <w:rPr>
          <w:rFonts w:ascii="Garamond" w:eastAsia="Calibri" w:hAnsi="Garamond"/>
          <w:spacing w:val="-2"/>
          <w:w w:val="105"/>
          <w:sz w:val="24"/>
          <w:lang w:eastAsia="en-US"/>
        </w:rPr>
        <w:t>i</w:t>
      </w:r>
      <w:r w:rsidR="004C714F" w:rsidRPr="00B907A3">
        <w:rPr>
          <w:rFonts w:ascii="Garamond" w:eastAsia="Calibri" w:hAnsi="Garamond"/>
          <w:spacing w:val="-2"/>
          <w:w w:val="105"/>
          <w:sz w:val="24"/>
          <w:lang w:eastAsia="en-US"/>
        </w:rPr>
        <w:t xml:space="preserve"> Menaxhimit të Vlerësimit të Rrugëve</w:t>
      </w:r>
      <w:r w:rsidR="007B7500" w:rsidRPr="00B907A3">
        <w:rPr>
          <w:rFonts w:ascii="Garamond" w:eastAsia="Calibri" w:hAnsi="Garamond"/>
          <w:spacing w:val="-2"/>
          <w:w w:val="105"/>
          <w:sz w:val="24"/>
          <w:lang w:eastAsia="en-US"/>
        </w:rPr>
        <w:t xml:space="preserve"> ka nevojë për përmirësime të konsiderueshme</w:t>
      </w:r>
      <w:r w:rsidR="003251A1" w:rsidRPr="00B907A3">
        <w:rPr>
          <w:rFonts w:ascii="Garamond" w:eastAsia="Calibri" w:hAnsi="Garamond"/>
          <w:spacing w:val="-2"/>
          <w:w w:val="105"/>
          <w:sz w:val="24"/>
          <w:lang w:eastAsia="en-US"/>
        </w:rPr>
        <w:t>;</w:t>
      </w:r>
    </w:p>
    <w:p w14:paraId="02209229" w14:textId="4FB498C3"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7B7500" w:rsidRPr="00B907A3">
        <w:rPr>
          <w:rFonts w:ascii="Garamond" w:eastAsia="Calibri" w:hAnsi="Garamond"/>
          <w:spacing w:val="-2"/>
          <w:w w:val="105"/>
          <w:sz w:val="24"/>
          <w:lang w:eastAsia="en-US"/>
        </w:rPr>
        <w:t>Ndërtimi i kapaciteteve, kërkimi dhe transferimi i njohurive duhet të përmirësohen ndjeshëm</w:t>
      </w:r>
      <w:r w:rsidR="003251A1" w:rsidRPr="00B907A3">
        <w:rPr>
          <w:rFonts w:ascii="Garamond" w:eastAsia="Calibri" w:hAnsi="Garamond"/>
          <w:spacing w:val="-2"/>
          <w:w w:val="105"/>
          <w:sz w:val="24"/>
          <w:lang w:eastAsia="en-US"/>
        </w:rPr>
        <w:t>.</w:t>
      </w:r>
    </w:p>
    <w:p w14:paraId="61EA4D7D" w14:textId="0CAB1E05" w:rsidR="003251A1" w:rsidRPr="00B907A3" w:rsidRDefault="00A03CA0" w:rsidP="008C4E07">
      <w:pPr>
        <w:pStyle w:val="ListParagraph"/>
        <w:shd w:val="clear" w:color="auto" w:fill="E2EFD9" w:themeFill="accent6" w:themeFillTint="33"/>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542FDA" w:rsidRPr="00B907A3">
        <w:rPr>
          <w:rFonts w:ascii="Garamond" w:eastAsia="Calibri" w:hAnsi="Garamond"/>
          <w:b/>
          <w:spacing w:val="-2"/>
          <w:w w:val="105"/>
          <w:sz w:val="24"/>
          <w:lang w:eastAsia="en-US"/>
        </w:rPr>
        <w:t xml:space="preserve">Shtylla 3 (Automjete të Sigurta): </w:t>
      </w:r>
      <w:r w:rsidR="00542FDA" w:rsidRPr="00B907A3">
        <w:rPr>
          <w:rFonts w:ascii="Garamond" w:eastAsia="Calibri" w:hAnsi="Garamond"/>
          <w:bCs/>
          <w:spacing w:val="-2"/>
          <w:w w:val="105"/>
          <w:sz w:val="24"/>
          <w:lang w:eastAsia="en-US"/>
        </w:rPr>
        <w:t>aspektet e mëposhtme të sigurisë rrugore kanë nevojë për vëmendje dhe përmirësime shtesë</w:t>
      </w:r>
      <w:r w:rsidR="003251A1" w:rsidRPr="00B907A3">
        <w:rPr>
          <w:rFonts w:ascii="Garamond" w:eastAsia="Calibri" w:hAnsi="Garamond"/>
          <w:bCs/>
          <w:spacing w:val="-2"/>
          <w:w w:val="105"/>
          <w:sz w:val="24"/>
          <w:lang w:eastAsia="en-US"/>
        </w:rPr>
        <w:t>:</w:t>
      </w:r>
      <w:r w:rsidR="003251A1" w:rsidRPr="00B907A3">
        <w:rPr>
          <w:rFonts w:ascii="Garamond" w:eastAsia="Calibri" w:hAnsi="Garamond"/>
          <w:spacing w:val="-2"/>
          <w:w w:val="105"/>
          <w:sz w:val="24"/>
          <w:lang w:eastAsia="en-US"/>
        </w:rPr>
        <w:t xml:space="preserve"> </w:t>
      </w:r>
    </w:p>
    <w:p w14:paraId="74AB8DF2" w14:textId="0FEA063D"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542FDA" w:rsidRPr="00B907A3">
        <w:rPr>
          <w:rFonts w:ascii="Garamond" w:eastAsia="Calibri" w:hAnsi="Garamond"/>
          <w:spacing w:val="-2"/>
          <w:w w:val="105"/>
          <w:sz w:val="24"/>
          <w:lang w:eastAsia="en-US"/>
        </w:rPr>
        <w:t>Ekziston nevoja për përmirësimin e kontrolleve rrugore/kontrolleve periodike teknike të automjeteve dhe</w:t>
      </w:r>
      <w:r w:rsidR="005E37C5" w:rsidRPr="00B907A3">
        <w:rPr>
          <w:rFonts w:ascii="Garamond" w:eastAsia="Calibri" w:hAnsi="Garamond"/>
          <w:spacing w:val="-2"/>
          <w:w w:val="105"/>
          <w:sz w:val="24"/>
          <w:lang w:eastAsia="en-US"/>
        </w:rPr>
        <w:t xml:space="preserve"> detektimin</w:t>
      </w:r>
      <w:r w:rsidR="00542FDA" w:rsidRPr="00B907A3">
        <w:rPr>
          <w:rFonts w:ascii="Garamond" w:eastAsia="Calibri" w:hAnsi="Garamond"/>
          <w:spacing w:val="-2"/>
          <w:w w:val="105"/>
          <w:sz w:val="24"/>
          <w:lang w:eastAsia="en-US"/>
        </w:rPr>
        <w:t xml:space="preserve"> e automjeteve mbipeshë, përmirësimin e zbatimit të rregullave për transportin e mallrave të rrezikshme në rrugë, si dhe përmirësimin e sigurisë së përdorimit të pajisjeve të mikro</w:t>
      </w:r>
      <w:r w:rsidR="00A021B5">
        <w:rPr>
          <w:rFonts w:ascii="Garamond" w:eastAsia="Calibri" w:hAnsi="Garamond"/>
          <w:spacing w:val="-2"/>
          <w:w w:val="105"/>
          <w:sz w:val="24"/>
          <w:lang w:eastAsia="en-US"/>
        </w:rPr>
        <w:t>-</w:t>
      </w:r>
      <w:r w:rsidR="00542FDA" w:rsidRPr="00B907A3">
        <w:rPr>
          <w:rFonts w:ascii="Garamond" w:eastAsia="Calibri" w:hAnsi="Garamond"/>
          <w:spacing w:val="-2"/>
          <w:w w:val="105"/>
          <w:sz w:val="24"/>
          <w:lang w:eastAsia="en-US"/>
        </w:rPr>
        <w:t>mobiliteteve</w:t>
      </w:r>
      <w:r w:rsidR="003251A1" w:rsidRPr="00B907A3">
        <w:rPr>
          <w:rFonts w:ascii="Garamond" w:eastAsia="Calibri" w:hAnsi="Garamond"/>
          <w:spacing w:val="-2"/>
          <w:w w:val="105"/>
          <w:sz w:val="24"/>
          <w:lang w:eastAsia="en-US"/>
        </w:rPr>
        <w:t>;</w:t>
      </w:r>
    </w:p>
    <w:p w14:paraId="74717F70" w14:textId="1BAB5AF1"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542FDA" w:rsidRPr="00B907A3">
        <w:rPr>
          <w:rFonts w:ascii="Garamond" w:eastAsia="Calibri" w:hAnsi="Garamond"/>
          <w:spacing w:val="-2"/>
          <w:w w:val="105"/>
          <w:sz w:val="24"/>
          <w:lang w:eastAsia="en-US"/>
        </w:rPr>
        <w:t xml:space="preserve">Rritja e ndërgjegjësimit </w:t>
      </w:r>
      <w:r w:rsidR="005E37C5" w:rsidRPr="00B907A3">
        <w:rPr>
          <w:rFonts w:ascii="Garamond" w:eastAsia="Calibri" w:hAnsi="Garamond"/>
          <w:spacing w:val="-2"/>
          <w:w w:val="105"/>
          <w:sz w:val="24"/>
          <w:lang w:eastAsia="en-US"/>
        </w:rPr>
        <w:t xml:space="preserve">mbi </w:t>
      </w:r>
      <w:r w:rsidR="00922C4F" w:rsidRPr="00B907A3">
        <w:rPr>
          <w:rFonts w:ascii="Garamond" w:eastAsia="Calibri" w:hAnsi="Garamond"/>
          <w:spacing w:val="-2"/>
          <w:w w:val="105"/>
          <w:sz w:val="24"/>
          <w:lang w:eastAsia="en-US"/>
        </w:rPr>
        <w:t>Programi Evropian i Vlerësimit të Makinave të Reja</w:t>
      </w:r>
      <w:r w:rsidR="005E37C5" w:rsidRPr="00B907A3">
        <w:rPr>
          <w:rFonts w:ascii="Garamond" w:eastAsia="Calibri" w:hAnsi="Garamond"/>
          <w:spacing w:val="-2"/>
          <w:w w:val="105"/>
          <w:sz w:val="24"/>
          <w:lang w:eastAsia="en-US"/>
        </w:rPr>
        <w:t xml:space="preserve"> </w:t>
      </w:r>
      <w:r w:rsidR="00542FDA" w:rsidRPr="00B907A3">
        <w:rPr>
          <w:rFonts w:ascii="Garamond" w:eastAsia="Calibri" w:hAnsi="Garamond"/>
          <w:spacing w:val="-2"/>
          <w:w w:val="105"/>
          <w:sz w:val="24"/>
          <w:lang w:eastAsia="en-US"/>
        </w:rPr>
        <w:t>dhe automjete më të sigurta d</w:t>
      </w:r>
      <w:r w:rsidR="00561E0A" w:rsidRPr="00B907A3">
        <w:rPr>
          <w:rFonts w:ascii="Garamond" w:eastAsia="Calibri" w:hAnsi="Garamond"/>
          <w:spacing w:val="-2"/>
          <w:w w:val="105"/>
          <w:sz w:val="24"/>
          <w:lang w:eastAsia="en-US"/>
        </w:rPr>
        <w:t>uhet</w:t>
      </w:r>
      <w:r w:rsidR="00542FDA" w:rsidRPr="00B907A3">
        <w:rPr>
          <w:rFonts w:ascii="Garamond" w:eastAsia="Calibri" w:hAnsi="Garamond"/>
          <w:spacing w:val="-2"/>
          <w:w w:val="105"/>
          <w:sz w:val="24"/>
          <w:lang w:eastAsia="en-US"/>
        </w:rPr>
        <w:t xml:space="preserve"> të </w:t>
      </w:r>
      <w:r w:rsidR="005E37C5" w:rsidRPr="00B907A3">
        <w:rPr>
          <w:rFonts w:ascii="Garamond" w:eastAsia="Calibri" w:hAnsi="Garamond"/>
          <w:spacing w:val="-2"/>
          <w:w w:val="105"/>
          <w:sz w:val="24"/>
          <w:lang w:eastAsia="en-US"/>
        </w:rPr>
        <w:t xml:space="preserve">përfshihet </w:t>
      </w:r>
      <w:r w:rsidR="00542FDA" w:rsidRPr="00B907A3">
        <w:rPr>
          <w:rFonts w:ascii="Garamond" w:eastAsia="Calibri" w:hAnsi="Garamond"/>
          <w:spacing w:val="-2"/>
          <w:w w:val="105"/>
          <w:sz w:val="24"/>
          <w:lang w:eastAsia="en-US"/>
        </w:rPr>
        <w:t>në fushatat publike</w:t>
      </w:r>
      <w:r w:rsidR="003251A1" w:rsidRPr="00B907A3">
        <w:rPr>
          <w:rFonts w:ascii="Garamond" w:eastAsia="Calibri" w:hAnsi="Garamond"/>
          <w:spacing w:val="-2"/>
          <w:w w:val="105"/>
          <w:sz w:val="24"/>
          <w:lang w:eastAsia="en-US"/>
        </w:rPr>
        <w:t>;</w:t>
      </w:r>
    </w:p>
    <w:p w14:paraId="4132D5B6" w14:textId="17CCA113"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542FDA" w:rsidRPr="00B907A3">
        <w:rPr>
          <w:rFonts w:ascii="Garamond" w:eastAsia="Calibri" w:hAnsi="Garamond"/>
          <w:spacing w:val="-2"/>
          <w:w w:val="105"/>
          <w:sz w:val="24"/>
          <w:lang w:eastAsia="en-US"/>
        </w:rPr>
        <w:t xml:space="preserve">Qeveria </w:t>
      </w:r>
      <w:r w:rsidR="005E37C5" w:rsidRPr="00B907A3">
        <w:rPr>
          <w:rFonts w:ascii="Garamond" w:eastAsia="Calibri" w:hAnsi="Garamond"/>
          <w:spacing w:val="-2"/>
          <w:w w:val="105"/>
          <w:sz w:val="24"/>
          <w:lang w:eastAsia="en-US"/>
        </w:rPr>
        <w:t xml:space="preserve">duhet </w:t>
      </w:r>
      <w:r w:rsidR="00542FDA" w:rsidRPr="00B907A3">
        <w:rPr>
          <w:rFonts w:ascii="Garamond" w:eastAsia="Calibri" w:hAnsi="Garamond"/>
          <w:spacing w:val="-2"/>
          <w:w w:val="105"/>
          <w:sz w:val="24"/>
          <w:lang w:eastAsia="en-US"/>
        </w:rPr>
        <w:t>të rrisë lehtësimin e përdorimit të automjeteve më të sigurta dhe më ekologjike</w:t>
      </w:r>
      <w:r w:rsidR="003251A1" w:rsidRPr="00B907A3">
        <w:rPr>
          <w:rFonts w:ascii="Garamond" w:eastAsia="Calibri" w:hAnsi="Garamond"/>
          <w:spacing w:val="-2"/>
          <w:w w:val="105"/>
          <w:sz w:val="24"/>
          <w:lang w:eastAsia="en-US"/>
        </w:rPr>
        <w:t>.</w:t>
      </w:r>
    </w:p>
    <w:p w14:paraId="10AB8721" w14:textId="204C215B" w:rsidR="003251A1" w:rsidRPr="00B907A3" w:rsidRDefault="00A03CA0" w:rsidP="008C4E07">
      <w:pPr>
        <w:pStyle w:val="ListParagraph"/>
        <w:shd w:val="clear" w:color="auto" w:fill="E2EFD9" w:themeFill="accent6" w:themeFillTint="33"/>
        <w:ind w:left="0" w:firstLine="284"/>
        <w:jc w:val="both"/>
        <w:rPr>
          <w:rFonts w:ascii="Garamond" w:eastAsia="Calibri" w:hAnsi="Garamond"/>
          <w:b/>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b/>
          <w:spacing w:val="-2"/>
          <w:w w:val="105"/>
          <w:sz w:val="24"/>
          <w:lang w:eastAsia="en-US"/>
        </w:rPr>
        <w:t>Shtylla 4 (Sjelljet e Sigurta të Përdoruesve të Rrugës</w:t>
      </w:r>
      <w:r w:rsidR="003251A1" w:rsidRPr="00B907A3">
        <w:rPr>
          <w:rFonts w:ascii="Garamond" w:eastAsia="Calibri" w:hAnsi="Garamond"/>
          <w:b/>
          <w:spacing w:val="-2"/>
          <w:w w:val="105"/>
          <w:sz w:val="24"/>
          <w:lang w:eastAsia="en-US"/>
        </w:rPr>
        <w:t xml:space="preserve">): </w:t>
      </w:r>
    </w:p>
    <w:p w14:paraId="1F6BA4ED" w14:textId="10D7E40D"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spacing w:val="-2"/>
          <w:w w:val="105"/>
          <w:sz w:val="24"/>
          <w:lang w:eastAsia="en-US"/>
        </w:rPr>
        <w:t xml:space="preserve">Ekziston nevoja për një kuptim më të mirë të faktorëve të </w:t>
      </w:r>
      <w:r w:rsidR="005E37C5" w:rsidRPr="00B907A3">
        <w:rPr>
          <w:rFonts w:ascii="Garamond" w:eastAsia="Calibri" w:hAnsi="Garamond"/>
          <w:spacing w:val="-2"/>
          <w:w w:val="105"/>
          <w:sz w:val="24"/>
          <w:lang w:eastAsia="en-US"/>
        </w:rPr>
        <w:t>riskut p</w:t>
      </w:r>
      <w:r w:rsidR="006B3AAD" w:rsidRPr="00B907A3">
        <w:rPr>
          <w:rFonts w:ascii="Garamond" w:eastAsia="Calibri" w:hAnsi="Garamond"/>
          <w:spacing w:val="-2"/>
          <w:w w:val="105"/>
          <w:sz w:val="24"/>
          <w:lang w:eastAsia="en-US"/>
        </w:rPr>
        <w:t>ë</w:t>
      </w:r>
      <w:r w:rsidR="005E37C5" w:rsidRPr="00B907A3">
        <w:rPr>
          <w:rFonts w:ascii="Garamond" w:eastAsia="Calibri" w:hAnsi="Garamond"/>
          <w:spacing w:val="-2"/>
          <w:w w:val="105"/>
          <w:sz w:val="24"/>
          <w:lang w:eastAsia="en-US"/>
        </w:rPr>
        <w:t>r</w:t>
      </w:r>
      <w:r w:rsidR="006B3AAD" w:rsidRPr="00B907A3">
        <w:rPr>
          <w:rFonts w:ascii="Garamond" w:eastAsia="Calibri" w:hAnsi="Garamond"/>
          <w:spacing w:val="-2"/>
          <w:w w:val="105"/>
          <w:sz w:val="24"/>
          <w:lang w:eastAsia="en-US"/>
        </w:rPr>
        <w:t xml:space="preserve"> </w:t>
      </w:r>
      <w:r w:rsidR="005E37C5" w:rsidRPr="00B907A3">
        <w:rPr>
          <w:rFonts w:ascii="Garamond" w:eastAsia="Calibri" w:hAnsi="Garamond"/>
          <w:spacing w:val="-2"/>
          <w:w w:val="105"/>
          <w:sz w:val="24"/>
          <w:lang w:eastAsia="en-US"/>
        </w:rPr>
        <w:t xml:space="preserve">sigurinë </w:t>
      </w:r>
      <w:r w:rsidR="006B3AAD" w:rsidRPr="00B907A3">
        <w:rPr>
          <w:rFonts w:ascii="Garamond" w:eastAsia="Calibri" w:hAnsi="Garamond"/>
          <w:spacing w:val="-2"/>
          <w:w w:val="105"/>
          <w:sz w:val="24"/>
          <w:lang w:eastAsia="en-US"/>
        </w:rPr>
        <w:t xml:space="preserve">rrugore, veçanërisht </w:t>
      </w:r>
      <w:r w:rsidR="00D513AA" w:rsidRPr="00B907A3">
        <w:rPr>
          <w:rFonts w:ascii="Garamond" w:eastAsia="Calibri" w:hAnsi="Garamond"/>
          <w:spacing w:val="-2"/>
          <w:w w:val="105"/>
          <w:sz w:val="24"/>
          <w:lang w:eastAsia="en-US"/>
        </w:rPr>
        <w:t xml:space="preserve">përfshirja e </w:t>
      </w:r>
      <w:r w:rsidR="005623F8" w:rsidRPr="00B907A3">
        <w:rPr>
          <w:rFonts w:ascii="Garamond" w:eastAsia="Calibri" w:hAnsi="Garamond"/>
          <w:spacing w:val="-2"/>
          <w:w w:val="105"/>
          <w:sz w:val="24"/>
          <w:lang w:eastAsia="en-US"/>
        </w:rPr>
        <w:t>Tregues</w:t>
      </w:r>
      <w:r w:rsidR="00922C4F" w:rsidRPr="00B907A3">
        <w:rPr>
          <w:rFonts w:ascii="Garamond" w:eastAsia="Calibri" w:hAnsi="Garamond"/>
          <w:spacing w:val="-2"/>
          <w:w w:val="105"/>
          <w:sz w:val="24"/>
          <w:lang w:eastAsia="en-US"/>
        </w:rPr>
        <w:t xml:space="preserve">ve </w:t>
      </w:r>
      <w:r w:rsidR="002376E2" w:rsidRPr="00B907A3">
        <w:rPr>
          <w:rFonts w:ascii="Garamond" w:eastAsia="Calibri" w:hAnsi="Garamond"/>
          <w:spacing w:val="-2"/>
          <w:w w:val="105"/>
          <w:sz w:val="24"/>
          <w:lang w:eastAsia="en-US"/>
        </w:rPr>
        <w:t>K</w:t>
      </w:r>
      <w:r w:rsidR="00922C4F" w:rsidRPr="00B907A3">
        <w:rPr>
          <w:rFonts w:ascii="Garamond" w:eastAsia="Calibri" w:hAnsi="Garamond"/>
          <w:spacing w:val="-2"/>
          <w:w w:val="105"/>
          <w:sz w:val="24"/>
          <w:lang w:eastAsia="en-US"/>
        </w:rPr>
        <w:t xml:space="preserve">ryesorë të </w:t>
      </w:r>
      <w:r w:rsidR="002376E2" w:rsidRPr="00B907A3">
        <w:rPr>
          <w:rFonts w:ascii="Garamond" w:eastAsia="Calibri" w:hAnsi="Garamond"/>
          <w:spacing w:val="-2"/>
          <w:w w:val="105"/>
          <w:sz w:val="24"/>
          <w:lang w:eastAsia="en-US"/>
        </w:rPr>
        <w:t>P</w:t>
      </w:r>
      <w:r w:rsidR="00922C4F" w:rsidRPr="00B907A3">
        <w:rPr>
          <w:rFonts w:ascii="Garamond" w:eastAsia="Calibri" w:hAnsi="Garamond"/>
          <w:spacing w:val="-2"/>
          <w:w w:val="105"/>
          <w:sz w:val="24"/>
          <w:lang w:eastAsia="en-US"/>
        </w:rPr>
        <w:t>erformancës (</w:t>
      </w:r>
      <w:r w:rsidR="005623F8" w:rsidRPr="00B907A3">
        <w:rPr>
          <w:rFonts w:ascii="Garamond" w:eastAsia="Calibri" w:hAnsi="Garamond"/>
          <w:spacing w:val="-2"/>
          <w:w w:val="105"/>
          <w:sz w:val="24"/>
          <w:lang w:eastAsia="en-US"/>
        </w:rPr>
        <w:t>T</w:t>
      </w:r>
      <w:r w:rsidR="00922C4F" w:rsidRPr="00B907A3">
        <w:rPr>
          <w:rFonts w:ascii="Garamond" w:eastAsia="Calibri" w:hAnsi="Garamond"/>
          <w:spacing w:val="-2"/>
          <w:w w:val="105"/>
          <w:sz w:val="24"/>
          <w:lang w:eastAsia="en-US"/>
        </w:rPr>
        <w:t>KP)</w:t>
      </w:r>
      <w:r w:rsidR="003251A1" w:rsidRPr="00B907A3">
        <w:rPr>
          <w:rFonts w:ascii="Garamond" w:eastAsia="Calibri" w:hAnsi="Garamond"/>
          <w:spacing w:val="-2"/>
          <w:w w:val="105"/>
          <w:sz w:val="24"/>
          <w:lang w:eastAsia="en-US"/>
        </w:rPr>
        <w:t>;</w:t>
      </w:r>
    </w:p>
    <w:p w14:paraId="7FA2EAD1" w14:textId="23A87687"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spacing w:val="-2"/>
          <w:w w:val="105"/>
          <w:sz w:val="24"/>
          <w:lang w:eastAsia="en-US"/>
        </w:rPr>
        <w:t xml:space="preserve">Zbatimi i të gjithë </w:t>
      </w:r>
      <w:r w:rsidR="005623F8" w:rsidRPr="00B907A3">
        <w:rPr>
          <w:rFonts w:ascii="Garamond" w:eastAsia="Calibri" w:hAnsi="Garamond"/>
          <w:spacing w:val="-2"/>
          <w:w w:val="105"/>
          <w:sz w:val="24"/>
          <w:lang w:eastAsia="en-US"/>
        </w:rPr>
        <w:t>T</w:t>
      </w:r>
      <w:r w:rsidR="00D513AA" w:rsidRPr="00B907A3">
        <w:rPr>
          <w:rFonts w:ascii="Garamond" w:eastAsia="Calibri" w:hAnsi="Garamond"/>
          <w:spacing w:val="-2"/>
          <w:w w:val="105"/>
          <w:sz w:val="24"/>
          <w:lang w:eastAsia="en-US"/>
        </w:rPr>
        <w:t>KP</w:t>
      </w:r>
      <w:r w:rsidR="006B3AAD" w:rsidRPr="00B907A3">
        <w:rPr>
          <w:rFonts w:ascii="Garamond" w:eastAsia="Calibri" w:hAnsi="Garamond"/>
          <w:spacing w:val="-2"/>
          <w:w w:val="105"/>
          <w:sz w:val="24"/>
          <w:lang w:eastAsia="en-US"/>
        </w:rPr>
        <w:t>-ve d</w:t>
      </w:r>
      <w:r w:rsidR="00D513AA" w:rsidRPr="00B907A3">
        <w:rPr>
          <w:rFonts w:ascii="Garamond" w:eastAsia="Calibri" w:hAnsi="Garamond"/>
          <w:spacing w:val="-2"/>
          <w:w w:val="105"/>
          <w:sz w:val="24"/>
          <w:lang w:eastAsia="en-US"/>
        </w:rPr>
        <w:t xml:space="preserve">uhet </w:t>
      </w:r>
      <w:r w:rsidR="006B3AAD" w:rsidRPr="00B907A3">
        <w:rPr>
          <w:rFonts w:ascii="Garamond" w:eastAsia="Calibri" w:hAnsi="Garamond"/>
          <w:spacing w:val="-2"/>
          <w:w w:val="105"/>
          <w:sz w:val="24"/>
          <w:lang w:eastAsia="en-US"/>
        </w:rPr>
        <w:t>të përmirësohet</w:t>
      </w:r>
      <w:r w:rsidR="003251A1" w:rsidRPr="00B907A3">
        <w:rPr>
          <w:rFonts w:ascii="Garamond" w:eastAsia="Calibri" w:hAnsi="Garamond"/>
          <w:spacing w:val="-2"/>
          <w:w w:val="105"/>
          <w:sz w:val="24"/>
          <w:lang w:eastAsia="en-US"/>
        </w:rPr>
        <w:t>;</w:t>
      </w:r>
    </w:p>
    <w:p w14:paraId="28174226" w14:textId="5B9EC1BB"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spacing w:val="-2"/>
          <w:w w:val="105"/>
          <w:sz w:val="24"/>
          <w:lang w:eastAsia="en-US"/>
        </w:rPr>
        <w:t xml:space="preserve">Mungojnë fushatat gjithëpërfshirëse të sigurisë rrugore </w:t>
      </w:r>
      <w:r w:rsidR="00D513AA" w:rsidRPr="00B907A3">
        <w:rPr>
          <w:rFonts w:ascii="Garamond" w:eastAsia="Calibri" w:hAnsi="Garamond"/>
          <w:spacing w:val="-2"/>
          <w:w w:val="105"/>
          <w:sz w:val="24"/>
          <w:lang w:eastAsia="en-US"/>
        </w:rPr>
        <w:t xml:space="preserve">si pjesë e </w:t>
      </w:r>
      <w:r w:rsidR="005623F8" w:rsidRPr="00B907A3">
        <w:rPr>
          <w:rFonts w:ascii="Garamond" w:eastAsia="Calibri" w:hAnsi="Garamond"/>
          <w:spacing w:val="-2"/>
          <w:w w:val="105"/>
          <w:sz w:val="24"/>
          <w:lang w:eastAsia="en-US"/>
        </w:rPr>
        <w:t>T</w:t>
      </w:r>
      <w:r w:rsidR="00D513AA" w:rsidRPr="00B907A3">
        <w:rPr>
          <w:rFonts w:ascii="Garamond" w:eastAsia="Calibri" w:hAnsi="Garamond"/>
          <w:spacing w:val="-2"/>
          <w:w w:val="105"/>
          <w:sz w:val="24"/>
          <w:lang w:eastAsia="en-US"/>
        </w:rPr>
        <w:t>KP-ve</w:t>
      </w:r>
      <w:r w:rsidR="003251A1" w:rsidRPr="00B907A3">
        <w:rPr>
          <w:rFonts w:ascii="Garamond" w:eastAsia="Calibri" w:hAnsi="Garamond"/>
          <w:spacing w:val="-2"/>
          <w:w w:val="105"/>
          <w:sz w:val="24"/>
          <w:lang w:eastAsia="en-US"/>
        </w:rPr>
        <w:t xml:space="preserve">. </w:t>
      </w:r>
    </w:p>
    <w:p w14:paraId="10E091E6" w14:textId="042A08C3" w:rsidR="003251A1" w:rsidRPr="00B907A3" w:rsidRDefault="00A03CA0" w:rsidP="008C4E07">
      <w:pPr>
        <w:pStyle w:val="ListParagraph"/>
        <w:shd w:val="clear" w:color="auto" w:fill="E2EFD9" w:themeFill="accent6" w:themeFillTint="33"/>
        <w:ind w:left="0" w:firstLine="284"/>
        <w:jc w:val="both"/>
        <w:rPr>
          <w:rFonts w:ascii="Garamond" w:eastAsia="Calibri" w:hAnsi="Garamond"/>
          <w:b/>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b/>
          <w:spacing w:val="-2"/>
          <w:w w:val="105"/>
          <w:sz w:val="24"/>
          <w:lang w:eastAsia="en-US"/>
        </w:rPr>
        <w:t>Shtylla 5 (Reagimi pas Aksidentit</w:t>
      </w:r>
      <w:r w:rsidR="003251A1" w:rsidRPr="00B907A3">
        <w:rPr>
          <w:rFonts w:ascii="Garamond" w:eastAsia="Calibri" w:hAnsi="Garamond"/>
          <w:b/>
          <w:spacing w:val="-2"/>
          <w:w w:val="105"/>
          <w:sz w:val="24"/>
          <w:lang w:eastAsia="en-US"/>
        </w:rPr>
        <w:t xml:space="preserve">): </w:t>
      </w:r>
    </w:p>
    <w:p w14:paraId="1249E179" w14:textId="53DB33F8"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lastRenderedPageBreak/>
        <w:t xml:space="preserve">- </w:t>
      </w:r>
      <w:r w:rsidR="006B3AAD" w:rsidRPr="00B907A3">
        <w:rPr>
          <w:rFonts w:ascii="Garamond" w:eastAsia="Calibri" w:hAnsi="Garamond"/>
          <w:spacing w:val="-2"/>
          <w:w w:val="105"/>
          <w:sz w:val="24"/>
          <w:lang w:eastAsia="en-US"/>
        </w:rPr>
        <w:t xml:space="preserve">Ekziston nevoja për përmirësimin e trajnimeve të përbashkëta të policisë, </w:t>
      </w:r>
      <w:r w:rsidR="00365D02" w:rsidRPr="00B907A3">
        <w:rPr>
          <w:rFonts w:ascii="Garamond" w:eastAsia="Calibri" w:hAnsi="Garamond"/>
          <w:spacing w:val="-2"/>
          <w:w w:val="105"/>
          <w:sz w:val="24"/>
          <w:lang w:eastAsia="en-US"/>
        </w:rPr>
        <w:t>kërkim-</w:t>
      </w:r>
      <w:r w:rsidR="006B3AAD" w:rsidRPr="00B907A3">
        <w:rPr>
          <w:rFonts w:ascii="Garamond" w:eastAsia="Calibri" w:hAnsi="Garamond"/>
          <w:spacing w:val="-2"/>
          <w:w w:val="105"/>
          <w:sz w:val="24"/>
          <w:lang w:eastAsia="en-US"/>
        </w:rPr>
        <w:t>shpëtimit dhe</w:t>
      </w:r>
      <w:r w:rsidR="00A1052E" w:rsidRPr="00B907A3">
        <w:rPr>
          <w:rFonts w:ascii="Garamond" w:eastAsia="Calibri" w:hAnsi="Garamond"/>
          <w:spacing w:val="-2"/>
          <w:w w:val="105"/>
          <w:sz w:val="24"/>
          <w:lang w:eastAsia="en-US"/>
        </w:rPr>
        <w:t xml:space="preserve"> </w:t>
      </w:r>
      <w:r w:rsidR="003D3BB4" w:rsidRPr="00B907A3">
        <w:rPr>
          <w:rFonts w:ascii="Garamond" w:eastAsia="Calibri" w:hAnsi="Garamond"/>
          <w:spacing w:val="-2"/>
          <w:w w:val="105"/>
          <w:sz w:val="24"/>
          <w:lang w:eastAsia="en-US"/>
        </w:rPr>
        <w:t>ndihmën e par</w:t>
      </w:r>
      <w:r w:rsidR="00CA174E" w:rsidRPr="00B907A3">
        <w:rPr>
          <w:rFonts w:ascii="Garamond" w:eastAsia="Calibri" w:hAnsi="Garamond"/>
          <w:spacing w:val="-2"/>
          <w:w w:val="105"/>
          <w:sz w:val="24"/>
          <w:lang w:eastAsia="en-US"/>
        </w:rPr>
        <w:t>ë</w:t>
      </w:r>
      <w:r w:rsidR="003D3BB4" w:rsidRPr="00B907A3">
        <w:rPr>
          <w:rFonts w:ascii="Garamond" w:eastAsia="Calibri" w:hAnsi="Garamond"/>
          <w:spacing w:val="-2"/>
          <w:w w:val="105"/>
          <w:sz w:val="24"/>
          <w:lang w:eastAsia="en-US"/>
        </w:rPr>
        <w:t xml:space="preserve"> të </w:t>
      </w:r>
      <w:r w:rsidR="00731969" w:rsidRPr="00B907A3">
        <w:rPr>
          <w:rFonts w:ascii="Garamond" w:eastAsia="Calibri" w:hAnsi="Garamond"/>
          <w:spacing w:val="-2"/>
          <w:w w:val="105"/>
          <w:sz w:val="24"/>
          <w:lang w:eastAsia="en-US"/>
        </w:rPr>
        <w:t>S</w:t>
      </w:r>
      <w:r w:rsidR="00365D02" w:rsidRPr="00B907A3">
        <w:rPr>
          <w:rFonts w:ascii="Garamond" w:eastAsia="Calibri" w:hAnsi="Garamond"/>
          <w:spacing w:val="-2"/>
          <w:w w:val="105"/>
          <w:sz w:val="24"/>
          <w:lang w:eastAsia="en-US"/>
        </w:rPr>
        <w:t>hërbimit të Urgjen</w:t>
      </w:r>
      <w:r w:rsidR="00CA174E" w:rsidRPr="00B907A3">
        <w:rPr>
          <w:rFonts w:ascii="Garamond" w:eastAsia="Calibri" w:hAnsi="Garamond"/>
          <w:spacing w:val="-2"/>
          <w:w w:val="105"/>
          <w:sz w:val="24"/>
          <w:lang w:eastAsia="en-US"/>
        </w:rPr>
        <w:t>c</w:t>
      </w:r>
      <w:r w:rsidR="00365D02" w:rsidRPr="00B907A3">
        <w:rPr>
          <w:rFonts w:ascii="Garamond" w:eastAsia="Calibri" w:hAnsi="Garamond"/>
          <w:spacing w:val="-2"/>
          <w:w w:val="105"/>
          <w:sz w:val="24"/>
          <w:lang w:eastAsia="en-US"/>
        </w:rPr>
        <w:t>ës Mjekësore</w:t>
      </w:r>
      <w:r w:rsidR="00C64926" w:rsidRPr="00B907A3">
        <w:rPr>
          <w:rFonts w:ascii="Garamond" w:eastAsia="Calibri" w:hAnsi="Garamond"/>
          <w:spacing w:val="-2"/>
          <w:w w:val="105"/>
          <w:sz w:val="24"/>
          <w:lang w:eastAsia="en-US"/>
        </w:rPr>
        <w:t xml:space="preserve"> dhe trajtimin e të lënduarve</w:t>
      </w:r>
      <w:r w:rsidR="003251A1" w:rsidRPr="00B907A3">
        <w:rPr>
          <w:rFonts w:ascii="Garamond" w:eastAsia="Calibri" w:hAnsi="Garamond"/>
          <w:spacing w:val="-2"/>
          <w:w w:val="105"/>
          <w:sz w:val="24"/>
          <w:lang w:eastAsia="en-US"/>
        </w:rPr>
        <w:t>;</w:t>
      </w:r>
    </w:p>
    <w:p w14:paraId="375BAC49" w14:textId="45547361"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spacing w:val="-2"/>
          <w:w w:val="105"/>
          <w:sz w:val="24"/>
          <w:lang w:eastAsia="en-US"/>
        </w:rPr>
        <w:t>D</w:t>
      </w:r>
      <w:r w:rsidR="00CA174E" w:rsidRPr="00B907A3">
        <w:rPr>
          <w:rFonts w:ascii="Garamond" w:eastAsia="Calibri" w:hAnsi="Garamond"/>
          <w:spacing w:val="-2"/>
          <w:w w:val="105"/>
          <w:sz w:val="24"/>
          <w:lang w:eastAsia="en-US"/>
        </w:rPr>
        <w:t xml:space="preserve">uhet </w:t>
      </w:r>
      <w:r w:rsidR="006B3AAD" w:rsidRPr="00B907A3">
        <w:rPr>
          <w:rFonts w:ascii="Garamond" w:eastAsia="Calibri" w:hAnsi="Garamond"/>
          <w:spacing w:val="-2"/>
          <w:w w:val="105"/>
          <w:sz w:val="24"/>
          <w:lang w:eastAsia="en-US"/>
        </w:rPr>
        <w:t xml:space="preserve">të bëhet një vlerësim i rregullt </w:t>
      </w:r>
      <w:r w:rsidR="00CA174E" w:rsidRPr="00B907A3">
        <w:rPr>
          <w:rFonts w:ascii="Garamond" w:eastAsia="Calibri" w:hAnsi="Garamond"/>
          <w:spacing w:val="-2"/>
          <w:w w:val="105"/>
          <w:sz w:val="24"/>
          <w:lang w:eastAsia="en-US"/>
        </w:rPr>
        <w:t xml:space="preserve">i </w:t>
      </w:r>
      <w:r w:rsidR="00731969" w:rsidRPr="00B907A3">
        <w:rPr>
          <w:rFonts w:ascii="Garamond" w:eastAsia="Calibri" w:hAnsi="Garamond"/>
          <w:spacing w:val="-2"/>
          <w:w w:val="105"/>
          <w:sz w:val="24"/>
          <w:lang w:eastAsia="en-US"/>
        </w:rPr>
        <w:t>S</w:t>
      </w:r>
      <w:r w:rsidR="00CA174E" w:rsidRPr="00B907A3">
        <w:rPr>
          <w:rFonts w:ascii="Garamond" w:eastAsia="Calibri" w:hAnsi="Garamond"/>
          <w:spacing w:val="-2"/>
          <w:w w:val="105"/>
          <w:sz w:val="24"/>
          <w:lang w:eastAsia="en-US"/>
        </w:rPr>
        <w:t xml:space="preserve">hërbimit të Urgjencës Mjekësore </w:t>
      </w:r>
      <w:r w:rsidR="006B3AAD" w:rsidRPr="00B907A3">
        <w:rPr>
          <w:rFonts w:ascii="Garamond" w:eastAsia="Calibri" w:hAnsi="Garamond"/>
          <w:spacing w:val="-2"/>
          <w:w w:val="105"/>
          <w:sz w:val="24"/>
          <w:lang w:eastAsia="en-US"/>
        </w:rPr>
        <w:t xml:space="preserve">dhe </w:t>
      </w:r>
      <w:r w:rsidR="00CA174E" w:rsidRPr="00B907A3">
        <w:rPr>
          <w:rFonts w:ascii="Garamond" w:eastAsia="Calibri" w:hAnsi="Garamond"/>
          <w:spacing w:val="-2"/>
          <w:w w:val="105"/>
          <w:sz w:val="24"/>
          <w:lang w:eastAsia="en-US"/>
        </w:rPr>
        <w:t xml:space="preserve">monitorim i </w:t>
      </w:r>
      <w:r w:rsidR="006B3AAD" w:rsidRPr="00B907A3">
        <w:rPr>
          <w:rFonts w:ascii="Garamond" w:eastAsia="Calibri" w:hAnsi="Garamond"/>
          <w:spacing w:val="-2"/>
          <w:w w:val="105"/>
          <w:sz w:val="24"/>
          <w:lang w:eastAsia="en-US"/>
        </w:rPr>
        <w:t>koh</w:t>
      </w:r>
      <w:r w:rsidR="00CA174E" w:rsidRPr="00B907A3">
        <w:rPr>
          <w:rFonts w:ascii="Garamond" w:eastAsia="Calibri" w:hAnsi="Garamond"/>
          <w:spacing w:val="-2"/>
          <w:w w:val="105"/>
          <w:sz w:val="24"/>
          <w:lang w:eastAsia="en-US"/>
        </w:rPr>
        <w:t xml:space="preserve">ës së </w:t>
      </w:r>
      <w:r w:rsidR="006B3AAD" w:rsidRPr="00B907A3">
        <w:rPr>
          <w:rFonts w:ascii="Garamond" w:eastAsia="Calibri" w:hAnsi="Garamond"/>
          <w:spacing w:val="-2"/>
          <w:w w:val="105"/>
          <w:sz w:val="24"/>
          <w:lang w:eastAsia="en-US"/>
        </w:rPr>
        <w:t>reagimit</w:t>
      </w:r>
      <w:r w:rsidR="003251A1" w:rsidRPr="00B907A3">
        <w:rPr>
          <w:rFonts w:ascii="Garamond" w:eastAsia="Calibri" w:hAnsi="Garamond"/>
          <w:spacing w:val="-2"/>
          <w:w w:val="105"/>
          <w:sz w:val="24"/>
          <w:lang w:eastAsia="en-US"/>
        </w:rPr>
        <w:t>;</w:t>
      </w:r>
    </w:p>
    <w:p w14:paraId="52ED3161" w14:textId="7E959915" w:rsidR="003251A1" w:rsidRPr="00B907A3" w:rsidRDefault="00A03CA0" w:rsidP="008C4E07">
      <w:pPr>
        <w:pStyle w:val="ListParagraph"/>
        <w:ind w:left="0" w:firstLine="284"/>
        <w:jc w:val="both"/>
        <w:rPr>
          <w:rFonts w:ascii="Garamond" w:eastAsia="Calibri" w:hAnsi="Garamond"/>
          <w:spacing w:val="-2"/>
          <w:w w:val="105"/>
          <w:sz w:val="24"/>
          <w:lang w:eastAsia="en-US"/>
        </w:rPr>
      </w:pPr>
      <w:r w:rsidRPr="00B907A3">
        <w:rPr>
          <w:rFonts w:ascii="Garamond" w:eastAsia="Calibri" w:hAnsi="Garamond"/>
          <w:bCs/>
          <w:spacing w:val="-2"/>
          <w:w w:val="105"/>
          <w:sz w:val="24"/>
          <w:lang w:eastAsia="en-US"/>
        </w:rPr>
        <w:t xml:space="preserve">- </w:t>
      </w:r>
      <w:r w:rsidR="006B3AAD" w:rsidRPr="00B907A3">
        <w:rPr>
          <w:rFonts w:ascii="Garamond" w:eastAsia="Calibri" w:hAnsi="Garamond"/>
          <w:spacing w:val="-2"/>
          <w:w w:val="105"/>
          <w:sz w:val="24"/>
          <w:lang w:eastAsia="en-US"/>
        </w:rPr>
        <w:t xml:space="preserve">Shkalla e lëndimeve </w:t>
      </w:r>
      <w:r w:rsidR="00CA174E" w:rsidRPr="00B907A3">
        <w:rPr>
          <w:rFonts w:ascii="Garamond" w:eastAsia="Calibri" w:hAnsi="Garamond"/>
          <w:spacing w:val="-2"/>
          <w:w w:val="105"/>
          <w:sz w:val="24"/>
          <w:lang w:eastAsia="en-US"/>
        </w:rPr>
        <w:t>MAIS</w:t>
      </w:r>
      <w:r w:rsidR="006B3AAD" w:rsidRPr="00B907A3">
        <w:rPr>
          <w:rFonts w:ascii="Garamond" w:eastAsia="Calibri" w:hAnsi="Garamond"/>
          <w:spacing w:val="-2"/>
          <w:w w:val="105"/>
          <w:sz w:val="24"/>
          <w:lang w:eastAsia="en-US"/>
        </w:rPr>
        <w:t>3+ d</w:t>
      </w:r>
      <w:r w:rsidR="005577A6" w:rsidRPr="00B907A3">
        <w:rPr>
          <w:rFonts w:ascii="Garamond" w:eastAsia="Calibri" w:hAnsi="Garamond"/>
          <w:spacing w:val="-2"/>
          <w:w w:val="105"/>
          <w:sz w:val="24"/>
          <w:lang w:eastAsia="en-US"/>
        </w:rPr>
        <w:t>uhet</w:t>
      </w:r>
      <w:r w:rsidR="006B3AAD" w:rsidRPr="00B907A3">
        <w:rPr>
          <w:rFonts w:ascii="Garamond" w:eastAsia="Calibri" w:hAnsi="Garamond"/>
          <w:spacing w:val="-2"/>
          <w:w w:val="105"/>
          <w:sz w:val="24"/>
          <w:lang w:eastAsia="en-US"/>
        </w:rPr>
        <w:t xml:space="preserve"> të futet në sektorin e shëndetësisë, si dhe d</w:t>
      </w:r>
      <w:r w:rsidR="005577A6" w:rsidRPr="00B907A3">
        <w:rPr>
          <w:rFonts w:ascii="Garamond" w:eastAsia="Calibri" w:hAnsi="Garamond"/>
          <w:spacing w:val="-2"/>
          <w:w w:val="105"/>
          <w:sz w:val="24"/>
          <w:lang w:eastAsia="en-US"/>
        </w:rPr>
        <w:t>uhet</w:t>
      </w:r>
      <w:r w:rsidR="006B3AAD" w:rsidRPr="00B907A3">
        <w:rPr>
          <w:rFonts w:ascii="Garamond" w:eastAsia="Calibri" w:hAnsi="Garamond"/>
          <w:spacing w:val="-2"/>
          <w:w w:val="105"/>
          <w:sz w:val="24"/>
          <w:lang w:eastAsia="en-US"/>
        </w:rPr>
        <w:t xml:space="preserve"> të përmirësohet mbështetja shtetërore për </w:t>
      </w:r>
      <w:r w:rsidR="005567B1" w:rsidRPr="00B907A3">
        <w:rPr>
          <w:rFonts w:ascii="Garamond" w:eastAsia="Calibri" w:hAnsi="Garamond"/>
          <w:spacing w:val="-2"/>
          <w:w w:val="105"/>
          <w:sz w:val="24"/>
          <w:lang w:eastAsia="en-US"/>
        </w:rPr>
        <w:t xml:space="preserve">personat që kanë ngelur me aftësi të </w:t>
      </w:r>
      <w:r w:rsidR="006B3AAD" w:rsidRPr="00B907A3">
        <w:rPr>
          <w:rFonts w:ascii="Garamond" w:eastAsia="Calibri" w:hAnsi="Garamond"/>
          <w:spacing w:val="-2"/>
          <w:w w:val="105"/>
          <w:sz w:val="24"/>
          <w:lang w:eastAsia="en-US"/>
        </w:rPr>
        <w:t>kufizuara</w:t>
      </w:r>
      <w:r w:rsidR="005567B1" w:rsidRPr="00B907A3">
        <w:rPr>
          <w:rFonts w:ascii="Garamond" w:eastAsia="Calibri" w:hAnsi="Garamond"/>
          <w:spacing w:val="-2"/>
          <w:w w:val="105"/>
          <w:sz w:val="24"/>
          <w:lang w:eastAsia="en-US"/>
        </w:rPr>
        <w:t xml:space="preserve"> si pasojë e aksidenteve rrugore</w:t>
      </w:r>
      <w:r w:rsidR="003251A1" w:rsidRPr="00B907A3">
        <w:rPr>
          <w:rFonts w:ascii="Garamond" w:eastAsia="Calibri" w:hAnsi="Garamond"/>
          <w:spacing w:val="-2"/>
          <w:w w:val="105"/>
          <w:sz w:val="24"/>
          <w:lang w:eastAsia="en-US"/>
        </w:rPr>
        <w:t>.</w:t>
      </w:r>
    </w:p>
    <w:p w14:paraId="4CB2E5B9" w14:textId="38AA9643" w:rsidR="003251A1" w:rsidRPr="00B907A3" w:rsidRDefault="00A03CA0" w:rsidP="008C4E07">
      <w:pPr>
        <w:pStyle w:val="Heading2"/>
        <w:numPr>
          <w:ilvl w:val="0"/>
          <w:numId w:val="0"/>
        </w:numPr>
        <w:spacing w:after="0"/>
        <w:ind w:firstLine="284"/>
        <w:rPr>
          <w:rFonts w:ascii="Garamond" w:hAnsi="Garamond"/>
          <w:color w:val="auto"/>
          <w:lang w:val="sq-AL"/>
        </w:rPr>
      </w:pPr>
      <w:bookmarkStart w:id="20" w:name="_Toc208840562"/>
      <w:r w:rsidRPr="00B907A3">
        <w:rPr>
          <w:rFonts w:ascii="Garamond" w:hAnsi="Garamond"/>
          <w:color w:val="auto"/>
          <w:lang w:val="sq-AL"/>
        </w:rPr>
        <w:t xml:space="preserve">2.3 </w:t>
      </w:r>
      <w:r w:rsidR="006B3AAD" w:rsidRPr="00B907A3">
        <w:rPr>
          <w:rFonts w:ascii="Garamond" w:hAnsi="Garamond"/>
          <w:color w:val="auto"/>
          <w:lang w:val="sq-AL"/>
        </w:rPr>
        <w:t xml:space="preserve">Boshllëqet e identifikuara në sistemet mbështetëse për monitorim/vlerësim të suksesshëm të sigurisë rrugore </w:t>
      </w:r>
      <w:r w:rsidR="00D513AA" w:rsidRPr="00B907A3">
        <w:rPr>
          <w:rFonts w:ascii="Garamond" w:hAnsi="Garamond"/>
          <w:color w:val="auto"/>
          <w:lang w:val="sq-AL"/>
        </w:rPr>
        <w:t>të bazuar në të dhëna</w:t>
      </w:r>
      <w:bookmarkEnd w:id="20"/>
    </w:p>
    <w:p w14:paraId="0623C2B4" w14:textId="2E31FFFE" w:rsidR="003251A1" w:rsidRPr="00B907A3" w:rsidRDefault="006B3AAD" w:rsidP="008C4E07">
      <w:pPr>
        <w:spacing w:after="0"/>
        <w:ind w:firstLine="284"/>
        <w:rPr>
          <w:rFonts w:ascii="Garamond" w:hAnsi="Garamond"/>
          <w:sz w:val="24"/>
        </w:rPr>
      </w:pPr>
      <w:r w:rsidRPr="00B907A3">
        <w:rPr>
          <w:rFonts w:ascii="Garamond" w:hAnsi="Garamond"/>
          <w:sz w:val="24"/>
        </w:rPr>
        <w:t xml:space="preserve">Menaxhimi i të dhënave të lidhura me sigurinë rrugore në Shqipëri duhet të përmirësohet në një mënyrë që të sigurojë mbledhjen, përpunimin, analizën dhe shpërndarjen sistematike të të dhënave të lidhura me sigurinë rrugore, sepse një menaxhim efektiv i të dhënave të sigurisë rrugore është thelbësor për identifikimin e trendeve, vlerësimin e efektivitetit të ndërhyrjeve dhe formulimin e politikave të bazuara në </w:t>
      </w:r>
      <w:r w:rsidR="005567B1" w:rsidRPr="00B907A3">
        <w:rPr>
          <w:rFonts w:ascii="Garamond" w:hAnsi="Garamond"/>
          <w:sz w:val="24"/>
        </w:rPr>
        <w:t>evidenca</w:t>
      </w:r>
      <w:r w:rsidR="003251A1" w:rsidRPr="00B907A3">
        <w:rPr>
          <w:rFonts w:ascii="Garamond" w:hAnsi="Garamond"/>
          <w:sz w:val="24"/>
        </w:rPr>
        <w:t xml:space="preserve">. </w:t>
      </w:r>
    </w:p>
    <w:p w14:paraId="24F1145C" w14:textId="035356DE" w:rsidR="003251A1" w:rsidRPr="00B907A3" w:rsidRDefault="00A03CA0" w:rsidP="008C4E07">
      <w:pPr>
        <w:pStyle w:val="ListParagraph"/>
        <w:ind w:left="0" w:firstLine="284"/>
        <w:jc w:val="both"/>
        <w:rPr>
          <w:rFonts w:ascii="Garamond" w:hAnsi="Garamond"/>
          <w:sz w:val="24"/>
        </w:rPr>
      </w:pPr>
      <w:r w:rsidRPr="00B907A3">
        <w:rPr>
          <w:rFonts w:ascii="Garamond" w:eastAsia="Calibri" w:hAnsi="Garamond"/>
          <w:bCs/>
          <w:spacing w:val="-2"/>
          <w:w w:val="105"/>
          <w:sz w:val="24"/>
          <w:lang w:eastAsia="en-US"/>
        </w:rPr>
        <w:t xml:space="preserve">- </w:t>
      </w:r>
      <w:r w:rsidR="006B3AAD" w:rsidRPr="00B907A3">
        <w:rPr>
          <w:rFonts w:ascii="Garamond" w:hAnsi="Garamond"/>
          <w:sz w:val="24"/>
        </w:rPr>
        <w:t xml:space="preserve">Lidhur me </w:t>
      </w:r>
      <w:r w:rsidR="005567B1" w:rsidRPr="00B907A3">
        <w:rPr>
          <w:rFonts w:ascii="Garamond" w:hAnsi="Garamond"/>
          <w:sz w:val="24"/>
        </w:rPr>
        <w:t>data</w:t>
      </w:r>
      <w:r w:rsidR="006B3AAD" w:rsidRPr="00B907A3">
        <w:rPr>
          <w:rFonts w:ascii="Garamond" w:hAnsi="Garamond"/>
          <w:sz w:val="24"/>
        </w:rPr>
        <w:t xml:space="preserve">bazën </w:t>
      </w:r>
      <w:r w:rsidR="005567B1" w:rsidRPr="00B907A3">
        <w:rPr>
          <w:rFonts w:ascii="Garamond" w:hAnsi="Garamond"/>
          <w:sz w:val="24"/>
        </w:rPr>
        <w:t>aktuale t</w:t>
      </w:r>
      <w:r w:rsidR="005567B1" w:rsidRPr="00B907A3">
        <w:rPr>
          <w:rFonts w:ascii="Garamond" w:eastAsia="Calibri" w:hAnsi="Garamond"/>
          <w:spacing w:val="-2"/>
          <w:w w:val="105"/>
          <w:sz w:val="24"/>
          <w:lang w:eastAsia="en-US"/>
        </w:rPr>
        <w:t xml:space="preserve">ë </w:t>
      </w:r>
      <w:r w:rsidR="006B3AAD" w:rsidRPr="00B907A3">
        <w:rPr>
          <w:rFonts w:ascii="Garamond" w:hAnsi="Garamond"/>
          <w:sz w:val="24"/>
        </w:rPr>
        <w:t>aksidenteve</w:t>
      </w:r>
      <w:r w:rsidR="00B46EA6" w:rsidRPr="00B907A3">
        <w:rPr>
          <w:rFonts w:ascii="Garamond" w:hAnsi="Garamond"/>
          <w:sz w:val="24"/>
        </w:rPr>
        <w:t xml:space="preserve"> n</w:t>
      </w:r>
      <w:r w:rsidR="00B46EA6" w:rsidRPr="00B907A3">
        <w:rPr>
          <w:rFonts w:ascii="Garamond" w:eastAsia="Calibri" w:hAnsi="Garamond"/>
          <w:spacing w:val="-2"/>
          <w:w w:val="105"/>
          <w:sz w:val="24"/>
          <w:lang w:eastAsia="en-US"/>
        </w:rPr>
        <w:t>ë</w:t>
      </w:r>
      <w:r w:rsidR="006B3AAD" w:rsidRPr="00B907A3">
        <w:rPr>
          <w:rFonts w:ascii="Garamond" w:hAnsi="Garamond"/>
          <w:sz w:val="24"/>
        </w:rPr>
        <w:t xml:space="preserve"> Drejtorinë e Policisë Rrugore. Platforma e softuerit të </w:t>
      </w:r>
      <w:r w:rsidR="005567B1" w:rsidRPr="00B907A3">
        <w:rPr>
          <w:rFonts w:ascii="Garamond" w:hAnsi="Garamond"/>
          <w:sz w:val="24"/>
        </w:rPr>
        <w:t>dat</w:t>
      </w:r>
      <w:r w:rsidR="00B46EA6" w:rsidRPr="00B907A3">
        <w:rPr>
          <w:rFonts w:ascii="Garamond" w:hAnsi="Garamond"/>
          <w:sz w:val="24"/>
        </w:rPr>
        <w:t>a</w:t>
      </w:r>
      <w:r w:rsidR="006B3AAD" w:rsidRPr="00B907A3">
        <w:rPr>
          <w:rFonts w:ascii="Garamond" w:hAnsi="Garamond"/>
          <w:sz w:val="24"/>
        </w:rPr>
        <w:t xml:space="preserve">bazës së aksidenteve dhe aplikacioni i përdorur janë të vjetra dhe kanë nevojë për përditësim. Struktura aktuale e të dhënave të aksidenteve ka nevojë për përmirësime të konsiderueshme në mënyrë që të përputhet me strukturën e të dhënave </w:t>
      </w:r>
      <w:r w:rsidR="00DF346A" w:rsidRPr="00B907A3">
        <w:rPr>
          <w:rFonts w:ascii="Garamond" w:hAnsi="Garamond"/>
          <w:sz w:val="24"/>
        </w:rPr>
        <w:t>CADaS</w:t>
      </w:r>
      <w:r w:rsidR="006B3AAD" w:rsidRPr="00B907A3">
        <w:rPr>
          <w:rFonts w:ascii="Garamond" w:hAnsi="Garamond"/>
          <w:sz w:val="24"/>
        </w:rPr>
        <w:t xml:space="preserve"> të propozuar nga KE</w:t>
      </w:r>
      <w:r w:rsidR="002376E2" w:rsidRPr="00B907A3">
        <w:rPr>
          <w:rFonts w:ascii="Garamond" w:hAnsi="Garamond"/>
          <w:sz w:val="24"/>
        </w:rPr>
        <w:t xml:space="preserve">. </w:t>
      </w:r>
      <w:r w:rsidR="006B3AAD" w:rsidRPr="00B907A3">
        <w:rPr>
          <w:rFonts w:ascii="Garamond" w:hAnsi="Garamond"/>
          <w:sz w:val="24"/>
        </w:rPr>
        <w:t xml:space="preserve">Vendndodhja e aksidenteve bazohet në koordinatat GPS të aksidenteve pa një vendndodhje specifike bazuar në sistemin e referencës rrugore dhe </w:t>
      </w:r>
      <w:r w:rsidR="009A1575" w:rsidRPr="00B907A3">
        <w:rPr>
          <w:rFonts w:ascii="Garamond" w:hAnsi="Garamond"/>
          <w:sz w:val="24"/>
        </w:rPr>
        <w:t>gurët</w:t>
      </w:r>
      <w:r w:rsidR="006B3AAD" w:rsidRPr="00B907A3">
        <w:rPr>
          <w:rFonts w:ascii="Garamond" w:hAnsi="Garamond"/>
          <w:sz w:val="24"/>
        </w:rPr>
        <w:t xml:space="preserve"> e kilometrazhit</w:t>
      </w:r>
      <w:r w:rsidR="003251A1" w:rsidRPr="00B907A3">
        <w:rPr>
          <w:rFonts w:ascii="Garamond" w:hAnsi="Garamond"/>
          <w:sz w:val="24"/>
        </w:rPr>
        <w:t>.</w:t>
      </w:r>
    </w:p>
    <w:p w14:paraId="4FA6E443" w14:textId="72029E14" w:rsidR="003251A1" w:rsidRPr="00B907A3" w:rsidRDefault="00A03CA0" w:rsidP="008C4E07">
      <w:pPr>
        <w:pStyle w:val="ListParagraph"/>
        <w:ind w:left="0" w:firstLine="284"/>
        <w:jc w:val="both"/>
        <w:rPr>
          <w:rFonts w:ascii="Garamond" w:hAnsi="Garamond"/>
          <w:sz w:val="24"/>
        </w:rPr>
      </w:pPr>
      <w:r w:rsidRPr="00B907A3">
        <w:rPr>
          <w:rFonts w:ascii="Garamond" w:eastAsia="Calibri" w:hAnsi="Garamond"/>
          <w:bCs/>
          <w:spacing w:val="-2"/>
          <w:w w:val="105"/>
          <w:sz w:val="24"/>
          <w:lang w:eastAsia="en-US"/>
        </w:rPr>
        <w:t xml:space="preserve">- </w:t>
      </w:r>
      <w:r w:rsidR="006B3AAD" w:rsidRPr="00B907A3">
        <w:rPr>
          <w:rFonts w:ascii="Garamond" w:hAnsi="Garamond"/>
          <w:sz w:val="24"/>
        </w:rPr>
        <w:t>Rrjeti rrugor shtetëror ka nevojë për di</w:t>
      </w:r>
      <w:r w:rsidR="007951BD">
        <w:rPr>
          <w:rFonts w:ascii="Garamond" w:hAnsi="Garamond"/>
          <w:sz w:val="24"/>
        </w:rPr>
        <w:t>gj</w:t>
      </w:r>
      <w:r w:rsidR="006B3AAD" w:rsidRPr="00B907A3">
        <w:rPr>
          <w:rFonts w:ascii="Garamond" w:hAnsi="Garamond"/>
          <w:sz w:val="24"/>
        </w:rPr>
        <w:t xml:space="preserve">italizim cilësor dhe një sistem reference rrugor gjithëpërfshirës të miratuar/përdorur zyrtarisht, të ndarë në seksione dhe nyje homogjene rrugore. Të dhënat në lidhje me rrjetin rrugor shtetëror nuk janë pjesë e </w:t>
      </w:r>
      <w:r w:rsidR="00B46EA6" w:rsidRPr="00B907A3">
        <w:rPr>
          <w:rFonts w:ascii="Garamond" w:hAnsi="Garamond"/>
          <w:sz w:val="24"/>
        </w:rPr>
        <w:t>data</w:t>
      </w:r>
      <w:r w:rsidR="006B3AAD" w:rsidRPr="00B907A3">
        <w:rPr>
          <w:rFonts w:ascii="Garamond" w:hAnsi="Garamond"/>
          <w:sz w:val="24"/>
        </w:rPr>
        <w:t xml:space="preserve">bazës së aksidenteve </w:t>
      </w:r>
      <w:r w:rsidR="007922A0" w:rsidRPr="00B907A3">
        <w:rPr>
          <w:rFonts w:ascii="Garamond" w:hAnsi="Garamond"/>
          <w:sz w:val="24"/>
        </w:rPr>
        <w:t>të Policisë R</w:t>
      </w:r>
      <w:r w:rsidR="00B46EA6" w:rsidRPr="00B907A3">
        <w:rPr>
          <w:rFonts w:ascii="Garamond" w:hAnsi="Garamond"/>
          <w:sz w:val="24"/>
        </w:rPr>
        <w:t>rugore</w:t>
      </w:r>
      <w:r w:rsidR="003251A1" w:rsidRPr="00B907A3">
        <w:rPr>
          <w:rFonts w:ascii="Garamond" w:hAnsi="Garamond"/>
          <w:sz w:val="24"/>
        </w:rPr>
        <w:t xml:space="preserve">. </w:t>
      </w:r>
    </w:p>
    <w:p w14:paraId="508FCC2F" w14:textId="1C922381" w:rsidR="003251A1" w:rsidRPr="00B907A3" w:rsidRDefault="00A03CA0" w:rsidP="008C4E07">
      <w:pPr>
        <w:pStyle w:val="ListParagraph"/>
        <w:ind w:left="0" w:firstLine="284"/>
        <w:jc w:val="both"/>
        <w:rPr>
          <w:rFonts w:ascii="Garamond" w:hAnsi="Garamond"/>
          <w:sz w:val="24"/>
        </w:rPr>
      </w:pPr>
      <w:r w:rsidRPr="00B907A3">
        <w:rPr>
          <w:rFonts w:ascii="Garamond" w:eastAsia="Calibri" w:hAnsi="Garamond"/>
          <w:bCs/>
          <w:spacing w:val="-2"/>
          <w:w w:val="105"/>
          <w:sz w:val="24"/>
          <w:lang w:eastAsia="en-US"/>
        </w:rPr>
        <w:t xml:space="preserve">- </w:t>
      </w:r>
      <w:r w:rsidR="006B3AAD" w:rsidRPr="00B907A3">
        <w:rPr>
          <w:rFonts w:ascii="Garamond" w:hAnsi="Garamond"/>
          <w:sz w:val="24"/>
          <w:lang w:eastAsia="en-US"/>
        </w:rPr>
        <w:t>Të dhënat në lidhje me</w:t>
      </w:r>
      <w:r w:rsidR="00B46EA6" w:rsidRPr="00B907A3">
        <w:rPr>
          <w:rFonts w:ascii="Garamond" w:hAnsi="Garamond"/>
          <w:sz w:val="24"/>
          <w:lang w:eastAsia="en-US"/>
        </w:rPr>
        <w:t xml:space="preserve"> qarkullimin rrugor </w:t>
      </w:r>
      <w:r w:rsidR="006B3AAD" w:rsidRPr="00B907A3">
        <w:rPr>
          <w:rFonts w:ascii="Garamond" w:hAnsi="Garamond"/>
          <w:sz w:val="24"/>
          <w:lang w:eastAsia="en-US"/>
        </w:rPr>
        <w:t xml:space="preserve">janë të pamjaftueshme dhe rrjeti rrugor shtetëror nuk integron mjaftueshëm numërues </w:t>
      </w:r>
      <w:r w:rsidR="00B46EA6" w:rsidRPr="00B907A3">
        <w:rPr>
          <w:rFonts w:ascii="Garamond" w:hAnsi="Garamond"/>
          <w:sz w:val="24"/>
          <w:lang w:eastAsia="en-US"/>
        </w:rPr>
        <w:t>të qarkullimit</w:t>
      </w:r>
      <w:r w:rsidR="003251A1" w:rsidRPr="00B907A3">
        <w:rPr>
          <w:rFonts w:ascii="Garamond" w:hAnsi="Garamond"/>
          <w:sz w:val="24"/>
        </w:rPr>
        <w:t xml:space="preserve">. </w:t>
      </w:r>
    </w:p>
    <w:p w14:paraId="37990BDB" w14:textId="210B2727" w:rsidR="003251A1" w:rsidRPr="00B907A3" w:rsidRDefault="00A03CA0" w:rsidP="008C4E07">
      <w:pPr>
        <w:pStyle w:val="ListParagraph"/>
        <w:ind w:left="0" w:firstLine="284"/>
        <w:jc w:val="both"/>
        <w:rPr>
          <w:rFonts w:ascii="Garamond" w:hAnsi="Garamond"/>
          <w:sz w:val="24"/>
        </w:rPr>
      </w:pPr>
      <w:r w:rsidRPr="00B907A3">
        <w:rPr>
          <w:rFonts w:ascii="Garamond" w:eastAsia="Calibri" w:hAnsi="Garamond"/>
          <w:bCs/>
          <w:spacing w:val="-2"/>
          <w:w w:val="105"/>
          <w:sz w:val="24"/>
          <w:lang w:eastAsia="en-US"/>
        </w:rPr>
        <w:t xml:space="preserve">- </w:t>
      </w:r>
      <w:r w:rsidR="006B3AAD" w:rsidRPr="00B907A3">
        <w:rPr>
          <w:rFonts w:ascii="Garamond" w:hAnsi="Garamond"/>
          <w:sz w:val="24"/>
        </w:rPr>
        <w:t xml:space="preserve">Mbledhja e të dhënave </w:t>
      </w:r>
      <w:r w:rsidR="007922A0" w:rsidRPr="00B907A3">
        <w:rPr>
          <w:rFonts w:ascii="Garamond" w:hAnsi="Garamond"/>
          <w:sz w:val="24"/>
        </w:rPr>
        <w:t>t</w:t>
      </w:r>
      <w:r w:rsidR="007922A0" w:rsidRPr="00B907A3">
        <w:rPr>
          <w:rFonts w:ascii="Garamond" w:hAnsi="Garamond"/>
          <w:sz w:val="24"/>
          <w:lang w:eastAsia="en-US"/>
        </w:rPr>
        <w:t xml:space="preserve">ë </w:t>
      </w:r>
      <w:r w:rsidR="00B95F02" w:rsidRPr="00B907A3">
        <w:rPr>
          <w:rFonts w:ascii="Garamond" w:hAnsi="Garamond"/>
          <w:sz w:val="24"/>
          <w:lang w:eastAsia="en-US"/>
        </w:rPr>
        <w:t>T</w:t>
      </w:r>
      <w:r w:rsidR="007922A0" w:rsidRPr="00B907A3">
        <w:rPr>
          <w:rFonts w:ascii="Garamond" w:hAnsi="Garamond"/>
          <w:sz w:val="24"/>
          <w:lang w:eastAsia="en-US"/>
        </w:rPr>
        <w:t>KP</w:t>
      </w:r>
      <w:r w:rsidR="007922A0" w:rsidRPr="00B907A3">
        <w:rPr>
          <w:rFonts w:ascii="Garamond" w:hAnsi="Garamond"/>
          <w:sz w:val="24"/>
        </w:rPr>
        <w:t xml:space="preserve">-ve </w:t>
      </w:r>
      <w:r w:rsidR="006B3AAD" w:rsidRPr="00B907A3">
        <w:rPr>
          <w:rFonts w:ascii="Garamond" w:hAnsi="Garamond"/>
          <w:sz w:val="24"/>
        </w:rPr>
        <w:t>nuk është bërë, që do të thotë se, aktualisht në Shqipëri, nuk ka të dhëna bazë në lidhje me sjelljen e përdoruesve të rrugës. Të dhënat e automjeteve janë të organizuara mirë dhe të disponueshme publikisht për qëllime statistikore. Ato kanë nevojë për përmirësime të vogla dhe Shqipëria duhet të fillojë të mbledhë të dhëna për kilometrazhin e përshkuar nga automjetet</w:t>
      </w:r>
      <w:r w:rsidR="003251A1" w:rsidRPr="00B907A3">
        <w:rPr>
          <w:rFonts w:ascii="Garamond" w:hAnsi="Garamond"/>
          <w:sz w:val="24"/>
        </w:rPr>
        <w:t xml:space="preserve">. </w:t>
      </w:r>
    </w:p>
    <w:p w14:paraId="05688FCD" w14:textId="543E98ED" w:rsidR="003251A1" w:rsidRPr="00B907A3" w:rsidRDefault="006B3AAD" w:rsidP="008C4E07">
      <w:pPr>
        <w:spacing w:after="0"/>
        <w:ind w:firstLine="284"/>
        <w:rPr>
          <w:rFonts w:ascii="Garamond" w:hAnsi="Garamond"/>
          <w:sz w:val="24"/>
        </w:rPr>
      </w:pPr>
      <w:r w:rsidRPr="00B907A3">
        <w:rPr>
          <w:rFonts w:ascii="Garamond" w:hAnsi="Garamond"/>
          <w:sz w:val="24"/>
        </w:rPr>
        <w:t>Të gjitha këto janë arsye për raportimin</w:t>
      </w:r>
      <w:r w:rsidR="00D342C7" w:rsidRPr="00B907A3">
        <w:rPr>
          <w:rFonts w:ascii="Garamond" w:hAnsi="Garamond"/>
          <w:sz w:val="24"/>
        </w:rPr>
        <w:t>,</w:t>
      </w:r>
      <w:r w:rsidRPr="00B907A3">
        <w:rPr>
          <w:rFonts w:ascii="Garamond" w:hAnsi="Garamond"/>
          <w:sz w:val="24"/>
        </w:rPr>
        <w:t xml:space="preserve"> analizën bazë të sigurisë rrugore dhe monitorimin e përhershëm</w:t>
      </w:r>
      <w:r w:rsidR="00D342C7" w:rsidRPr="00B907A3">
        <w:rPr>
          <w:rFonts w:ascii="Garamond" w:hAnsi="Garamond"/>
          <w:sz w:val="24"/>
        </w:rPr>
        <w:t xml:space="preserve"> aktualisht të kufizuar</w:t>
      </w:r>
      <w:r w:rsidR="00C70418" w:rsidRPr="00B907A3">
        <w:rPr>
          <w:rFonts w:ascii="Garamond" w:hAnsi="Garamond"/>
          <w:sz w:val="24"/>
        </w:rPr>
        <w:t>a</w:t>
      </w:r>
      <w:r w:rsidRPr="00B907A3">
        <w:rPr>
          <w:rFonts w:ascii="Garamond" w:hAnsi="Garamond"/>
          <w:sz w:val="24"/>
        </w:rPr>
        <w:t xml:space="preserve">. Prandaj, duhet të bëhen përpjekje shtesë për të integruar të dhënat nga </w:t>
      </w:r>
      <w:r w:rsidR="00D342C7" w:rsidRPr="00B907A3">
        <w:rPr>
          <w:rFonts w:ascii="Garamond" w:hAnsi="Garamond"/>
          <w:sz w:val="24"/>
        </w:rPr>
        <w:t xml:space="preserve">institucione </w:t>
      </w:r>
      <w:r w:rsidRPr="00B907A3">
        <w:rPr>
          <w:rFonts w:ascii="Garamond" w:hAnsi="Garamond"/>
          <w:sz w:val="24"/>
        </w:rPr>
        <w:t xml:space="preserve">të ndryshme dhe palë të </w:t>
      </w:r>
      <w:r w:rsidR="00D342C7" w:rsidRPr="00B907A3">
        <w:rPr>
          <w:rFonts w:ascii="Garamond" w:hAnsi="Garamond"/>
          <w:sz w:val="24"/>
        </w:rPr>
        <w:t>interes</w:t>
      </w:r>
      <w:r w:rsidR="00FA7C23" w:rsidRPr="00B907A3">
        <w:rPr>
          <w:rFonts w:ascii="Garamond" w:hAnsi="Garamond"/>
          <w:sz w:val="24"/>
        </w:rPr>
        <w:t>i</w:t>
      </w:r>
      <w:r w:rsidR="00D342C7" w:rsidRPr="00B907A3">
        <w:rPr>
          <w:rFonts w:ascii="Garamond" w:hAnsi="Garamond"/>
          <w:sz w:val="24"/>
        </w:rPr>
        <w:t xml:space="preserve">t lidhur me </w:t>
      </w:r>
      <w:r w:rsidRPr="00B907A3">
        <w:rPr>
          <w:rFonts w:ascii="Garamond" w:hAnsi="Garamond"/>
          <w:sz w:val="24"/>
        </w:rPr>
        <w:t>siguri</w:t>
      </w:r>
      <w:r w:rsidR="00D342C7" w:rsidRPr="00B907A3">
        <w:rPr>
          <w:rFonts w:ascii="Garamond" w:hAnsi="Garamond"/>
          <w:sz w:val="24"/>
        </w:rPr>
        <w:t>n</w:t>
      </w:r>
      <w:r w:rsidRPr="00B907A3">
        <w:rPr>
          <w:rFonts w:ascii="Garamond" w:hAnsi="Garamond"/>
          <w:sz w:val="24"/>
        </w:rPr>
        <w:t xml:space="preserve">ë rrugore dhe për të krijuar një </w:t>
      </w:r>
      <w:r w:rsidR="00D342C7" w:rsidRPr="00B907A3">
        <w:rPr>
          <w:rFonts w:ascii="Garamond" w:hAnsi="Garamond"/>
          <w:sz w:val="24"/>
        </w:rPr>
        <w:t>Data</w:t>
      </w:r>
      <w:r w:rsidRPr="00B907A3">
        <w:rPr>
          <w:rFonts w:ascii="Garamond" w:hAnsi="Garamond"/>
          <w:sz w:val="24"/>
        </w:rPr>
        <w:t xml:space="preserve">bazë </w:t>
      </w:r>
      <w:r w:rsidR="00DF7D3C" w:rsidRPr="00B907A3">
        <w:rPr>
          <w:rFonts w:ascii="Garamond" w:hAnsi="Garamond"/>
          <w:sz w:val="24"/>
        </w:rPr>
        <w:t>k</w:t>
      </w:r>
      <w:r w:rsidRPr="00B907A3">
        <w:rPr>
          <w:rFonts w:ascii="Garamond" w:hAnsi="Garamond"/>
          <w:sz w:val="24"/>
        </w:rPr>
        <w:t>ombëtare të</w:t>
      </w:r>
      <w:r w:rsidR="00D342C7" w:rsidRPr="00B907A3">
        <w:rPr>
          <w:rFonts w:ascii="Garamond" w:hAnsi="Garamond"/>
          <w:sz w:val="24"/>
        </w:rPr>
        <w:t xml:space="preserve"> </w:t>
      </w:r>
      <w:r w:rsidR="00DF7D3C" w:rsidRPr="00B907A3">
        <w:rPr>
          <w:rFonts w:ascii="Garamond" w:hAnsi="Garamond"/>
          <w:sz w:val="24"/>
        </w:rPr>
        <w:t>p</w:t>
      </w:r>
      <w:r w:rsidR="00D342C7" w:rsidRPr="00B907A3">
        <w:rPr>
          <w:rFonts w:ascii="Garamond" w:hAnsi="Garamond"/>
          <w:sz w:val="24"/>
        </w:rPr>
        <w:t xml:space="preserve">lotë të </w:t>
      </w:r>
      <w:r w:rsidRPr="00B907A3">
        <w:rPr>
          <w:rFonts w:ascii="Garamond" w:hAnsi="Garamond"/>
          <w:sz w:val="24"/>
        </w:rPr>
        <w:t>sigurisë rrugore. Ky proces do të çojë në një kuptim më të mirë të problemeve të sigurisë rrugore dhe monitorimit/vlerësimit të cilësisë në Shqipëri</w:t>
      </w:r>
      <w:r w:rsidR="003251A1" w:rsidRPr="00B907A3">
        <w:rPr>
          <w:rFonts w:ascii="Garamond" w:hAnsi="Garamond"/>
          <w:sz w:val="24"/>
        </w:rPr>
        <w:t xml:space="preserve">. </w:t>
      </w:r>
    </w:p>
    <w:p w14:paraId="56D5AC0E" w14:textId="0827042A" w:rsidR="003201CE" w:rsidRPr="007951BD" w:rsidRDefault="00A03CA0" w:rsidP="008C4E07">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21" w:name="_Toc197682415"/>
      <w:bookmarkStart w:id="22" w:name="_Toc208840563"/>
      <w:bookmarkEnd w:id="21"/>
      <w:r w:rsidRPr="007951BD">
        <w:rPr>
          <w:rFonts w:ascii="Garamond" w:hAnsi="Garamond"/>
          <w:b w:val="0"/>
          <w:color w:val="auto"/>
          <w:sz w:val="24"/>
          <w:szCs w:val="24"/>
          <w:lang w:val="sq-AL"/>
        </w:rPr>
        <w:t xml:space="preserve">3. </w:t>
      </w:r>
      <w:r w:rsidR="00F54559" w:rsidRPr="007951BD">
        <w:rPr>
          <w:rFonts w:ascii="Garamond" w:hAnsi="Garamond"/>
          <w:b w:val="0"/>
          <w:color w:val="auto"/>
          <w:sz w:val="24"/>
          <w:szCs w:val="24"/>
          <w:lang w:val="sq-AL"/>
        </w:rPr>
        <w:t xml:space="preserve">NJË </w:t>
      </w:r>
      <w:r w:rsidR="00D342C7" w:rsidRPr="007951BD">
        <w:rPr>
          <w:rFonts w:ascii="Garamond" w:hAnsi="Garamond"/>
          <w:b w:val="0"/>
          <w:color w:val="auto"/>
          <w:sz w:val="24"/>
          <w:szCs w:val="24"/>
          <w:lang w:val="sq-AL"/>
        </w:rPr>
        <w:t>PANORAM</w:t>
      </w:r>
      <w:r w:rsidR="00F54559" w:rsidRPr="007951BD">
        <w:rPr>
          <w:rFonts w:ascii="Garamond" w:hAnsi="Garamond"/>
          <w:b w:val="0"/>
          <w:color w:val="auto"/>
          <w:sz w:val="24"/>
          <w:szCs w:val="24"/>
          <w:lang w:val="sq-AL"/>
        </w:rPr>
        <w:t>Ë</w:t>
      </w:r>
      <w:r w:rsidR="00D342C7" w:rsidRPr="007951BD">
        <w:rPr>
          <w:rFonts w:ascii="Garamond" w:hAnsi="Garamond"/>
          <w:b w:val="0"/>
          <w:color w:val="auto"/>
          <w:sz w:val="24"/>
          <w:szCs w:val="24"/>
          <w:lang w:val="sq-AL"/>
        </w:rPr>
        <w:t xml:space="preserve"> </w:t>
      </w:r>
      <w:r w:rsidR="00F54559" w:rsidRPr="007951BD">
        <w:rPr>
          <w:rFonts w:ascii="Garamond" w:hAnsi="Garamond"/>
          <w:b w:val="0"/>
          <w:color w:val="auto"/>
          <w:sz w:val="24"/>
          <w:szCs w:val="24"/>
          <w:lang w:val="sq-AL"/>
        </w:rPr>
        <w:t>E GJENDJES SË SIGURISË RRUGORE NË SHQIPËRI</w:t>
      </w:r>
      <w:bookmarkEnd w:id="22"/>
    </w:p>
    <w:p w14:paraId="574DDD4D" w14:textId="209FFE96" w:rsidR="00363E33" w:rsidRPr="00B907A3" w:rsidRDefault="00A03CA0" w:rsidP="008C4E07">
      <w:pPr>
        <w:pStyle w:val="Heading2"/>
        <w:numPr>
          <w:ilvl w:val="0"/>
          <w:numId w:val="0"/>
        </w:numPr>
        <w:spacing w:after="0"/>
        <w:ind w:firstLine="284"/>
        <w:rPr>
          <w:rFonts w:ascii="Garamond" w:hAnsi="Garamond"/>
          <w:color w:val="auto"/>
          <w:lang w:val="sq-AL"/>
        </w:rPr>
      </w:pPr>
      <w:bookmarkStart w:id="23" w:name="_Toc192748283"/>
      <w:bookmarkStart w:id="24" w:name="_Toc197253699"/>
      <w:bookmarkStart w:id="25" w:name="_Toc208840564"/>
      <w:r w:rsidRPr="00B907A3">
        <w:rPr>
          <w:rFonts w:ascii="Garamond" w:hAnsi="Garamond"/>
          <w:color w:val="auto"/>
          <w:lang w:val="sq-AL"/>
        </w:rPr>
        <w:t xml:space="preserve">3.1 </w:t>
      </w:r>
      <w:r w:rsidR="00F54559" w:rsidRPr="00B907A3">
        <w:rPr>
          <w:rFonts w:ascii="Garamond" w:hAnsi="Garamond"/>
          <w:color w:val="auto"/>
          <w:lang w:val="sq-AL"/>
        </w:rPr>
        <w:t>Performanca e sigurisë rrugore në Shqipëri</w:t>
      </w:r>
      <w:bookmarkEnd w:id="23"/>
      <w:bookmarkEnd w:id="24"/>
      <w:bookmarkEnd w:id="25"/>
    </w:p>
    <w:p w14:paraId="612FBABF" w14:textId="521CD563" w:rsidR="00363E33" w:rsidRPr="00B907A3" w:rsidRDefault="00F54559" w:rsidP="008C4E07">
      <w:pPr>
        <w:pStyle w:val="NormalWeb"/>
        <w:spacing w:line="240" w:lineRule="auto"/>
        <w:ind w:firstLine="284"/>
        <w:jc w:val="both"/>
        <w:rPr>
          <w:rFonts w:ascii="Garamond" w:hAnsi="Garamond"/>
          <w:sz w:val="24"/>
          <w:lang w:val="sq-AL" w:eastAsia="sl-SI"/>
        </w:rPr>
      </w:pPr>
      <w:r w:rsidRPr="00B907A3">
        <w:rPr>
          <w:rFonts w:ascii="Garamond" w:hAnsi="Garamond"/>
          <w:sz w:val="24"/>
          <w:shd w:val="clear" w:color="auto" w:fill="FFFFFF"/>
          <w:lang w:val="sq-AL"/>
        </w:rPr>
        <w:t xml:space="preserve">Shqipëria ka bërë një </w:t>
      </w:r>
      <w:r w:rsidR="00D50314" w:rsidRPr="00B907A3">
        <w:rPr>
          <w:rFonts w:ascii="Garamond" w:hAnsi="Garamond"/>
          <w:sz w:val="24"/>
          <w:shd w:val="clear" w:color="auto" w:fill="FFFFFF"/>
          <w:lang w:val="sq-AL"/>
        </w:rPr>
        <w:t xml:space="preserve">progres </w:t>
      </w:r>
      <w:r w:rsidRPr="00B907A3">
        <w:rPr>
          <w:rFonts w:ascii="Garamond" w:hAnsi="Garamond"/>
          <w:sz w:val="24"/>
          <w:shd w:val="clear" w:color="auto" w:fill="FFFFFF"/>
          <w:lang w:val="sq-AL"/>
        </w:rPr>
        <w:t xml:space="preserve">të dukshëm në përmirësimin e sigurisë rrugore vitet e fundit. Harmonizimi i legjislacionit kombëtar me </w:t>
      </w:r>
      <w:r w:rsidRPr="00B907A3">
        <w:rPr>
          <w:rFonts w:ascii="Garamond" w:hAnsi="Garamond"/>
          <w:i/>
          <w:iCs/>
          <w:sz w:val="24"/>
          <w:shd w:val="clear" w:color="auto" w:fill="FFFFFF"/>
          <w:lang w:val="sq-AL"/>
        </w:rPr>
        <w:t>acquis</w:t>
      </w:r>
      <w:r w:rsidRPr="00B907A3">
        <w:rPr>
          <w:rFonts w:ascii="Garamond" w:hAnsi="Garamond"/>
          <w:sz w:val="24"/>
          <w:shd w:val="clear" w:color="auto" w:fill="FFFFFF"/>
          <w:lang w:val="sq-AL"/>
        </w:rPr>
        <w:t xml:space="preserve"> të BE-së dhe të drejtën ndërkombëtare dhe marrëveshjet në sektorin e transportit rrugor, zbatimi i kërkesave të BE-së në lidhje me automjetet, infrastrukturën rrugore, përdoruesit e rrugës dhe rregullat e zbatimit përbëjnë një pjesë të rëndësishme të këtij përparimi legjislativ. Veçanërisht, </w:t>
      </w:r>
      <w:r w:rsidR="007951BD">
        <w:rPr>
          <w:rFonts w:ascii="Garamond" w:hAnsi="Garamond"/>
          <w:sz w:val="24"/>
          <w:shd w:val="clear" w:color="auto" w:fill="FFFFFF"/>
          <w:lang w:val="sq-AL"/>
        </w:rPr>
        <w:t>“</w:t>
      </w:r>
      <w:r w:rsidRPr="00B907A3">
        <w:rPr>
          <w:rFonts w:ascii="Garamond" w:hAnsi="Garamond"/>
          <w:sz w:val="24"/>
          <w:shd w:val="clear" w:color="auto" w:fill="FFFFFF"/>
          <w:lang w:val="sq-AL"/>
        </w:rPr>
        <w:t>Kodi Rrugor i Shqipërisë</w:t>
      </w:r>
      <w:r w:rsidR="007951BD">
        <w:rPr>
          <w:rFonts w:ascii="Garamond" w:hAnsi="Garamond"/>
          <w:sz w:val="24"/>
          <w:shd w:val="clear" w:color="auto" w:fill="FFFFFF"/>
          <w:lang w:val="sq-AL"/>
        </w:rPr>
        <w:t>”</w:t>
      </w:r>
      <w:r w:rsidRPr="00B907A3">
        <w:rPr>
          <w:rFonts w:ascii="Garamond" w:hAnsi="Garamond"/>
          <w:sz w:val="24"/>
          <w:shd w:val="clear" w:color="auto" w:fill="FFFFFF"/>
          <w:lang w:val="sq-AL"/>
        </w:rPr>
        <w:t xml:space="preserve"> ka pësuar përditësime të shumta, duke përfshirë zbatimin e një sistemi pikësh </w:t>
      </w:r>
      <w:r w:rsidR="00F578E9" w:rsidRPr="00B907A3">
        <w:rPr>
          <w:rFonts w:ascii="Garamond" w:hAnsi="Garamond"/>
          <w:sz w:val="24"/>
          <w:shd w:val="clear" w:color="auto" w:fill="FFFFFF"/>
          <w:lang w:val="sq-AL"/>
        </w:rPr>
        <w:t>(</w:t>
      </w:r>
      <w:r w:rsidR="00D50314" w:rsidRPr="00B907A3">
        <w:rPr>
          <w:rFonts w:ascii="Garamond" w:hAnsi="Garamond"/>
          <w:sz w:val="24"/>
          <w:shd w:val="clear" w:color="auto" w:fill="FFFFFF"/>
          <w:lang w:val="sq-AL"/>
        </w:rPr>
        <w:t>demerit</w:t>
      </w:r>
      <w:r w:rsidR="00F578E9" w:rsidRPr="00B907A3">
        <w:rPr>
          <w:rFonts w:ascii="Garamond" w:hAnsi="Garamond"/>
          <w:sz w:val="24"/>
          <w:shd w:val="clear" w:color="auto" w:fill="FFFFFF"/>
          <w:lang w:val="sq-AL"/>
        </w:rPr>
        <w:t>)</w:t>
      </w:r>
      <w:r w:rsidRPr="00B907A3">
        <w:rPr>
          <w:rFonts w:ascii="Garamond" w:hAnsi="Garamond"/>
          <w:sz w:val="24"/>
          <w:shd w:val="clear" w:color="auto" w:fill="FFFFFF"/>
          <w:lang w:val="sq-AL"/>
        </w:rPr>
        <w:t xml:space="preserve">, dënime më të ashpra për drejtimin e automjeteve në gjendje të dehur dhe </w:t>
      </w:r>
      <w:r w:rsidR="00D50314" w:rsidRPr="00B907A3">
        <w:rPr>
          <w:rFonts w:ascii="Garamond" w:hAnsi="Garamond"/>
          <w:sz w:val="24"/>
          <w:shd w:val="clear" w:color="auto" w:fill="FFFFFF"/>
          <w:lang w:val="sq-AL"/>
        </w:rPr>
        <w:t>kuad</w:t>
      </w:r>
      <w:r w:rsidR="00D50314" w:rsidRPr="00B907A3">
        <w:rPr>
          <w:rFonts w:ascii="Garamond" w:hAnsi="Garamond"/>
          <w:sz w:val="24"/>
          <w:lang w:val="sq-AL"/>
        </w:rPr>
        <w:t xml:space="preserve">ër rregullator fillestar </w:t>
      </w:r>
      <w:r w:rsidRPr="00B907A3">
        <w:rPr>
          <w:rFonts w:ascii="Garamond" w:hAnsi="Garamond"/>
          <w:sz w:val="24"/>
          <w:shd w:val="clear" w:color="auto" w:fill="FFFFFF"/>
          <w:lang w:val="sq-AL"/>
        </w:rPr>
        <w:t xml:space="preserve">për transportin e mallrave të rrezikshme. Megjithatë, </w:t>
      </w:r>
      <w:r w:rsidR="00D50314" w:rsidRPr="00B907A3">
        <w:rPr>
          <w:rFonts w:ascii="Garamond" w:hAnsi="Garamond"/>
          <w:sz w:val="24"/>
          <w:shd w:val="clear" w:color="auto" w:fill="FFFFFF"/>
          <w:lang w:val="sq-AL"/>
        </w:rPr>
        <w:t>ka ende nevoj</w:t>
      </w:r>
      <w:r w:rsidR="00D50314" w:rsidRPr="00B907A3">
        <w:rPr>
          <w:rFonts w:ascii="Garamond" w:hAnsi="Garamond"/>
          <w:sz w:val="24"/>
          <w:lang w:val="sq-AL"/>
        </w:rPr>
        <w:t xml:space="preserve">ë </w:t>
      </w:r>
      <w:r w:rsidR="00D50314" w:rsidRPr="00B907A3">
        <w:rPr>
          <w:rFonts w:ascii="Garamond" w:hAnsi="Garamond"/>
          <w:sz w:val="24"/>
          <w:shd w:val="clear" w:color="auto" w:fill="FFFFFF"/>
          <w:lang w:val="sq-AL"/>
        </w:rPr>
        <w:t>p</w:t>
      </w:r>
      <w:r w:rsidR="00D50314" w:rsidRPr="00B907A3">
        <w:rPr>
          <w:rFonts w:ascii="Garamond" w:hAnsi="Garamond"/>
          <w:sz w:val="24"/>
          <w:lang w:val="sq-AL"/>
        </w:rPr>
        <w:t xml:space="preserve">ër të punuar për të siguruar </w:t>
      </w:r>
      <w:r w:rsidRPr="00B907A3">
        <w:rPr>
          <w:rFonts w:ascii="Garamond" w:hAnsi="Garamond"/>
          <w:sz w:val="24"/>
          <w:shd w:val="clear" w:color="auto" w:fill="FFFFFF"/>
          <w:lang w:val="sq-AL"/>
        </w:rPr>
        <w:t>përputhshmëri</w:t>
      </w:r>
      <w:r w:rsidR="00D50314" w:rsidRPr="00B907A3">
        <w:rPr>
          <w:rFonts w:ascii="Garamond" w:hAnsi="Garamond"/>
          <w:sz w:val="24"/>
          <w:shd w:val="clear" w:color="auto" w:fill="FFFFFF"/>
          <w:lang w:val="sq-AL"/>
        </w:rPr>
        <w:t xml:space="preserve"> të </w:t>
      </w:r>
      <w:r w:rsidRPr="00B907A3">
        <w:rPr>
          <w:rFonts w:ascii="Garamond" w:hAnsi="Garamond"/>
          <w:sz w:val="24"/>
          <w:shd w:val="clear" w:color="auto" w:fill="FFFFFF"/>
          <w:lang w:val="sq-AL"/>
        </w:rPr>
        <w:t xml:space="preserve">plotë me </w:t>
      </w:r>
      <w:r w:rsidRPr="00B907A3">
        <w:rPr>
          <w:rFonts w:ascii="Garamond" w:hAnsi="Garamond"/>
          <w:i/>
          <w:iCs/>
          <w:sz w:val="24"/>
          <w:shd w:val="clear" w:color="auto" w:fill="FFFFFF"/>
          <w:lang w:val="sq-AL"/>
        </w:rPr>
        <w:t>acquis</w:t>
      </w:r>
      <w:r w:rsidRPr="00B907A3">
        <w:rPr>
          <w:rFonts w:ascii="Garamond" w:hAnsi="Garamond"/>
          <w:sz w:val="24"/>
          <w:shd w:val="clear" w:color="auto" w:fill="FFFFFF"/>
          <w:lang w:val="sq-AL"/>
        </w:rPr>
        <w:t xml:space="preserve"> të BE-së, </w:t>
      </w:r>
      <w:r w:rsidR="00D50314" w:rsidRPr="00B907A3">
        <w:rPr>
          <w:rFonts w:ascii="Garamond" w:hAnsi="Garamond"/>
          <w:sz w:val="24"/>
          <w:shd w:val="clear" w:color="auto" w:fill="FFFFFF"/>
          <w:lang w:val="sq-AL"/>
        </w:rPr>
        <w:t>nj</w:t>
      </w:r>
      <w:r w:rsidR="00D50314" w:rsidRPr="00B907A3">
        <w:rPr>
          <w:rFonts w:ascii="Garamond" w:hAnsi="Garamond"/>
          <w:sz w:val="24"/>
          <w:lang w:val="sq-AL"/>
        </w:rPr>
        <w:t>ë kërkesë për anëtarësimin e vendit në Union</w:t>
      </w:r>
      <w:r w:rsidR="00FF703F" w:rsidRPr="00B907A3">
        <w:rPr>
          <w:rFonts w:ascii="Garamond" w:hAnsi="Garamond"/>
          <w:sz w:val="24"/>
          <w:lang w:val="sq-AL" w:eastAsia="sl-SI"/>
        </w:rPr>
        <w:t>.</w:t>
      </w:r>
    </w:p>
    <w:p w14:paraId="7F1C212D" w14:textId="57609F19" w:rsidR="00363E33" w:rsidRPr="00B907A3" w:rsidRDefault="00F54559"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Treguesi i performancës së sigurisë rrugore për pasojën më të rëndë të aksidenteve rrugore në rrugët shqiptare</w:t>
      </w:r>
      <w:r w:rsidR="00FB5830">
        <w:rPr>
          <w:rFonts w:ascii="Garamond" w:hAnsi="Garamond"/>
          <w:sz w:val="24"/>
          <w:lang w:val="sq-AL" w:eastAsia="sl-SI"/>
        </w:rPr>
        <w:t>/</w:t>
      </w:r>
      <w:r w:rsidR="00D50314" w:rsidRPr="00B907A3">
        <w:rPr>
          <w:rFonts w:ascii="Garamond" w:hAnsi="Garamond"/>
          <w:sz w:val="24"/>
          <w:lang w:val="sq-AL" w:eastAsia="sl-SI"/>
        </w:rPr>
        <w:t xml:space="preserve">numri i vdekjeve, nga </w:t>
      </w:r>
      <w:r w:rsidRPr="00B907A3">
        <w:rPr>
          <w:rFonts w:ascii="Garamond" w:hAnsi="Garamond"/>
          <w:sz w:val="24"/>
          <w:lang w:val="sq-AL" w:eastAsia="sl-SI"/>
        </w:rPr>
        <w:t>viti 2010 deri në vitin 2024</w:t>
      </w:r>
      <w:r w:rsidR="00D50314" w:rsidRPr="00B907A3">
        <w:rPr>
          <w:rFonts w:ascii="Garamond" w:hAnsi="Garamond"/>
          <w:sz w:val="24"/>
          <w:lang w:val="sq-AL" w:eastAsia="sl-SI"/>
        </w:rPr>
        <w:t xml:space="preserve">, </w:t>
      </w:r>
      <w:r w:rsidRPr="00B907A3">
        <w:rPr>
          <w:rFonts w:ascii="Garamond" w:hAnsi="Garamond"/>
          <w:sz w:val="24"/>
          <w:lang w:val="sq-AL" w:eastAsia="sl-SI"/>
        </w:rPr>
        <w:t xml:space="preserve">tregon një </w:t>
      </w:r>
      <w:r w:rsidR="00D50314" w:rsidRPr="00B907A3">
        <w:rPr>
          <w:rFonts w:ascii="Garamond" w:hAnsi="Garamond"/>
          <w:sz w:val="24"/>
          <w:lang w:val="sq-AL" w:eastAsia="sl-SI"/>
        </w:rPr>
        <w:t xml:space="preserve">progres </w:t>
      </w:r>
      <w:r w:rsidRPr="00B907A3">
        <w:rPr>
          <w:rFonts w:ascii="Garamond" w:hAnsi="Garamond"/>
          <w:sz w:val="24"/>
          <w:lang w:val="sq-AL" w:eastAsia="sl-SI"/>
        </w:rPr>
        <w:t xml:space="preserve">të konsiderueshëm. </w:t>
      </w:r>
      <w:r w:rsidR="002262A0" w:rsidRPr="00B907A3">
        <w:rPr>
          <w:rFonts w:ascii="Garamond" w:hAnsi="Garamond"/>
          <w:sz w:val="24"/>
          <w:lang w:val="sq-AL" w:eastAsia="sl-SI"/>
        </w:rPr>
        <w:t>Pra pas pothuajse nj</w:t>
      </w:r>
      <w:r w:rsidR="002262A0" w:rsidRPr="00B907A3">
        <w:rPr>
          <w:rFonts w:ascii="Garamond" w:hAnsi="Garamond"/>
          <w:sz w:val="24"/>
          <w:lang w:val="sq-AL"/>
        </w:rPr>
        <w:t xml:space="preserve">ë dekadë e </w:t>
      </w:r>
      <w:r w:rsidR="007951BD" w:rsidRPr="00B907A3">
        <w:rPr>
          <w:rFonts w:ascii="Garamond" w:hAnsi="Garamond"/>
          <w:sz w:val="24"/>
          <w:lang w:val="sq-AL"/>
        </w:rPr>
        <w:t>gjysmë</w:t>
      </w:r>
      <w:r w:rsidR="002262A0" w:rsidRPr="00B907A3">
        <w:rPr>
          <w:rFonts w:ascii="Garamond" w:hAnsi="Garamond"/>
          <w:sz w:val="24"/>
          <w:lang w:val="sq-AL" w:eastAsia="sl-SI"/>
        </w:rPr>
        <w:t>, n</w:t>
      </w:r>
      <w:r w:rsidRPr="00B907A3">
        <w:rPr>
          <w:rFonts w:ascii="Garamond" w:hAnsi="Garamond"/>
          <w:sz w:val="24"/>
          <w:lang w:val="sq-AL" w:eastAsia="sl-SI"/>
        </w:rPr>
        <w:t xml:space="preserve">umri i vdekjeve në rrugët e Shqipërisë është ulur me 48.58%, </w:t>
      </w:r>
      <w:r w:rsidR="002262A0" w:rsidRPr="00B907A3">
        <w:rPr>
          <w:rFonts w:ascii="Garamond" w:hAnsi="Garamond"/>
          <w:sz w:val="24"/>
          <w:lang w:val="sq-AL" w:eastAsia="sl-SI"/>
        </w:rPr>
        <w:t xml:space="preserve">(ose </w:t>
      </w:r>
      <w:r w:rsidRPr="00B907A3">
        <w:rPr>
          <w:rFonts w:ascii="Garamond" w:hAnsi="Garamond"/>
          <w:sz w:val="24"/>
          <w:lang w:val="sq-AL" w:eastAsia="sl-SI"/>
        </w:rPr>
        <w:t>nga 352 vdekje në vitin 2010 në 181 vdekje në vitin 2020</w:t>
      </w:r>
      <w:r w:rsidR="002262A0" w:rsidRPr="00B907A3">
        <w:rPr>
          <w:rFonts w:ascii="Garamond" w:hAnsi="Garamond"/>
          <w:sz w:val="24"/>
          <w:lang w:val="sq-AL" w:eastAsia="sl-SI"/>
        </w:rPr>
        <w:t>)</w:t>
      </w:r>
      <w:r w:rsidRPr="00B907A3">
        <w:rPr>
          <w:rFonts w:ascii="Garamond" w:hAnsi="Garamond"/>
          <w:sz w:val="24"/>
          <w:lang w:val="sq-AL" w:eastAsia="sl-SI"/>
        </w:rPr>
        <w:t xml:space="preserve">. Kjo është një shifër shumë inkurajuese për sa i përket arritjes së qëllimeve të </w:t>
      </w:r>
      <w:r w:rsidR="007951BD">
        <w:rPr>
          <w:rFonts w:ascii="Garamond" w:hAnsi="Garamond"/>
          <w:sz w:val="24"/>
          <w:lang w:val="sq-AL" w:eastAsia="sl-SI"/>
        </w:rPr>
        <w:t>“</w:t>
      </w:r>
      <w:r w:rsidRPr="00B907A3">
        <w:rPr>
          <w:rFonts w:ascii="Garamond" w:hAnsi="Garamond"/>
          <w:sz w:val="24"/>
          <w:lang w:val="sq-AL" w:eastAsia="sl-SI"/>
        </w:rPr>
        <w:t>Vizionit Zero</w:t>
      </w:r>
      <w:r w:rsidR="007951BD">
        <w:rPr>
          <w:rFonts w:ascii="Garamond" w:hAnsi="Garamond"/>
          <w:sz w:val="24"/>
          <w:lang w:val="sq-AL" w:eastAsia="sl-SI"/>
        </w:rPr>
        <w:t>”</w:t>
      </w:r>
      <w:r w:rsidRPr="00B907A3">
        <w:rPr>
          <w:rFonts w:ascii="Garamond" w:hAnsi="Garamond"/>
          <w:sz w:val="24"/>
          <w:lang w:val="sq-AL" w:eastAsia="sl-SI"/>
        </w:rPr>
        <w:t xml:space="preserve"> dhe zbatimit të masave efektive të sigurisë rrugore. Ky progres ishte pothuajse në përputhje me objektivat e BE-së për reduktimin e aksidenteve rrugore për </w:t>
      </w:r>
      <w:r w:rsidRPr="00B907A3">
        <w:rPr>
          <w:rFonts w:ascii="Garamond" w:hAnsi="Garamond"/>
          <w:sz w:val="24"/>
          <w:lang w:val="sq-AL" w:eastAsia="sl-SI"/>
        </w:rPr>
        <w:lastRenderedPageBreak/>
        <w:t>dekadën e kaluar. BE-ja ka vendosur objektivin për të ulur vdekjet në trafikun rrugor me 50% në dekadën e dytë, si pjesë e K</w:t>
      </w:r>
      <w:r w:rsidR="002262A0" w:rsidRPr="00B907A3">
        <w:rPr>
          <w:rFonts w:ascii="Garamond" w:hAnsi="Garamond"/>
          <w:sz w:val="24"/>
          <w:lang w:val="sq-AL" w:eastAsia="sl-SI"/>
        </w:rPr>
        <w:t>uadrit t</w:t>
      </w:r>
      <w:r w:rsidRPr="00B907A3">
        <w:rPr>
          <w:rFonts w:ascii="Garamond" w:hAnsi="Garamond"/>
          <w:sz w:val="24"/>
          <w:lang w:val="sq-AL" w:eastAsia="sl-SI"/>
        </w:rPr>
        <w:t>ë Politikave të Sigurisë Rrugore të BE-së 2021</w:t>
      </w:r>
      <w:r w:rsidR="00D121E9">
        <w:rPr>
          <w:rFonts w:ascii="Garamond" w:hAnsi="Garamond"/>
          <w:sz w:val="24"/>
        </w:rPr>
        <w:t>–</w:t>
      </w:r>
      <w:r w:rsidRPr="00B907A3">
        <w:rPr>
          <w:rFonts w:ascii="Garamond" w:hAnsi="Garamond"/>
          <w:sz w:val="24"/>
          <w:lang w:val="sq-AL" w:eastAsia="sl-SI"/>
        </w:rPr>
        <w:t>2030</w:t>
      </w:r>
      <w:r w:rsidR="00363E33" w:rsidRPr="00B907A3">
        <w:rPr>
          <w:rFonts w:ascii="Garamond" w:hAnsi="Garamond"/>
          <w:sz w:val="24"/>
          <w:lang w:val="sq-AL"/>
        </w:rPr>
        <w:t>.</w:t>
      </w:r>
    </w:p>
    <w:p w14:paraId="5BD18E42" w14:textId="7C3D24A5" w:rsidR="00742191" w:rsidRPr="00B907A3" w:rsidRDefault="00F54559" w:rsidP="008C4E07">
      <w:pPr>
        <w:pStyle w:val="NormalWeb"/>
        <w:spacing w:line="240" w:lineRule="auto"/>
        <w:ind w:firstLine="284"/>
        <w:jc w:val="both"/>
        <w:rPr>
          <w:rFonts w:ascii="Garamond" w:hAnsi="Garamond"/>
          <w:sz w:val="24"/>
          <w:lang w:val="sq-AL" w:eastAsia="it-IT"/>
        </w:rPr>
      </w:pPr>
      <w:r w:rsidRPr="00B907A3">
        <w:rPr>
          <w:rFonts w:ascii="Garamond" w:hAnsi="Garamond"/>
          <w:sz w:val="24"/>
          <w:lang w:val="sq-AL" w:eastAsia="it-IT"/>
        </w:rPr>
        <w:t>Shqipëria regjistroi 197</w:t>
      </w:r>
      <w:r w:rsidR="00ED0D9D" w:rsidRPr="00B907A3">
        <w:rPr>
          <w:rStyle w:val="FootnoteReference"/>
          <w:rFonts w:ascii="Garamond" w:hAnsi="Garamond"/>
          <w:sz w:val="24"/>
          <w:lang w:val="sq-AL" w:eastAsia="it-IT"/>
        </w:rPr>
        <w:footnoteReference w:id="4"/>
      </w:r>
      <w:r w:rsidRPr="00B907A3">
        <w:rPr>
          <w:rFonts w:ascii="Garamond" w:hAnsi="Garamond"/>
          <w:sz w:val="24"/>
          <w:lang w:val="sq-AL" w:eastAsia="it-IT"/>
        </w:rPr>
        <w:t xml:space="preserve"> vdekje në vitin 2021, dhe, n</w:t>
      </w:r>
      <w:r w:rsidR="002262A0" w:rsidRPr="00B907A3">
        <w:rPr>
          <w:rFonts w:ascii="Garamond" w:hAnsi="Garamond"/>
          <w:sz w:val="24"/>
          <w:lang w:val="sq-AL" w:eastAsia="it-IT"/>
        </w:rPr>
        <w:t>d</w:t>
      </w:r>
      <w:r w:rsidRPr="00B907A3">
        <w:rPr>
          <w:rFonts w:ascii="Garamond" w:hAnsi="Garamond"/>
          <w:sz w:val="24"/>
          <w:lang w:val="sq-AL" w:eastAsia="it-IT"/>
        </w:rPr>
        <w:t>ë</w:t>
      </w:r>
      <w:r w:rsidR="002262A0" w:rsidRPr="00B907A3">
        <w:rPr>
          <w:rFonts w:ascii="Garamond" w:hAnsi="Garamond"/>
          <w:sz w:val="24"/>
          <w:lang w:val="sq-AL" w:eastAsia="it-IT"/>
        </w:rPr>
        <w:t>rsa n</w:t>
      </w:r>
      <w:r w:rsidR="002262A0" w:rsidRPr="00B907A3">
        <w:rPr>
          <w:rFonts w:ascii="Garamond" w:hAnsi="Garamond"/>
          <w:sz w:val="24"/>
          <w:lang w:val="sq-AL"/>
        </w:rPr>
        <w:t>ë</w:t>
      </w:r>
      <w:r w:rsidRPr="00B907A3">
        <w:rPr>
          <w:rFonts w:ascii="Garamond" w:hAnsi="Garamond"/>
          <w:sz w:val="24"/>
          <w:lang w:val="sq-AL" w:eastAsia="it-IT"/>
        </w:rPr>
        <w:t xml:space="preserve"> vitin 2024, 175 </w:t>
      </w:r>
      <w:r w:rsidR="002262A0" w:rsidRPr="00B907A3">
        <w:rPr>
          <w:rFonts w:ascii="Garamond" w:hAnsi="Garamond"/>
          <w:sz w:val="24"/>
          <w:lang w:val="sq-AL" w:eastAsia="it-IT"/>
        </w:rPr>
        <w:t xml:space="preserve">vdekje </w:t>
      </w:r>
      <w:r w:rsidRPr="00B907A3">
        <w:rPr>
          <w:rFonts w:ascii="Garamond" w:hAnsi="Garamond"/>
          <w:sz w:val="24"/>
          <w:lang w:val="sq-AL" w:eastAsia="it-IT"/>
        </w:rPr>
        <w:t>në rrugët e Shqipërisë. Ky trend në rënie i vdekjeve (-11%) tregon gjithashtu një përmirësim në sigurinë rrugore dhe është rezultat i planifikimit strategjik dhe v</w:t>
      </w:r>
      <w:r w:rsidR="002262A0" w:rsidRPr="00B907A3">
        <w:rPr>
          <w:rFonts w:ascii="Garamond" w:hAnsi="Garamond"/>
          <w:sz w:val="24"/>
          <w:lang w:val="sq-AL" w:eastAsia="it-IT"/>
        </w:rPr>
        <w:t xml:space="preserve">ijimit </w:t>
      </w:r>
      <w:r w:rsidRPr="00B907A3">
        <w:rPr>
          <w:rFonts w:ascii="Garamond" w:hAnsi="Garamond"/>
          <w:sz w:val="24"/>
          <w:lang w:val="sq-AL" w:eastAsia="it-IT"/>
        </w:rPr>
        <w:t xml:space="preserve">të aktiviteteve pas </w:t>
      </w:r>
      <w:r w:rsidR="002262A0" w:rsidRPr="00B907A3">
        <w:rPr>
          <w:rFonts w:ascii="Garamond" w:hAnsi="Garamond"/>
          <w:sz w:val="24"/>
          <w:lang w:val="sq-AL" w:eastAsia="it-IT"/>
        </w:rPr>
        <w:t>kalimit t</w:t>
      </w:r>
      <w:r w:rsidR="002262A0" w:rsidRPr="00B907A3">
        <w:rPr>
          <w:rFonts w:ascii="Garamond" w:hAnsi="Garamond"/>
          <w:sz w:val="24"/>
          <w:lang w:val="sq-AL"/>
        </w:rPr>
        <w:t xml:space="preserve">ë afatit </w:t>
      </w:r>
      <w:r w:rsidRPr="00B907A3">
        <w:rPr>
          <w:rFonts w:ascii="Garamond" w:hAnsi="Garamond"/>
          <w:sz w:val="24"/>
          <w:lang w:val="sq-AL" w:eastAsia="it-IT"/>
        </w:rPr>
        <w:t xml:space="preserve">të dokumenteve përkatëse strategjike. Shqipëria gjithashtu miratoi qasjen </w:t>
      </w:r>
      <w:r w:rsidR="002262A0" w:rsidRPr="00B907A3">
        <w:rPr>
          <w:rFonts w:ascii="Garamond" w:hAnsi="Garamond"/>
          <w:sz w:val="24"/>
          <w:lang w:val="sq-AL" w:eastAsia="it-IT"/>
        </w:rPr>
        <w:t xml:space="preserve">e </w:t>
      </w:r>
      <w:r w:rsidR="007951BD">
        <w:rPr>
          <w:rFonts w:ascii="Garamond" w:hAnsi="Garamond"/>
          <w:sz w:val="24"/>
          <w:lang w:val="sq-AL" w:eastAsia="it-IT"/>
        </w:rPr>
        <w:t>“</w:t>
      </w:r>
      <w:r w:rsidR="002262A0" w:rsidRPr="00B907A3">
        <w:rPr>
          <w:rFonts w:ascii="Garamond" w:hAnsi="Garamond"/>
          <w:sz w:val="24"/>
          <w:lang w:val="sq-AL" w:eastAsia="it-IT"/>
        </w:rPr>
        <w:t xml:space="preserve">Vizionit </w:t>
      </w:r>
      <w:r w:rsidRPr="00B907A3">
        <w:rPr>
          <w:rFonts w:ascii="Garamond" w:hAnsi="Garamond"/>
          <w:sz w:val="24"/>
          <w:lang w:val="sq-AL" w:eastAsia="it-IT"/>
        </w:rPr>
        <w:t>Zero</w:t>
      </w:r>
      <w:r w:rsidR="007951BD">
        <w:rPr>
          <w:rFonts w:ascii="Garamond" w:hAnsi="Garamond"/>
          <w:sz w:val="24"/>
          <w:lang w:val="sq-AL" w:eastAsia="it-IT"/>
        </w:rPr>
        <w:t>”</w:t>
      </w:r>
      <w:r w:rsidRPr="00B907A3">
        <w:rPr>
          <w:rFonts w:ascii="Garamond" w:hAnsi="Garamond"/>
          <w:sz w:val="24"/>
          <w:lang w:val="sq-AL" w:eastAsia="it-IT"/>
        </w:rPr>
        <w:t xml:space="preserve"> në Strategjinë e saj të fundit </w:t>
      </w:r>
      <w:r w:rsidR="002262A0" w:rsidRPr="00B907A3">
        <w:rPr>
          <w:rFonts w:ascii="Garamond" w:hAnsi="Garamond"/>
          <w:sz w:val="24"/>
          <w:lang w:val="sq-AL" w:eastAsia="it-IT"/>
        </w:rPr>
        <w:t>p</w:t>
      </w:r>
      <w:r w:rsidRPr="00B907A3">
        <w:rPr>
          <w:rFonts w:ascii="Garamond" w:hAnsi="Garamond"/>
          <w:sz w:val="24"/>
          <w:lang w:val="sq-AL" w:eastAsia="it-IT"/>
        </w:rPr>
        <w:t>ë</w:t>
      </w:r>
      <w:r w:rsidR="002262A0" w:rsidRPr="00B907A3">
        <w:rPr>
          <w:rFonts w:ascii="Garamond" w:hAnsi="Garamond"/>
          <w:sz w:val="24"/>
          <w:lang w:val="sq-AL" w:eastAsia="it-IT"/>
        </w:rPr>
        <w:t>r</w:t>
      </w:r>
      <w:r w:rsidRPr="00B907A3">
        <w:rPr>
          <w:rFonts w:ascii="Garamond" w:hAnsi="Garamond"/>
          <w:sz w:val="24"/>
          <w:lang w:val="sq-AL" w:eastAsia="it-IT"/>
        </w:rPr>
        <w:t xml:space="preserve"> </w:t>
      </w:r>
      <w:r w:rsidR="002262A0" w:rsidRPr="00B907A3">
        <w:rPr>
          <w:rFonts w:ascii="Garamond" w:hAnsi="Garamond"/>
          <w:sz w:val="24"/>
          <w:lang w:val="sq-AL" w:eastAsia="it-IT"/>
        </w:rPr>
        <w:t xml:space="preserve">Sigurinë </w:t>
      </w:r>
      <w:r w:rsidRPr="00B907A3">
        <w:rPr>
          <w:rFonts w:ascii="Garamond" w:hAnsi="Garamond"/>
          <w:sz w:val="24"/>
          <w:lang w:val="sq-AL" w:eastAsia="it-IT"/>
        </w:rPr>
        <w:t>Rrugor</w:t>
      </w:r>
      <w:r w:rsidR="00ED0D9D" w:rsidRPr="00B907A3">
        <w:rPr>
          <w:rFonts w:ascii="Garamond" w:hAnsi="Garamond"/>
          <w:sz w:val="24"/>
          <w:lang w:val="sq-AL" w:eastAsia="it-IT"/>
        </w:rPr>
        <w:t>e</w:t>
      </w:r>
      <w:r w:rsidR="00363E33" w:rsidRPr="00B907A3">
        <w:rPr>
          <w:rFonts w:ascii="Garamond" w:hAnsi="Garamond"/>
          <w:sz w:val="24"/>
          <w:lang w:val="sq-AL" w:eastAsia="it-IT"/>
        </w:rPr>
        <w:t>.</w:t>
      </w:r>
    </w:p>
    <w:p w14:paraId="3A4373E4" w14:textId="14065A9D" w:rsidR="00F54559" w:rsidRPr="007951BD" w:rsidRDefault="00AF29EC" w:rsidP="008C4E07">
      <w:pPr>
        <w:pStyle w:val="NormalWeb"/>
        <w:spacing w:line="240" w:lineRule="auto"/>
        <w:ind w:firstLine="284"/>
        <w:rPr>
          <w:rFonts w:ascii="Garamond" w:hAnsi="Garamond"/>
          <w:i/>
          <w:sz w:val="24"/>
          <w:lang w:val="sq-AL"/>
        </w:rPr>
      </w:pPr>
      <w:bookmarkStart w:id="26" w:name="_Toc208840996"/>
      <w:r w:rsidRPr="007951BD">
        <w:rPr>
          <w:rFonts w:ascii="Garamond" w:hAnsi="Garamond"/>
          <w:i/>
          <w:sz w:val="24"/>
          <w:lang w:val="sq-AL"/>
        </w:rPr>
        <w:t xml:space="preserve">Figura </w:t>
      </w:r>
      <w:r w:rsidRPr="007951BD">
        <w:rPr>
          <w:rFonts w:ascii="Garamond" w:hAnsi="Garamond"/>
          <w:i/>
          <w:sz w:val="24"/>
          <w:lang w:val="sq-AL"/>
        </w:rPr>
        <w:fldChar w:fldCharType="begin"/>
      </w:r>
      <w:r w:rsidRPr="007951BD">
        <w:rPr>
          <w:rFonts w:ascii="Garamond" w:hAnsi="Garamond"/>
          <w:i/>
          <w:sz w:val="24"/>
          <w:lang w:val="sq-AL"/>
        </w:rPr>
        <w:instrText xml:space="preserve"> STYLEREF 1 \s </w:instrText>
      </w:r>
      <w:r w:rsidRPr="007951BD">
        <w:rPr>
          <w:rFonts w:ascii="Garamond" w:hAnsi="Garamond"/>
          <w:i/>
          <w:sz w:val="24"/>
          <w:lang w:val="sq-AL"/>
        </w:rPr>
        <w:fldChar w:fldCharType="separate"/>
      </w:r>
      <w:r w:rsidRPr="007951BD">
        <w:rPr>
          <w:rFonts w:ascii="Garamond" w:hAnsi="Garamond"/>
          <w:i/>
          <w:sz w:val="24"/>
          <w:lang w:val="sq-AL"/>
        </w:rPr>
        <w:t>3</w:t>
      </w:r>
      <w:r w:rsidRPr="007951BD">
        <w:rPr>
          <w:rFonts w:ascii="Garamond" w:hAnsi="Garamond"/>
          <w:i/>
          <w:sz w:val="24"/>
          <w:lang w:val="sq-AL"/>
        </w:rPr>
        <w:fldChar w:fldCharType="end"/>
      </w:r>
      <w:r w:rsidRPr="007951BD">
        <w:rPr>
          <w:rFonts w:ascii="Garamond" w:hAnsi="Garamond"/>
          <w:i/>
          <w:sz w:val="24"/>
          <w:lang w:val="sq-AL"/>
        </w:rPr>
        <w:t>-</w:t>
      </w:r>
      <w:r w:rsidRPr="007951BD">
        <w:rPr>
          <w:rFonts w:ascii="Garamond" w:hAnsi="Garamond"/>
          <w:i/>
          <w:sz w:val="24"/>
          <w:lang w:val="sq-AL"/>
        </w:rPr>
        <w:fldChar w:fldCharType="begin"/>
      </w:r>
      <w:r w:rsidRPr="007951BD">
        <w:rPr>
          <w:rFonts w:ascii="Garamond" w:hAnsi="Garamond"/>
          <w:i/>
          <w:sz w:val="24"/>
          <w:lang w:val="sq-AL"/>
        </w:rPr>
        <w:instrText xml:space="preserve"> SEQ Figure \* ARABIC \s 1 </w:instrText>
      </w:r>
      <w:r w:rsidRPr="007951BD">
        <w:rPr>
          <w:rFonts w:ascii="Garamond" w:hAnsi="Garamond"/>
          <w:i/>
          <w:sz w:val="24"/>
          <w:lang w:val="sq-AL"/>
        </w:rPr>
        <w:fldChar w:fldCharType="separate"/>
      </w:r>
      <w:r w:rsidRPr="007951BD">
        <w:rPr>
          <w:rFonts w:ascii="Garamond" w:hAnsi="Garamond"/>
          <w:i/>
          <w:sz w:val="24"/>
          <w:lang w:val="sq-AL"/>
        </w:rPr>
        <w:t>1</w:t>
      </w:r>
      <w:r w:rsidRPr="007951BD">
        <w:rPr>
          <w:rFonts w:ascii="Garamond" w:hAnsi="Garamond"/>
          <w:i/>
          <w:sz w:val="24"/>
          <w:lang w:val="sq-AL"/>
        </w:rPr>
        <w:fldChar w:fldCharType="end"/>
      </w:r>
      <w:r w:rsidR="007951BD" w:rsidRPr="007951BD">
        <w:rPr>
          <w:rFonts w:ascii="Garamond" w:hAnsi="Garamond"/>
          <w:i/>
          <w:sz w:val="24"/>
          <w:lang w:val="sq-AL"/>
        </w:rPr>
        <w:t>.</w:t>
      </w:r>
      <w:r w:rsidRPr="007951BD">
        <w:rPr>
          <w:rFonts w:ascii="Garamond" w:hAnsi="Garamond"/>
          <w:i/>
          <w:sz w:val="24"/>
          <w:lang w:val="sq-AL"/>
        </w:rPr>
        <w:t xml:space="preserve"> </w:t>
      </w:r>
      <w:r w:rsidR="00F54559" w:rsidRPr="007951BD">
        <w:rPr>
          <w:rFonts w:ascii="Garamond" w:hAnsi="Garamond"/>
          <w:i/>
          <w:sz w:val="24"/>
          <w:lang w:val="sq-AL"/>
        </w:rPr>
        <w:t>Numri i vdekjeve në aksidente rrugore në Shqipëri nga viti 2010 deri në vitin 2024</w:t>
      </w:r>
      <w:bookmarkEnd w:id="26"/>
    </w:p>
    <w:p w14:paraId="10006175" w14:textId="249FB187" w:rsidR="00363E33" w:rsidRPr="00B907A3" w:rsidRDefault="00F54559" w:rsidP="008C4E07">
      <w:pPr>
        <w:pStyle w:val="NormalWeb"/>
        <w:spacing w:line="240" w:lineRule="auto"/>
        <w:ind w:firstLine="284"/>
        <w:rPr>
          <w:rFonts w:ascii="Garamond" w:hAnsi="Garamond"/>
          <w:sz w:val="24"/>
          <w:lang w:val="sq-AL" w:eastAsia="sl-SI"/>
        </w:rPr>
      </w:pPr>
      <w:r w:rsidRPr="00B907A3">
        <w:rPr>
          <w:rFonts w:ascii="Garamond" w:hAnsi="Garamond"/>
          <w:sz w:val="24"/>
          <w:lang w:val="sq-AL"/>
        </w:rPr>
        <w:t>(Burimi: I</w:t>
      </w:r>
      <w:r w:rsidR="002262A0" w:rsidRPr="00B907A3">
        <w:rPr>
          <w:rFonts w:ascii="Garamond" w:hAnsi="Garamond"/>
          <w:sz w:val="24"/>
          <w:lang w:val="sq-AL"/>
        </w:rPr>
        <w:t>NSTAT</w:t>
      </w:r>
      <w:r w:rsidR="007951BD">
        <w:rPr>
          <w:rFonts w:ascii="Garamond" w:hAnsi="Garamond"/>
          <w:sz w:val="24"/>
          <w:lang w:val="sq-AL"/>
        </w:rPr>
        <w:t>-i</w:t>
      </w:r>
      <w:r w:rsidR="00B27C05" w:rsidRPr="00B907A3">
        <w:rPr>
          <w:rFonts w:ascii="Garamond" w:eastAsia="Calibri" w:hAnsi="Garamond"/>
          <w:sz w:val="24"/>
          <w:lang w:val="sq-AL" w:eastAsia="en-US"/>
        </w:rPr>
        <w:t>)</w:t>
      </w:r>
      <w:r w:rsidR="00B27C05" w:rsidRPr="00B907A3">
        <w:rPr>
          <w:rFonts w:ascii="Garamond" w:eastAsia="Calibri" w:hAnsi="Garamond"/>
          <w:sz w:val="24"/>
          <w:lang w:val="sq-AL" w:eastAsia="en-US"/>
        </w:rPr>
        <w:br/>
      </w:r>
      <w:r w:rsidR="008C4E07" w:rsidRPr="00B907A3">
        <w:rPr>
          <w:rFonts w:ascii="Garamond" w:hAnsi="Garamond"/>
          <w:noProof/>
          <w:sz w:val="24"/>
          <w:lang w:val="sq-AL" w:eastAsia="sq-AL"/>
        </w:rPr>
        <w:drawing>
          <wp:inline distT="0" distB="0" distL="0" distR="0" wp14:anchorId="2187F723" wp14:editId="1A3AC994">
            <wp:extent cx="6120130" cy="285115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851150"/>
                    </a:xfrm>
                    <a:prstGeom prst="rect">
                      <a:avLst/>
                    </a:prstGeom>
                  </pic:spPr>
                </pic:pic>
              </a:graphicData>
            </a:graphic>
          </wp:inline>
        </w:drawing>
      </w:r>
    </w:p>
    <w:p w14:paraId="79A76F16" w14:textId="3260176C" w:rsidR="00363E33" w:rsidRPr="00B907A3" w:rsidRDefault="00363E33" w:rsidP="008C4E07">
      <w:pPr>
        <w:pStyle w:val="NormalWeb"/>
        <w:spacing w:line="240" w:lineRule="auto"/>
        <w:jc w:val="center"/>
        <w:rPr>
          <w:rFonts w:ascii="Garamond" w:hAnsi="Garamond"/>
          <w:sz w:val="24"/>
          <w:lang w:val="sq-AL" w:eastAsia="sl-SI"/>
        </w:rPr>
      </w:pPr>
    </w:p>
    <w:p w14:paraId="275D97EE" w14:textId="5F98943E" w:rsidR="00363E33" w:rsidRPr="00B907A3" w:rsidRDefault="00F54559" w:rsidP="008C4E07">
      <w:pPr>
        <w:spacing w:after="0"/>
        <w:ind w:firstLine="284"/>
        <w:rPr>
          <w:rFonts w:ascii="Garamond" w:hAnsi="Garamond"/>
          <w:sz w:val="24"/>
          <w:lang w:eastAsia="sl-SI"/>
        </w:rPr>
      </w:pPr>
      <w:r w:rsidRPr="00B907A3">
        <w:rPr>
          <w:rFonts w:ascii="Garamond" w:hAnsi="Garamond"/>
          <w:b/>
          <w:bCs/>
          <w:sz w:val="24"/>
          <w:lang w:eastAsia="sl-SI"/>
        </w:rPr>
        <w:t xml:space="preserve">Arritja e suksesit me Strategjinë e re të Sigurisë Rrugore </w:t>
      </w:r>
      <w:r w:rsidR="003226B8" w:rsidRPr="00B907A3">
        <w:rPr>
          <w:rFonts w:ascii="Garamond" w:hAnsi="Garamond"/>
          <w:b/>
          <w:bCs/>
          <w:sz w:val="24"/>
          <w:lang w:eastAsia="sl-SI"/>
        </w:rPr>
        <w:t>2026</w:t>
      </w:r>
      <w:r w:rsidR="007951BD" w:rsidRPr="007951BD">
        <w:rPr>
          <w:rFonts w:ascii="Garamond" w:hAnsi="Garamond"/>
          <w:b/>
          <w:sz w:val="24"/>
        </w:rPr>
        <w:t>–</w:t>
      </w:r>
      <w:r w:rsidR="003226B8" w:rsidRPr="00B907A3">
        <w:rPr>
          <w:rFonts w:ascii="Garamond" w:hAnsi="Garamond"/>
          <w:b/>
          <w:bCs/>
          <w:sz w:val="24"/>
          <w:lang w:eastAsia="sl-SI"/>
        </w:rPr>
        <w:t xml:space="preserve">2030 </w:t>
      </w:r>
      <w:r w:rsidRPr="00B907A3">
        <w:rPr>
          <w:rFonts w:ascii="Garamond" w:hAnsi="Garamond"/>
          <w:b/>
          <w:bCs/>
          <w:sz w:val="24"/>
          <w:lang w:eastAsia="sl-SI"/>
        </w:rPr>
        <w:t>dhe Planin e Veprimit do të</w:t>
      </w:r>
      <w:r w:rsidR="002262A0" w:rsidRPr="00B907A3">
        <w:rPr>
          <w:rFonts w:ascii="Garamond" w:hAnsi="Garamond"/>
          <w:b/>
          <w:bCs/>
          <w:sz w:val="24"/>
          <w:lang w:eastAsia="sl-SI"/>
        </w:rPr>
        <w:t xml:space="preserve"> kërkojë më shumë përpjekje</w:t>
      </w:r>
      <w:r w:rsidRPr="00B907A3">
        <w:rPr>
          <w:rFonts w:ascii="Garamond" w:hAnsi="Garamond"/>
          <w:sz w:val="24"/>
          <w:lang w:eastAsia="sl-SI"/>
        </w:rPr>
        <w:t xml:space="preserve">, pasi shumë </w:t>
      </w:r>
      <w:r w:rsidR="00DA0876" w:rsidRPr="00B907A3">
        <w:rPr>
          <w:rFonts w:ascii="Garamond" w:hAnsi="Garamond"/>
          <w:sz w:val="24"/>
          <w:lang w:eastAsia="sl-SI"/>
        </w:rPr>
        <w:t>arritje</w:t>
      </w:r>
      <w:r w:rsidRPr="00B907A3">
        <w:rPr>
          <w:rFonts w:ascii="Garamond" w:hAnsi="Garamond"/>
          <w:sz w:val="24"/>
          <w:lang w:eastAsia="sl-SI"/>
        </w:rPr>
        <w:t xml:space="preserve"> të shpejta janë </w:t>
      </w:r>
      <w:r w:rsidR="0047468C" w:rsidRPr="00B907A3">
        <w:rPr>
          <w:rFonts w:ascii="Garamond" w:hAnsi="Garamond"/>
          <w:sz w:val="24"/>
          <w:lang w:eastAsia="sl-SI"/>
        </w:rPr>
        <w:t>realizuar</w:t>
      </w:r>
      <w:r w:rsidR="002262A0" w:rsidRPr="00B907A3">
        <w:rPr>
          <w:rFonts w:ascii="Garamond" w:hAnsi="Garamond"/>
          <w:sz w:val="24"/>
          <w:lang w:eastAsia="sl-SI"/>
        </w:rPr>
        <w:t xml:space="preserve"> </w:t>
      </w:r>
      <w:r w:rsidRPr="00B907A3">
        <w:rPr>
          <w:rFonts w:ascii="Garamond" w:hAnsi="Garamond"/>
          <w:sz w:val="24"/>
          <w:lang w:eastAsia="sl-SI"/>
        </w:rPr>
        <w:t xml:space="preserve">tashmë dhe </w:t>
      </w:r>
      <w:r w:rsidR="00CF09DC" w:rsidRPr="00B907A3">
        <w:rPr>
          <w:rFonts w:ascii="Garamond" w:hAnsi="Garamond"/>
          <w:sz w:val="24"/>
          <w:lang w:eastAsia="sl-SI"/>
        </w:rPr>
        <w:t>P</w:t>
      </w:r>
      <w:r w:rsidR="002262A0" w:rsidRPr="00B907A3">
        <w:rPr>
          <w:rFonts w:ascii="Garamond" w:hAnsi="Garamond"/>
          <w:sz w:val="24"/>
          <w:lang w:eastAsia="sl-SI"/>
        </w:rPr>
        <w:t xml:space="preserve">andemia e </w:t>
      </w:r>
      <w:r w:rsidRPr="00B907A3">
        <w:rPr>
          <w:rFonts w:ascii="Garamond" w:hAnsi="Garamond"/>
          <w:sz w:val="24"/>
          <w:lang w:eastAsia="sl-SI"/>
        </w:rPr>
        <w:t xml:space="preserve">Covid-19 </w:t>
      </w:r>
      <w:r w:rsidR="002262A0" w:rsidRPr="00B907A3">
        <w:rPr>
          <w:rFonts w:ascii="Garamond" w:hAnsi="Garamond"/>
          <w:sz w:val="24"/>
          <w:lang w:eastAsia="sl-SI"/>
        </w:rPr>
        <w:t xml:space="preserve">duke zvogëluar qarkullimin, solli </w:t>
      </w:r>
      <w:r w:rsidRPr="00B907A3">
        <w:rPr>
          <w:rFonts w:ascii="Garamond" w:hAnsi="Garamond"/>
          <w:sz w:val="24"/>
          <w:lang w:eastAsia="sl-SI"/>
        </w:rPr>
        <w:t xml:space="preserve">përkohësisht </w:t>
      </w:r>
      <w:r w:rsidR="002262A0" w:rsidRPr="00B907A3">
        <w:rPr>
          <w:rFonts w:ascii="Garamond" w:hAnsi="Garamond"/>
          <w:sz w:val="24"/>
          <w:lang w:eastAsia="sl-SI"/>
        </w:rPr>
        <w:t xml:space="preserve">rritje të sigurisë </w:t>
      </w:r>
      <w:r w:rsidRPr="00B907A3">
        <w:rPr>
          <w:rFonts w:ascii="Garamond" w:hAnsi="Garamond"/>
          <w:sz w:val="24"/>
          <w:lang w:eastAsia="sl-SI"/>
        </w:rPr>
        <w:t>rrugore. Kjo është arsyeja pse të gjithë aktorët kryesorë të sigurisë rrugore duhet të bashkohen dhe të përshta</w:t>
      </w:r>
      <w:r w:rsidR="007951BD">
        <w:rPr>
          <w:rFonts w:ascii="Garamond" w:hAnsi="Garamond"/>
          <w:sz w:val="24"/>
          <w:lang w:eastAsia="sl-SI"/>
        </w:rPr>
        <w:t>t</w:t>
      </w:r>
      <w:r w:rsidRPr="00B907A3">
        <w:rPr>
          <w:rFonts w:ascii="Garamond" w:hAnsi="Garamond"/>
          <w:sz w:val="24"/>
          <w:lang w:eastAsia="sl-SI"/>
        </w:rPr>
        <w:t xml:space="preserve">in përpjekjet e tyre drejt arritjes së qëllimit përfundimtar të Shqipërisë - </w:t>
      </w:r>
      <w:r w:rsidR="007951BD">
        <w:rPr>
          <w:rFonts w:ascii="Garamond" w:hAnsi="Garamond"/>
          <w:sz w:val="24"/>
          <w:lang w:eastAsia="sl-SI"/>
        </w:rPr>
        <w:t>“</w:t>
      </w:r>
      <w:r w:rsidRPr="00B907A3">
        <w:rPr>
          <w:rFonts w:ascii="Garamond" w:hAnsi="Garamond"/>
          <w:sz w:val="24"/>
          <w:lang w:eastAsia="sl-SI"/>
        </w:rPr>
        <w:t>Vizioni Zero</w:t>
      </w:r>
      <w:r w:rsidR="00363E33" w:rsidRPr="00B907A3">
        <w:rPr>
          <w:rFonts w:ascii="Garamond" w:hAnsi="Garamond"/>
          <w:sz w:val="24"/>
          <w:lang w:eastAsia="sl-SI"/>
        </w:rPr>
        <w:t>.</w:t>
      </w:r>
      <w:r w:rsidR="007951BD">
        <w:rPr>
          <w:rFonts w:ascii="Garamond" w:hAnsi="Garamond"/>
          <w:sz w:val="24"/>
          <w:lang w:eastAsia="sl-SI"/>
        </w:rPr>
        <w:t>”</w:t>
      </w:r>
    </w:p>
    <w:p w14:paraId="6A38D7B0" w14:textId="3A21CA40" w:rsidR="00363E33" w:rsidRPr="00B907A3" w:rsidRDefault="00F54559" w:rsidP="008C4E07">
      <w:pPr>
        <w:spacing w:after="0"/>
        <w:ind w:firstLine="284"/>
        <w:rPr>
          <w:rFonts w:ascii="Garamond" w:hAnsi="Garamond"/>
          <w:sz w:val="24"/>
          <w:shd w:val="clear" w:color="auto" w:fill="FFFFFF"/>
        </w:rPr>
      </w:pPr>
      <w:r w:rsidRPr="00B907A3">
        <w:rPr>
          <w:rFonts w:ascii="Garamond" w:hAnsi="Garamond"/>
          <w:sz w:val="24"/>
          <w:shd w:val="clear" w:color="auto" w:fill="FFFFFF"/>
        </w:rPr>
        <w:t xml:space="preserve">Duhet theksuar se </w:t>
      </w:r>
      <w:r w:rsidR="00EF79B6" w:rsidRPr="00B907A3">
        <w:rPr>
          <w:rFonts w:ascii="Garamond" w:hAnsi="Garamond"/>
          <w:sz w:val="24"/>
          <w:shd w:val="clear" w:color="auto" w:fill="FFFFFF"/>
        </w:rPr>
        <w:t xml:space="preserve">periudha </w:t>
      </w:r>
      <w:r w:rsidRPr="00B907A3">
        <w:rPr>
          <w:rFonts w:ascii="Garamond" w:hAnsi="Garamond"/>
          <w:sz w:val="24"/>
          <w:shd w:val="clear" w:color="auto" w:fill="FFFFFF"/>
        </w:rPr>
        <w:t>kohor</w:t>
      </w:r>
      <w:r w:rsidR="00EF79B6" w:rsidRPr="00B907A3">
        <w:rPr>
          <w:rFonts w:ascii="Garamond" w:hAnsi="Garamond"/>
          <w:sz w:val="24"/>
          <w:shd w:val="clear" w:color="auto" w:fill="FFFFFF"/>
        </w:rPr>
        <w:t>e</w:t>
      </w:r>
      <w:r w:rsidRPr="00B907A3">
        <w:rPr>
          <w:rFonts w:ascii="Garamond" w:hAnsi="Garamond"/>
          <w:sz w:val="24"/>
          <w:shd w:val="clear" w:color="auto" w:fill="FFFFFF"/>
        </w:rPr>
        <w:t xml:space="preserve"> </w:t>
      </w:r>
      <w:r w:rsidR="00EF79B6" w:rsidRPr="00B907A3">
        <w:rPr>
          <w:rFonts w:ascii="Garamond" w:hAnsi="Garamond"/>
          <w:sz w:val="24"/>
          <w:shd w:val="clear" w:color="auto" w:fill="FFFFFF"/>
        </w:rPr>
        <w:t xml:space="preserve">e </w:t>
      </w:r>
      <w:r w:rsidRPr="00B907A3">
        <w:rPr>
          <w:rFonts w:ascii="Garamond" w:hAnsi="Garamond"/>
          <w:sz w:val="24"/>
          <w:shd w:val="clear" w:color="auto" w:fill="FFFFFF"/>
        </w:rPr>
        <w:t xml:space="preserve">dokumenteve strategjike të hartuara më parë nga Shqipëria mbi sigurinë rrugore ka </w:t>
      </w:r>
      <w:r w:rsidR="007951BD" w:rsidRPr="00B907A3">
        <w:rPr>
          <w:rFonts w:ascii="Garamond" w:hAnsi="Garamond"/>
          <w:sz w:val="24"/>
          <w:shd w:val="clear" w:color="auto" w:fill="FFFFFF"/>
        </w:rPr>
        <w:t>përfunduar</w:t>
      </w:r>
      <w:r w:rsidRPr="00B907A3">
        <w:rPr>
          <w:rFonts w:ascii="Garamond" w:hAnsi="Garamond"/>
          <w:sz w:val="24"/>
          <w:shd w:val="clear" w:color="auto" w:fill="FFFFFF"/>
        </w:rPr>
        <w:t>. Janë marrë në konsideratë praktikat e mira nga Strategjia e fundit, si dhe orientimet pozitive globale dhe evropiane. Me ndihmën e dokumentit të ri strategjik, Strategji</w:t>
      </w:r>
      <w:r w:rsidR="00EF79B6" w:rsidRPr="00B907A3">
        <w:rPr>
          <w:rFonts w:ascii="Garamond" w:hAnsi="Garamond"/>
          <w:sz w:val="24"/>
          <w:shd w:val="clear" w:color="auto" w:fill="FFFFFF"/>
        </w:rPr>
        <w:t>a p</w:t>
      </w:r>
      <w:r w:rsidRPr="00B907A3">
        <w:rPr>
          <w:rFonts w:ascii="Garamond" w:hAnsi="Garamond"/>
          <w:sz w:val="24"/>
          <w:shd w:val="clear" w:color="auto" w:fill="FFFFFF"/>
        </w:rPr>
        <w:t>ë</w:t>
      </w:r>
      <w:r w:rsidR="00EF79B6" w:rsidRPr="00B907A3">
        <w:rPr>
          <w:rFonts w:ascii="Garamond" w:hAnsi="Garamond"/>
          <w:sz w:val="24"/>
          <w:shd w:val="clear" w:color="auto" w:fill="FFFFFF"/>
        </w:rPr>
        <w:t>r</w:t>
      </w:r>
      <w:r w:rsidRPr="00B907A3">
        <w:rPr>
          <w:rFonts w:ascii="Garamond" w:hAnsi="Garamond"/>
          <w:sz w:val="24"/>
          <w:shd w:val="clear" w:color="auto" w:fill="FFFFFF"/>
        </w:rPr>
        <w:t xml:space="preserve"> Siguri</w:t>
      </w:r>
      <w:r w:rsidR="00EF79B6" w:rsidRPr="00B907A3">
        <w:rPr>
          <w:rFonts w:ascii="Garamond" w:hAnsi="Garamond"/>
          <w:sz w:val="24"/>
          <w:shd w:val="clear" w:color="auto" w:fill="FFFFFF"/>
        </w:rPr>
        <w:t>n</w:t>
      </w:r>
      <w:r w:rsidRPr="00B907A3">
        <w:rPr>
          <w:rFonts w:ascii="Garamond" w:hAnsi="Garamond"/>
          <w:sz w:val="24"/>
          <w:shd w:val="clear" w:color="auto" w:fill="FFFFFF"/>
        </w:rPr>
        <w:t xml:space="preserve">ë Rrugore </w:t>
      </w:r>
      <w:r w:rsidR="008A60FD" w:rsidRPr="00B907A3">
        <w:rPr>
          <w:rFonts w:ascii="Garamond" w:hAnsi="Garamond"/>
          <w:sz w:val="24"/>
          <w:shd w:val="clear" w:color="auto" w:fill="FFFFFF"/>
        </w:rPr>
        <w:t>2026</w:t>
      </w:r>
      <w:r w:rsidR="007951BD">
        <w:rPr>
          <w:rFonts w:ascii="Garamond" w:hAnsi="Garamond"/>
          <w:sz w:val="24"/>
        </w:rPr>
        <w:t>–</w:t>
      </w:r>
      <w:r w:rsidR="008A60FD" w:rsidRPr="00B907A3">
        <w:rPr>
          <w:rFonts w:ascii="Garamond" w:hAnsi="Garamond"/>
          <w:sz w:val="24"/>
          <w:shd w:val="clear" w:color="auto" w:fill="FFFFFF"/>
        </w:rPr>
        <w:t>2030</w:t>
      </w:r>
      <w:r w:rsidR="007951BD">
        <w:rPr>
          <w:rFonts w:ascii="Garamond" w:hAnsi="Garamond"/>
          <w:sz w:val="24"/>
          <w:shd w:val="clear" w:color="auto" w:fill="FFFFFF"/>
        </w:rPr>
        <w:t xml:space="preserve"> </w:t>
      </w:r>
      <w:r w:rsidRPr="00B907A3">
        <w:rPr>
          <w:rFonts w:ascii="Garamond" w:hAnsi="Garamond"/>
          <w:sz w:val="24"/>
          <w:shd w:val="clear" w:color="auto" w:fill="FFFFFF"/>
        </w:rPr>
        <w:t>dhe Plani</w:t>
      </w:r>
      <w:r w:rsidR="00EF79B6" w:rsidRPr="00B907A3">
        <w:rPr>
          <w:rFonts w:ascii="Garamond" w:hAnsi="Garamond"/>
          <w:sz w:val="24"/>
          <w:shd w:val="clear" w:color="auto" w:fill="FFFFFF"/>
        </w:rPr>
        <w:t xml:space="preserve"> i saj i </w:t>
      </w:r>
      <w:r w:rsidRPr="00B907A3">
        <w:rPr>
          <w:rFonts w:ascii="Garamond" w:hAnsi="Garamond"/>
          <w:sz w:val="24"/>
          <w:shd w:val="clear" w:color="auto" w:fill="FFFFFF"/>
        </w:rPr>
        <w:t>Veprimit, Shqipëria do të forcojë rolet e të gjithë palëve të interes</w:t>
      </w:r>
      <w:r w:rsidR="00EF79B6" w:rsidRPr="00B907A3">
        <w:rPr>
          <w:rFonts w:ascii="Garamond" w:hAnsi="Garamond"/>
          <w:sz w:val="24"/>
          <w:shd w:val="clear" w:color="auto" w:fill="FFFFFF"/>
        </w:rPr>
        <w:t xml:space="preserve">it </w:t>
      </w:r>
      <w:r w:rsidRPr="00B907A3">
        <w:rPr>
          <w:rFonts w:ascii="Garamond" w:hAnsi="Garamond"/>
          <w:sz w:val="24"/>
          <w:shd w:val="clear" w:color="auto" w:fill="FFFFFF"/>
        </w:rPr>
        <w:t>dhe</w:t>
      </w:r>
      <w:r w:rsidR="00D121E9">
        <w:rPr>
          <w:rFonts w:ascii="Garamond" w:hAnsi="Garamond"/>
          <w:sz w:val="24"/>
          <w:shd w:val="clear" w:color="auto" w:fill="FFFFFF"/>
        </w:rPr>
        <w:t>,</w:t>
      </w:r>
      <w:r w:rsidRPr="00B907A3">
        <w:rPr>
          <w:rFonts w:ascii="Garamond" w:hAnsi="Garamond"/>
          <w:sz w:val="24"/>
          <w:shd w:val="clear" w:color="auto" w:fill="FFFFFF"/>
        </w:rPr>
        <w:t xml:space="preserve"> gjithashtu</w:t>
      </w:r>
      <w:r w:rsidR="00D121E9">
        <w:rPr>
          <w:rFonts w:ascii="Garamond" w:hAnsi="Garamond"/>
          <w:sz w:val="24"/>
          <w:shd w:val="clear" w:color="auto" w:fill="FFFFFF"/>
        </w:rPr>
        <w:t>,</w:t>
      </w:r>
      <w:r w:rsidRPr="00B907A3">
        <w:rPr>
          <w:rFonts w:ascii="Garamond" w:hAnsi="Garamond"/>
          <w:sz w:val="24"/>
          <w:shd w:val="clear" w:color="auto" w:fill="FFFFFF"/>
        </w:rPr>
        <w:t xml:space="preserve"> do të </w:t>
      </w:r>
      <w:r w:rsidR="00EF79B6" w:rsidRPr="00B907A3">
        <w:rPr>
          <w:rFonts w:ascii="Garamond" w:hAnsi="Garamond"/>
          <w:sz w:val="24"/>
          <w:shd w:val="clear" w:color="auto" w:fill="FFFFFF"/>
        </w:rPr>
        <w:t xml:space="preserve">ulë shifrat e </w:t>
      </w:r>
      <w:r w:rsidRPr="00B907A3">
        <w:rPr>
          <w:rFonts w:ascii="Garamond" w:hAnsi="Garamond"/>
          <w:sz w:val="24"/>
          <w:shd w:val="clear" w:color="auto" w:fill="FFFFFF"/>
        </w:rPr>
        <w:t>vdekje</w:t>
      </w:r>
      <w:r w:rsidR="00EF79B6" w:rsidRPr="00B907A3">
        <w:rPr>
          <w:rFonts w:ascii="Garamond" w:hAnsi="Garamond"/>
          <w:sz w:val="24"/>
          <w:shd w:val="clear" w:color="auto" w:fill="FFFFFF"/>
        </w:rPr>
        <w:t>ve</w:t>
      </w:r>
      <w:r w:rsidRPr="00B907A3">
        <w:rPr>
          <w:rFonts w:ascii="Garamond" w:hAnsi="Garamond"/>
          <w:sz w:val="24"/>
          <w:shd w:val="clear" w:color="auto" w:fill="FFFFFF"/>
        </w:rPr>
        <w:t>, lëndime</w:t>
      </w:r>
      <w:r w:rsidR="00EF79B6" w:rsidRPr="00B907A3">
        <w:rPr>
          <w:rFonts w:ascii="Garamond" w:hAnsi="Garamond"/>
          <w:sz w:val="24"/>
          <w:shd w:val="clear" w:color="auto" w:fill="FFFFFF"/>
        </w:rPr>
        <w:t xml:space="preserve">ve </w:t>
      </w:r>
      <w:r w:rsidRPr="00B907A3">
        <w:rPr>
          <w:rFonts w:ascii="Garamond" w:hAnsi="Garamond"/>
          <w:sz w:val="24"/>
          <w:shd w:val="clear" w:color="auto" w:fill="FFFFFF"/>
        </w:rPr>
        <w:t xml:space="preserve">dhe </w:t>
      </w:r>
      <w:r w:rsidR="007951BD" w:rsidRPr="00B907A3">
        <w:rPr>
          <w:rFonts w:ascii="Garamond" w:hAnsi="Garamond"/>
          <w:sz w:val="24"/>
          <w:shd w:val="clear" w:color="auto" w:fill="FFFFFF"/>
        </w:rPr>
        <w:t>aksidenteve</w:t>
      </w:r>
      <w:r w:rsidRPr="00B907A3">
        <w:rPr>
          <w:rFonts w:ascii="Garamond" w:hAnsi="Garamond"/>
          <w:sz w:val="24"/>
          <w:shd w:val="clear" w:color="auto" w:fill="FFFFFF"/>
        </w:rPr>
        <w:t xml:space="preserve"> në </w:t>
      </w:r>
      <w:r w:rsidR="00EF79B6" w:rsidRPr="00B907A3">
        <w:rPr>
          <w:rFonts w:ascii="Garamond" w:hAnsi="Garamond"/>
          <w:sz w:val="24"/>
          <w:shd w:val="clear" w:color="auto" w:fill="FFFFFF"/>
        </w:rPr>
        <w:t>rrugë</w:t>
      </w:r>
      <w:r w:rsidRPr="00B907A3">
        <w:rPr>
          <w:rFonts w:ascii="Garamond" w:hAnsi="Garamond"/>
          <w:sz w:val="24"/>
          <w:shd w:val="clear" w:color="auto" w:fill="FFFFFF"/>
        </w:rPr>
        <w:t>. Shqipëria synon të arrijë një nivel sigurie rrugore që pasqyron vendet e BE-së me performancën më të mirë, duke u përpjekur për një rënie të vazhdueshme të vdekjeve dhe lëndimeve</w:t>
      </w:r>
      <w:r w:rsidR="00363E33" w:rsidRPr="00B907A3">
        <w:rPr>
          <w:rFonts w:ascii="Garamond" w:hAnsi="Garamond"/>
          <w:sz w:val="24"/>
          <w:shd w:val="clear" w:color="auto" w:fill="FFFFFF"/>
        </w:rPr>
        <w:t>.</w:t>
      </w:r>
    </w:p>
    <w:p w14:paraId="5EBBCA7E" w14:textId="70ECB08D" w:rsidR="007951BD" w:rsidRDefault="00AF29EC" w:rsidP="008C4E07">
      <w:pPr>
        <w:spacing w:after="0"/>
        <w:ind w:firstLine="284"/>
        <w:jc w:val="left"/>
        <w:rPr>
          <w:rFonts w:ascii="Garamond" w:hAnsi="Garamond"/>
          <w:sz w:val="24"/>
        </w:rPr>
      </w:pPr>
      <w:bookmarkStart w:id="27" w:name="_Toc208840997"/>
      <w:r w:rsidRPr="007951BD">
        <w:rPr>
          <w:rFonts w:ascii="Garamond" w:hAnsi="Garamond"/>
          <w:i/>
          <w:sz w:val="24"/>
        </w:rPr>
        <w:t xml:space="preserve">Figura </w:t>
      </w:r>
      <w:r w:rsidR="006918E5" w:rsidRPr="007951BD">
        <w:rPr>
          <w:rFonts w:ascii="Garamond" w:hAnsi="Garamond"/>
          <w:i/>
          <w:sz w:val="24"/>
        </w:rPr>
        <w:t>3</w:t>
      </w:r>
      <w:r w:rsidRPr="007951BD">
        <w:rPr>
          <w:rFonts w:ascii="Garamond" w:hAnsi="Garamond"/>
          <w:i/>
          <w:sz w:val="24"/>
        </w:rPr>
        <w:t>-</w:t>
      </w:r>
      <w:r w:rsidR="00C5194B" w:rsidRPr="007951BD">
        <w:rPr>
          <w:rFonts w:ascii="Garamond" w:hAnsi="Garamond"/>
          <w:i/>
          <w:sz w:val="24"/>
        </w:rPr>
        <w:t>2</w:t>
      </w:r>
      <w:r w:rsidR="007951BD" w:rsidRPr="007951BD">
        <w:rPr>
          <w:rFonts w:ascii="Garamond" w:hAnsi="Garamond"/>
          <w:i/>
          <w:sz w:val="24"/>
        </w:rPr>
        <w:t>.</w:t>
      </w:r>
      <w:r w:rsidRPr="007951BD">
        <w:rPr>
          <w:rFonts w:ascii="Garamond" w:hAnsi="Garamond"/>
          <w:i/>
          <w:sz w:val="24"/>
        </w:rPr>
        <w:t xml:space="preserve"> </w:t>
      </w:r>
      <w:r w:rsidR="00F54559" w:rsidRPr="007951BD">
        <w:rPr>
          <w:rFonts w:ascii="Garamond" w:hAnsi="Garamond"/>
          <w:i/>
          <w:sz w:val="24"/>
        </w:rPr>
        <w:t>Shkalla e vdekshmërisë për milion banorë (2023)</w:t>
      </w:r>
    </w:p>
    <w:p w14:paraId="21B76A22" w14:textId="3CED8E6A" w:rsidR="00363E33" w:rsidRPr="00B907A3" w:rsidRDefault="00F54559" w:rsidP="008C4E07">
      <w:pPr>
        <w:spacing w:after="0"/>
        <w:ind w:firstLine="284"/>
        <w:jc w:val="left"/>
        <w:rPr>
          <w:rFonts w:ascii="Garamond" w:hAnsi="Garamond"/>
          <w:sz w:val="24"/>
          <w:lang w:eastAsia="sl-SI"/>
        </w:rPr>
      </w:pPr>
      <w:r w:rsidRPr="00B907A3">
        <w:rPr>
          <w:rFonts w:ascii="Garamond" w:hAnsi="Garamond"/>
          <w:sz w:val="24"/>
        </w:rPr>
        <w:t>(Burimi: Baza e të dhënave të kujdesit të BE-së dhe I</w:t>
      </w:r>
      <w:r w:rsidR="00BC5341" w:rsidRPr="00B907A3">
        <w:rPr>
          <w:rFonts w:ascii="Garamond" w:hAnsi="Garamond"/>
          <w:sz w:val="24"/>
        </w:rPr>
        <w:t>NSTAT</w:t>
      </w:r>
      <w:r w:rsidR="007951BD">
        <w:rPr>
          <w:rFonts w:ascii="Garamond" w:hAnsi="Garamond"/>
          <w:sz w:val="24"/>
        </w:rPr>
        <w:t>-i</w:t>
      </w:r>
      <w:r w:rsidR="005E63FF" w:rsidRPr="00B907A3">
        <w:rPr>
          <w:rFonts w:ascii="Garamond" w:eastAsia="Calibri" w:hAnsi="Garamond"/>
          <w:iCs/>
          <w:sz w:val="24"/>
          <w:lang w:eastAsia="en-US"/>
        </w:rPr>
        <w:t>)</w:t>
      </w:r>
      <w:bookmarkEnd w:id="27"/>
    </w:p>
    <w:p w14:paraId="146F631C" w14:textId="4273EEFF" w:rsidR="00363E33" w:rsidRPr="00B907A3" w:rsidRDefault="00C25D32" w:rsidP="008C4E07">
      <w:pPr>
        <w:spacing w:after="0"/>
        <w:ind w:firstLine="284"/>
        <w:jc w:val="center"/>
        <w:rPr>
          <w:rFonts w:ascii="Garamond" w:hAnsi="Garamond"/>
          <w:sz w:val="24"/>
        </w:rPr>
      </w:pPr>
      <w:r w:rsidRPr="00B907A3">
        <w:rPr>
          <w:rFonts w:ascii="Garamond" w:hAnsi="Garamond"/>
          <w:noProof/>
          <w:sz w:val="24"/>
          <w:lang w:eastAsia="sq-AL"/>
        </w:rPr>
        <w:lastRenderedPageBreak/>
        <mc:AlternateContent>
          <mc:Choice Requires="wps">
            <w:drawing>
              <wp:anchor distT="0" distB="0" distL="114300" distR="114300" simplePos="0" relativeHeight="251658241" behindDoc="0" locked="0" layoutInCell="1" allowOverlap="1" wp14:anchorId="74A473AA" wp14:editId="56D13ACB">
                <wp:simplePos x="0" y="0"/>
                <wp:positionH relativeFrom="column">
                  <wp:posOffset>187486</wp:posOffset>
                </wp:positionH>
                <wp:positionV relativeFrom="paragraph">
                  <wp:posOffset>483586</wp:posOffset>
                </wp:positionV>
                <wp:extent cx="826273" cy="4496937"/>
                <wp:effectExtent l="0" t="0" r="12065" b="18415"/>
                <wp:wrapNone/>
                <wp:docPr id="27" name="Text Box 27"/>
                <wp:cNvGraphicFramePr/>
                <a:graphic xmlns:a="http://schemas.openxmlformats.org/drawingml/2006/main">
                  <a:graphicData uri="http://schemas.microsoft.com/office/word/2010/wordprocessingShape">
                    <wps:wsp>
                      <wps:cNvSpPr txBox="1"/>
                      <wps:spPr>
                        <a:xfrm>
                          <a:off x="0" y="0"/>
                          <a:ext cx="826273" cy="4496937"/>
                        </a:xfrm>
                        <a:prstGeom prst="rect">
                          <a:avLst/>
                        </a:prstGeom>
                        <a:solidFill>
                          <a:schemeClr val="lt1"/>
                        </a:solidFill>
                        <a:ln w="6350">
                          <a:solidFill>
                            <a:schemeClr val="bg1"/>
                          </a:solidFill>
                        </a:ln>
                      </wps:spPr>
                      <wps:txbx>
                        <w:txbxContent>
                          <w:tbl>
                            <w:tblPr>
                              <w:tblW w:w="1170" w:type="dxa"/>
                              <w:tblInd w:w="-95" w:type="dxa"/>
                              <w:tblLook w:val="04A0" w:firstRow="1" w:lastRow="0" w:firstColumn="1" w:lastColumn="0" w:noHBand="0" w:noVBand="1"/>
                            </w:tblPr>
                            <w:tblGrid>
                              <w:gridCol w:w="1170"/>
                            </w:tblGrid>
                            <w:tr w:rsidR="00A41523" w14:paraId="345826DF" w14:textId="77777777" w:rsidTr="00DD0051">
                              <w:trPr>
                                <w:trHeight w:val="173"/>
                              </w:trPr>
                              <w:tc>
                                <w:tcPr>
                                  <w:tcW w:w="1170" w:type="dxa"/>
                                </w:tcPr>
                                <w:p w14:paraId="08796659" w14:textId="1113FCEA"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Bullgaria</w:t>
                                  </w:r>
                                </w:p>
                              </w:tc>
                            </w:tr>
                            <w:tr w:rsidR="00A41523" w14:paraId="5C4D356C" w14:textId="77777777" w:rsidTr="00DD0051">
                              <w:trPr>
                                <w:trHeight w:val="254"/>
                              </w:trPr>
                              <w:tc>
                                <w:tcPr>
                                  <w:tcW w:w="1170" w:type="dxa"/>
                                </w:tcPr>
                                <w:p w14:paraId="34D7F7E1" w14:textId="46DA6490"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Rumania</w:t>
                                  </w:r>
                                </w:p>
                              </w:tc>
                            </w:tr>
                            <w:tr w:rsidR="00A41523" w14:paraId="4B7D20DD" w14:textId="77777777" w:rsidTr="00DD0051">
                              <w:trPr>
                                <w:trHeight w:val="263"/>
                              </w:trPr>
                              <w:tc>
                                <w:tcPr>
                                  <w:tcW w:w="1170" w:type="dxa"/>
                                </w:tcPr>
                                <w:p w14:paraId="19076367" w14:textId="4350D40F"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Letonia</w:t>
                                  </w:r>
                                </w:p>
                              </w:tc>
                            </w:tr>
                            <w:tr w:rsidR="00A41523" w14:paraId="519B6A81" w14:textId="77777777" w:rsidTr="00DD0051">
                              <w:trPr>
                                <w:trHeight w:val="173"/>
                              </w:trPr>
                              <w:tc>
                                <w:tcPr>
                                  <w:tcW w:w="1170" w:type="dxa"/>
                                </w:tcPr>
                                <w:p w14:paraId="1A628BD7" w14:textId="0EE424EF"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Kroacia</w:t>
                                  </w:r>
                                </w:p>
                              </w:tc>
                            </w:tr>
                            <w:tr w:rsidR="00A41523" w14:paraId="266FD2F9" w14:textId="77777777" w:rsidTr="00DD0051">
                              <w:trPr>
                                <w:trHeight w:val="219"/>
                              </w:trPr>
                              <w:tc>
                                <w:tcPr>
                                  <w:tcW w:w="1170" w:type="dxa"/>
                                </w:tcPr>
                                <w:p w14:paraId="5251C7EE" w14:textId="6169A45D"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Shqiperia</w:t>
                                  </w:r>
                                </w:p>
                              </w:tc>
                            </w:tr>
                            <w:tr w:rsidR="00A41523" w14:paraId="56976DF9" w14:textId="77777777" w:rsidTr="00DD0051">
                              <w:trPr>
                                <w:trHeight w:val="183"/>
                              </w:trPr>
                              <w:tc>
                                <w:tcPr>
                                  <w:tcW w:w="1170" w:type="dxa"/>
                                </w:tcPr>
                                <w:p w14:paraId="2AFD684F" w14:textId="2CD35ED3"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Portugalia</w:t>
                                  </w:r>
                                </w:p>
                              </w:tc>
                            </w:tr>
                            <w:tr w:rsidR="00A41523" w14:paraId="0AEDC0A5" w14:textId="77777777" w:rsidTr="00DD0051">
                              <w:trPr>
                                <w:trHeight w:val="264"/>
                              </w:trPr>
                              <w:tc>
                                <w:tcPr>
                                  <w:tcW w:w="1170" w:type="dxa"/>
                                </w:tcPr>
                                <w:p w14:paraId="0A62CA0B" w14:textId="43E992BA"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Greqia</w:t>
                                  </w:r>
                                </w:p>
                              </w:tc>
                            </w:tr>
                            <w:tr w:rsidR="00A41523" w14:paraId="63269E55" w14:textId="77777777" w:rsidTr="00DD0051">
                              <w:tc>
                                <w:tcPr>
                                  <w:tcW w:w="1170" w:type="dxa"/>
                                </w:tcPr>
                                <w:p w14:paraId="5E0439B4" w14:textId="72AECDBF"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Lituania</w:t>
                                  </w:r>
                                </w:p>
                              </w:tc>
                            </w:tr>
                            <w:tr w:rsidR="00A41523" w14:paraId="5F951D7A" w14:textId="77777777" w:rsidTr="00DD0051">
                              <w:trPr>
                                <w:trHeight w:val="271"/>
                              </w:trPr>
                              <w:tc>
                                <w:tcPr>
                                  <w:tcW w:w="1170" w:type="dxa"/>
                                </w:tcPr>
                                <w:p w14:paraId="61CBB96B" w14:textId="371812F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Polonia</w:t>
                                  </w:r>
                                </w:p>
                              </w:tc>
                            </w:tr>
                            <w:tr w:rsidR="00A41523" w14:paraId="323A64DA" w14:textId="77777777" w:rsidTr="00DD0051">
                              <w:trPr>
                                <w:trHeight w:val="163"/>
                              </w:trPr>
                              <w:tc>
                                <w:tcPr>
                                  <w:tcW w:w="1170" w:type="dxa"/>
                                </w:tcPr>
                                <w:p w14:paraId="0FCFCEBA" w14:textId="2C86D369"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Italia</w:t>
                                  </w:r>
                                </w:p>
                              </w:tc>
                            </w:tr>
                            <w:tr w:rsidR="00A41523" w14:paraId="55FFE04A" w14:textId="77777777" w:rsidTr="00DD0051">
                              <w:trPr>
                                <w:trHeight w:val="262"/>
                              </w:trPr>
                              <w:tc>
                                <w:tcPr>
                                  <w:tcW w:w="1170" w:type="dxa"/>
                                </w:tcPr>
                                <w:p w14:paraId="0D7B8091" w14:textId="266D1D55"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Hungaria</w:t>
                                  </w:r>
                                </w:p>
                              </w:tc>
                            </w:tr>
                            <w:tr w:rsidR="00A41523" w14:paraId="6AC4DA54" w14:textId="77777777" w:rsidTr="00DD0051">
                              <w:trPr>
                                <w:trHeight w:val="262"/>
                              </w:trPr>
                              <w:tc>
                                <w:tcPr>
                                  <w:tcW w:w="1170" w:type="dxa"/>
                                </w:tcPr>
                                <w:p w14:paraId="1AB9F3A6" w14:textId="6D28676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Sllovenia</w:t>
                                  </w:r>
                                </w:p>
                              </w:tc>
                            </w:tr>
                            <w:tr w:rsidR="00A41523" w14:paraId="501E84EE" w14:textId="77777777" w:rsidTr="00DD0051">
                              <w:trPr>
                                <w:trHeight w:val="138"/>
                              </w:trPr>
                              <w:tc>
                                <w:tcPr>
                                  <w:tcW w:w="1170" w:type="dxa"/>
                                </w:tcPr>
                                <w:p w14:paraId="57AE2DC3" w14:textId="4213DF7E"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Franca</w:t>
                                  </w:r>
                                </w:p>
                              </w:tc>
                            </w:tr>
                            <w:tr w:rsidR="00A41523" w14:paraId="2B902E87" w14:textId="77777777" w:rsidTr="00DD0051">
                              <w:trPr>
                                <w:trHeight w:val="264"/>
                              </w:trPr>
                              <w:tc>
                                <w:tcPr>
                                  <w:tcW w:w="1170" w:type="dxa"/>
                                </w:tcPr>
                                <w:p w14:paraId="676BBF20" w14:textId="14EA346A" w:rsidR="00A41523" w:rsidRPr="00F503F4" w:rsidRDefault="00A41523" w:rsidP="00DD0051">
                                  <w:pPr>
                                    <w:spacing w:after="0"/>
                                    <w:rPr>
                                      <w:rFonts w:ascii="Times New Roman" w:hAnsi="Times New Roman"/>
                                      <w:sz w:val="14"/>
                                      <w:szCs w:val="16"/>
                                    </w:rPr>
                                  </w:pPr>
                                  <w:r w:rsidRPr="00F503F4">
                                    <w:rPr>
                                      <w:rFonts w:ascii="Times New Roman" w:hAnsi="Times New Roman"/>
                                      <w:sz w:val="14"/>
                                      <w:szCs w:val="16"/>
                                    </w:rPr>
                                    <w:t>Republike Çeke</w:t>
                                  </w:r>
                                </w:p>
                              </w:tc>
                            </w:tr>
                            <w:tr w:rsidR="00A41523" w14:paraId="371D1D77" w14:textId="77777777" w:rsidTr="00DD0051">
                              <w:trPr>
                                <w:trHeight w:val="182"/>
                              </w:trPr>
                              <w:tc>
                                <w:tcPr>
                                  <w:tcW w:w="1170" w:type="dxa"/>
                                </w:tcPr>
                                <w:p w14:paraId="750760E5" w14:textId="2D8CC9CD"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BE-27</w:t>
                                  </w:r>
                                </w:p>
                              </w:tc>
                            </w:tr>
                            <w:tr w:rsidR="00A41523" w14:paraId="39ED6892" w14:textId="77777777" w:rsidTr="00DD0051">
                              <w:trPr>
                                <w:trHeight w:val="254"/>
                              </w:trPr>
                              <w:tc>
                                <w:tcPr>
                                  <w:tcW w:w="1170" w:type="dxa"/>
                                </w:tcPr>
                                <w:p w14:paraId="7FD217F1" w14:textId="2811ED6A"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Austria</w:t>
                                  </w:r>
                                </w:p>
                              </w:tc>
                            </w:tr>
                            <w:tr w:rsidR="00A41523" w14:paraId="63BE00EE" w14:textId="77777777" w:rsidTr="00DD0051">
                              <w:trPr>
                                <w:trHeight w:val="173"/>
                              </w:trPr>
                              <w:tc>
                                <w:tcPr>
                                  <w:tcW w:w="1170" w:type="dxa"/>
                                </w:tcPr>
                                <w:p w14:paraId="1EB01262" w14:textId="143D3120"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Belgjika</w:t>
                                  </w:r>
                                </w:p>
                              </w:tc>
                            </w:tr>
                            <w:tr w:rsidR="00A41523" w14:paraId="28431BF5" w14:textId="77777777" w:rsidTr="00DD0051">
                              <w:trPr>
                                <w:trHeight w:val="254"/>
                              </w:trPr>
                              <w:tc>
                                <w:tcPr>
                                  <w:tcW w:w="1170" w:type="dxa"/>
                                </w:tcPr>
                                <w:p w14:paraId="201D89FB" w14:textId="68C747F9"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Estonia</w:t>
                                  </w:r>
                                </w:p>
                              </w:tc>
                            </w:tr>
                            <w:tr w:rsidR="00A41523" w14:paraId="38CE04D1" w14:textId="77777777" w:rsidTr="00DD0051">
                              <w:trPr>
                                <w:trHeight w:val="173"/>
                              </w:trPr>
                              <w:tc>
                                <w:tcPr>
                                  <w:tcW w:w="1170" w:type="dxa"/>
                                </w:tcPr>
                                <w:p w14:paraId="3B8A0426" w14:textId="2F036C6D" w:rsidR="00A41523" w:rsidRPr="00F503F4" w:rsidRDefault="00A41523" w:rsidP="00F503F4">
                                  <w:pPr>
                                    <w:spacing w:after="0"/>
                                    <w:jc w:val="center"/>
                                    <w:rPr>
                                      <w:rFonts w:ascii="Times New Roman" w:hAnsi="Times New Roman"/>
                                      <w:sz w:val="14"/>
                                      <w:szCs w:val="16"/>
                                    </w:rPr>
                                  </w:pPr>
                                  <w:r>
                                    <w:rPr>
                                      <w:rFonts w:ascii="Times New Roman" w:hAnsi="Times New Roman"/>
                                      <w:sz w:val="14"/>
                                      <w:szCs w:val="16"/>
                                    </w:rPr>
                                    <w:t xml:space="preserve">Luksemburgu </w:t>
                                  </w:r>
                                </w:p>
                              </w:tc>
                            </w:tr>
                            <w:tr w:rsidR="00A41523" w14:paraId="2B022F26" w14:textId="77777777" w:rsidTr="00DD0051">
                              <w:tc>
                                <w:tcPr>
                                  <w:tcW w:w="1170" w:type="dxa"/>
                                </w:tcPr>
                                <w:p w14:paraId="4B4ED9B1" w14:textId="2FCCD4CC" w:rsidR="00A41523" w:rsidRDefault="00A41523" w:rsidP="00F503F4">
                                  <w:pPr>
                                    <w:spacing w:after="0"/>
                                    <w:jc w:val="center"/>
                                    <w:rPr>
                                      <w:rFonts w:ascii="Times New Roman" w:hAnsi="Times New Roman"/>
                                      <w:sz w:val="14"/>
                                      <w:szCs w:val="16"/>
                                    </w:rPr>
                                  </w:pPr>
                                  <w:r>
                                    <w:rPr>
                                      <w:rFonts w:ascii="Times New Roman" w:hAnsi="Times New Roman"/>
                                      <w:sz w:val="14"/>
                                      <w:szCs w:val="16"/>
                                    </w:rPr>
                                    <w:t xml:space="preserve">Sllovenia </w:t>
                                  </w:r>
                                </w:p>
                              </w:tc>
                            </w:tr>
                            <w:tr w:rsidR="00A41523" w14:paraId="1568AAAD" w14:textId="77777777" w:rsidTr="00DD0051">
                              <w:trPr>
                                <w:trHeight w:val="200"/>
                              </w:trPr>
                              <w:tc>
                                <w:tcPr>
                                  <w:tcW w:w="1170" w:type="dxa"/>
                                </w:tcPr>
                                <w:p w14:paraId="64D3336C" w14:textId="0A4B9EC5"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Spanja</w:t>
                                  </w:r>
                                </w:p>
                              </w:tc>
                            </w:tr>
                            <w:tr w:rsidR="00A41523" w14:paraId="2C7199B9" w14:textId="77777777" w:rsidTr="00DD0051">
                              <w:trPr>
                                <w:trHeight w:val="236"/>
                              </w:trPr>
                              <w:tc>
                                <w:tcPr>
                                  <w:tcW w:w="1170" w:type="dxa"/>
                                </w:tcPr>
                                <w:p w14:paraId="4D0DFB61" w14:textId="4EFCA262"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Qipro</w:t>
                                  </w:r>
                                </w:p>
                              </w:tc>
                            </w:tr>
                            <w:tr w:rsidR="00A41523" w14:paraId="480F2AAB" w14:textId="77777777" w:rsidTr="00DD0051">
                              <w:trPr>
                                <w:trHeight w:val="173"/>
                              </w:trPr>
                              <w:tc>
                                <w:tcPr>
                                  <w:tcW w:w="1170" w:type="dxa"/>
                                </w:tcPr>
                                <w:p w14:paraId="7EEC3DE3" w14:textId="504C0C5D"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Irlanda</w:t>
                                  </w:r>
                                </w:p>
                              </w:tc>
                            </w:tr>
                            <w:tr w:rsidR="00A41523" w14:paraId="361F598B" w14:textId="77777777" w:rsidTr="00DD0051">
                              <w:trPr>
                                <w:trHeight w:val="181"/>
                              </w:trPr>
                              <w:tc>
                                <w:tcPr>
                                  <w:tcW w:w="1170" w:type="dxa"/>
                                </w:tcPr>
                                <w:p w14:paraId="5B3C5F42" w14:textId="6CE88D0E"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Gjermania</w:t>
                                  </w:r>
                                </w:p>
                              </w:tc>
                            </w:tr>
                            <w:tr w:rsidR="00A41523" w14:paraId="0493C953" w14:textId="77777777" w:rsidTr="00DD0051">
                              <w:trPr>
                                <w:trHeight w:val="245"/>
                              </w:trPr>
                              <w:tc>
                                <w:tcPr>
                                  <w:tcW w:w="1170" w:type="dxa"/>
                                </w:tcPr>
                                <w:p w14:paraId="61EAB7A3" w14:textId="46B5EF8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Holanda</w:t>
                                  </w:r>
                                </w:p>
                              </w:tc>
                            </w:tr>
                            <w:tr w:rsidR="00A41523" w14:paraId="7189499F" w14:textId="77777777" w:rsidTr="00DD0051">
                              <w:trPr>
                                <w:trHeight w:val="173"/>
                              </w:trPr>
                              <w:tc>
                                <w:tcPr>
                                  <w:tcW w:w="1170" w:type="dxa"/>
                                </w:tcPr>
                                <w:p w14:paraId="4DB345CB" w14:textId="5A35FD10"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Finlanda</w:t>
                                  </w:r>
                                </w:p>
                              </w:tc>
                            </w:tr>
                            <w:tr w:rsidR="00A41523" w14:paraId="724836E4" w14:textId="77777777" w:rsidTr="00DD0051">
                              <w:trPr>
                                <w:trHeight w:val="254"/>
                              </w:trPr>
                              <w:tc>
                                <w:tcPr>
                                  <w:tcW w:w="1170" w:type="dxa"/>
                                </w:tcPr>
                                <w:p w14:paraId="38C17F95" w14:textId="294E5E3C"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Malta</w:t>
                                  </w:r>
                                </w:p>
                              </w:tc>
                            </w:tr>
                            <w:tr w:rsidR="00A41523" w14:paraId="41E66898" w14:textId="77777777" w:rsidTr="00DD0051">
                              <w:trPr>
                                <w:trHeight w:val="263"/>
                              </w:trPr>
                              <w:tc>
                                <w:tcPr>
                                  <w:tcW w:w="1170" w:type="dxa"/>
                                </w:tcPr>
                                <w:p w14:paraId="2673C201" w14:textId="6F4439E7"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Danimarka</w:t>
                                  </w:r>
                                </w:p>
                              </w:tc>
                            </w:tr>
                            <w:tr w:rsidR="00A41523" w14:paraId="3FAFB1BF" w14:textId="77777777" w:rsidTr="00824A6B">
                              <w:trPr>
                                <w:trHeight w:val="309"/>
                              </w:trPr>
                              <w:tc>
                                <w:tcPr>
                                  <w:tcW w:w="1170" w:type="dxa"/>
                                </w:tcPr>
                                <w:p w14:paraId="09E56065" w14:textId="65E2D3F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Zvicra</w:t>
                                  </w:r>
                                </w:p>
                              </w:tc>
                            </w:tr>
                            <w:tr w:rsidR="00A41523" w14:paraId="5BAEB5BA" w14:textId="77777777" w:rsidTr="00824A6B">
                              <w:trPr>
                                <w:trHeight w:val="174"/>
                              </w:trPr>
                              <w:tc>
                                <w:tcPr>
                                  <w:tcW w:w="1170" w:type="dxa"/>
                                </w:tcPr>
                                <w:p w14:paraId="4AE8AFD7" w14:textId="1ED64BD9" w:rsidR="00A41523" w:rsidRPr="00F503F4" w:rsidRDefault="00A41523" w:rsidP="00F503F4">
                                  <w:pPr>
                                    <w:spacing w:after="0"/>
                                    <w:jc w:val="center"/>
                                    <w:rPr>
                                      <w:rFonts w:ascii="Times New Roman" w:hAnsi="Times New Roman"/>
                                      <w:sz w:val="14"/>
                                      <w:szCs w:val="16"/>
                                    </w:rPr>
                                  </w:pPr>
                                  <w:r>
                                    <w:rPr>
                                      <w:rFonts w:ascii="Times New Roman" w:hAnsi="Times New Roman"/>
                                      <w:sz w:val="14"/>
                                      <w:szCs w:val="16"/>
                                    </w:rPr>
                                    <w:t>Suedi</w:t>
                                  </w:r>
                                </w:p>
                              </w:tc>
                            </w:tr>
                            <w:tr w:rsidR="00A41523" w14:paraId="4D7853A6" w14:textId="77777777" w:rsidTr="00DD0051">
                              <w:trPr>
                                <w:trHeight w:val="164"/>
                              </w:trPr>
                              <w:tc>
                                <w:tcPr>
                                  <w:tcW w:w="1170" w:type="dxa"/>
                                </w:tcPr>
                                <w:p w14:paraId="4CCF72EA" w14:textId="337D37C3" w:rsidR="00A41523" w:rsidRPr="00F503F4" w:rsidRDefault="00A41523" w:rsidP="00DD0051">
                                  <w:pPr>
                                    <w:spacing w:after="0"/>
                                    <w:jc w:val="center"/>
                                    <w:rPr>
                                      <w:rFonts w:ascii="Times New Roman" w:hAnsi="Times New Roman"/>
                                      <w:sz w:val="14"/>
                                      <w:szCs w:val="16"/>
                                    </w:rPr>
                                  </w:pPr>
                                  <w:r w:rsidRPr="00F503F4">
                                    <w:rPr>
                                      <w:rFonts w:ascii="Times New Roman" w:hAnsi="Times New Roman"/>
                                      <w:sz w:val="14"/>
                                      <w:szCs w:val="16"/>
                                    </w:rPr>
                                    <w:t>Islanda</w:t>
                                  </w:r>
                                </w:p>
                              </w:tc>
                            </w:tr>
                            <w:tr w:rsidR="00A41523" w14:paraId="69B9C1EC" w14:textId="77777777" w:rsidTr="00824A6B">
                              <w:trPr>
                                <w:trHeight w:val="282"/>
                              </w:trPr>
                              <w:tc>
                                <w:tcPr>
                                  <w:tcW w:w="1170" w:type="dxa"/>
                                </w:tcPr>
                                <w:p w14:paraId="198DA32D" w14:textId="67289D82" w:rsidR="00A41523" w:rsidRPr="00F503F4" w:rsidRDefault="00A41523" w:rsidP="00DD0051">
                                  <w:pPr>
                                    <w:spacing w:after="0"/>
                                    <w:jc w:val="center"/>
                                    <w:rPr>
                                      <w:rFonts w:ascii="Times New Roman" w:hAnsi="Times New Roman"/>
                                      <w:sz w:val="14"/>
                                      <w:szCs w:val="16"/>
                                    </w:rPr>
                                  </w:pPr>
                                  <w:r w:rsidRPr="00F503F4">
                                    <w:rPr>
                                      <w:rFonts w:ascii="Times New Roman" w:hAnsi="Times New Roman"/>
                                      <w:sz w:val="14"/>
                                      <w:szCs w:val="16"/>
                                    </w:rPr>
                                    <w:t>Norvegjia</w:t>
                                  </w:r>
                                </w:p>
                              </w:tc>
                            </w:tr>
                          </w:tbl>
                          <w:p w14:paraId="36C9811E" w14:textId="7E817016" w:rsidR="00A41523" w:rsidRDefault="00A41523" w:rsidP="00C00410">
                            <w:pPr>
                              <w:spacing w:after="0"/>
                              <w:rPr>
                                <w:rFonts w:ascii="Times New Roman" w:hAnsi="Times New Roman"/>
                                <w:sz w:val="14"/>
                                <w:szCs w:val="16"/>
                              </w:rPr>
                            </w:pPr>
                          </w:p>
                          <w:p w14:paraId="02F4E640" w14:textId="130D9701" w:rsidR="00A41523" w:rsidRDefault="00A41523">
                            <w:pPr>
                              <w:rPr>
                                <w:rFonts w:ascii="Times New Roman" w:hAnsi="Times New Roman"/>
                                <w:sz w:val="14"/>
                                <w:szCs w:val="16"/>
                              </w:rPr>
                            </w:pPr>
                            <w:r>
                              <w:rPr>
                                <w:rFonts w:ascii="Times New Roman" w:hAnsi="Times New Roman"/>
                                <w:sz w:val="14"/>
                                <w:szCs w:val="16"/>
                              </w:rPr>
                              <w:t xml:space="preserve">                                </w:t>
                            </w:r>
                          </w:p>
                          <w:p w14:paraId="590C8F5C" w14:textId="62D4DF5C" w:rsidR="00A41523" w:rsidRDefault="00A41523">
                            <w:pPr>
                              <w:rPr>
                                <w:rFonts w:ascii="Times New Roman" w:hAnsi="Times New Roman"/>
                                <w:sz w:val="14"/>
                                <w:szCs w:val="16"/>
                              </w:rPr>
                            </w:pPr>
                          </w:p>
                          <w:p w14:paraId="2483C115" w14:textId="0E079745" w:rsidR="00A41523" w:rsidRPr="00C25D32" w:rsidRDefault="00A41523">
                            <w:pPr>
                              <w:rPr>
                                <w:rFonts w:ascii="Times New Roman" w:hAnsi="Times New Roman"/>
                                <w:sz w:val="14"/>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473AA" id="_x0000_t202" coordsize="21600,21600" o:spt="202" path="m,l,21600r21600,l21600,xe">
                <v:stroke joinstyle="miter"/>
                <v:path gradientshapeok="t" o:connecttype="rect"/>
              </v:shapetype>
              <v:shape id="Text Box 27" o:spid="_x0000_s1026" type="#_x0000_t202" style="position:absolute;left:0;text-align:left;margin-left:14.75pt;margin-top:38.1pt;width:65.05pt;height:354.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" fillcolor="white [3201]" strokecolor="white [3212]" strokeweight=".5pt">
                <v:textbox>
                  <w:txbxContent>
                    <w:tbl>
                      <w:tblPr>
                        <w:tblW w:w="1170" w:type="dxa"/>
                        <w:tblInd w:w="-95" w:type="dxa"/>
                        <w:tblLook w:val="04A0" w:firstRow="1" w:lastRow="0" w:firstColumn="1" w:lastColumn="0" w:noHBand="0" w:noVBand="1"/>
                      </w:tblPr>
                      <w:tblGrid>
                        <w:gridCol w:w="1170"/>
                      </w:tblGrid>
                      <w:tr w:rsidR="00A41523" w14:paraId="345826DF" w14:textId="77777777" w:rsidTr="00DD0051">
                        <w:trPr>
                          <w:trHeight w:val="173"/>
                        </w:trPr>
                        <w:tc>
                          <w:tcPr>
                            <w:tcW w:w="1170" w:type="dxa"/>
                          </w:tcPr>
                          <w:p w14:paraId="08796659" w14:textId="1113FCEA"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Bullgaria</w:t>
                            </w:r>
                          </w:p>
                        </w:tc>
                      </w:tr>
                      <w:tr w:rsidR="00A41523" w14:paraId="5C4D356C" w14:textId="77777777" w:rsidTr="00DD0051">
                        <w:trPr>
                          <w:trHeight w:val="254"/>
                        </w:trPr>
                        <w:tc>
                          <w:tcPr>
                            <w:tcW w:w="1170" w:type="dxa"/>
                          </w:tcPr>
                          <w:p w14:paraId="34D7F7E1" w14:textId="46DA6490"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Rumania</w:t>
                            </w:r>
                          </w:p>
                        </w:tc>
                      </w:tr>
                      <w:tr w:rsidR="00A41523" w14:paraId="4B7D20DD" w14:textId="77777777" w:rsidTr="00DD0051">
                        <w:trPr>
                          <w:trHeight w:val="263"/>
                        </w:trPr>
                        <w:tc>
                          <w:tcPr>
                            <w:tcW w:w="1170" w:type="dxa"/>
                          </w:tcPr>
                          <w:p w14:paraId="19076367" w14:textId="4350D40F"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Letonia</w:t>
                            </w:r>
                          </w:p>
                        </w:tc>
                      </w:tr>
                      <w:tr w:rsidR="00A41523" w14:paraId="519B6A81" w14:textId="77777777" w:rsidTr="00DD0051">
                        <w:trPr>
                          <w:trHeight w:val="173"/>
                        </w:trPr>
                        <w:tc>
                          <w:tcPr>
                            <w:tcW w:w="1170" w:type="dxa"/>
                          </w:tcPr>
                          <w:p w14:paraId="1A628BD7" w14:textId="0EE424EF"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Kroacia</w:t>
                            </w:r>
                          </w:p>
                        </w:tc>
                      </w:tr>
                      <w:tr w:rsidR="00A41523" w14:paraId="266FD2F9" w14:textId="77777777" w:rsidTr="00DD0051">
                        <w:trPr>
                          <w:trHeight w:val="219"/>
                        </w:trPr>
                        <w:tc>
                          <w:tcPr>
                            <w:tcW w:w="1170" w:type="dxa"/>
                          </w:tcPr>
                          <w:p w14:paraId="5251C7EE" w14:textId="6169A45D"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Shqiperia</w:t>
                            </w:r>
                          </w:p>
                        </w:tc>
                      </w:tr>
                      <w:tr w:rsidR="00A41523" w14:paraId="56976DF9" w14:textId="77777777" w:rsidTr="00DD0051">
                        <w:trPr>
                          <w:trHeight w:val="183"/>
                        </w:trPr>
                        <w:tc>
                          <w:tcPr>
                            <w:tcW w:w="1170" w:type="dxa"/>
                          </w:tcPr>
                          <w:p w14:paraId="2AFD684F" w14:textId="2CD35ED3"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Portugalia</w:t>
                            </w:r>
                          </w:p>
                        </w:tc>
                      </w:tr>
                      <w:tr w:rsidR="00A41523" w14:paraId="0AEDC0A5" w14:textId="77777777" w:rsidTr="00DD0051">
                        <w:trPr>
                          <w:trHeight w:val="264"/>
                        </w:trPr>
                        <w:tc>
                          <w:tcPr>
                            <w:tcW w:w="1170" w:type="dxa"/>
                          </w:tcPr>
                          <w:p w14:paraId="0A62CA0B" w14:textId="43E992BA"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Greqia</w:t>
                            </w:r>
                          </w:p>
                        </w:tc>
                      </w:tr>
                      <w:tr w:rsidR="00A41523" w14:paraId="63269E55" w14:textId="77777777" w:rsidTr="00DD0051">
                        <w:tc>
                          <w:tcPr>
                            <w:tcW w:w="1170" w:type="dxa"/>
                          </w:tcPr>
                          <w:p w14:paraId="5E0439B4" w14:textId="72AECDBF"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Lituania</w:t>
                            </w:r>
                          </w:p>
                        </w:tc>
                      </w:tr>
                      <w:tr w:rsidR="00A41523" w14:paraId="5F951D7A" w14:textId="77777777" w:rsidTr="00DD0051">
                        <w:trPr>
                          <w:trHeight w:val="271"/>
                        </w:trPr>
                        <w:tc>
                          <w:tcPr>
                            <w:tcW w:w="1170" w:type="dxa"/>
                          </w:tcPr>
                          <w:p w14:paraId="61CBB96B" w14:textId="371812F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Polonia</w:t>
                            </w:r>
                          </w:p>
                        </w:tc>
                      </w:tr>
                      <w:tr w:rsidR="00A41523" w14:paraId="323A64DA" w14:textId="77777777" w:rsidTr="00DD0051">
                        <w:trPr>
                          <w:trHeight w:val="163"/>
                        </w:trPr>
                        <w:tc>
                          <w:tcPr>
                            <w:tcW w:w="1170" w:type="dxa"/>
                          </w:tcPr>
                          <w:p w14:paraId="0FCFCEBA" w14:textId="2C86D369"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Italia</w:t>
                            </w:r>
                          </w:p>
                        </w:tc>
                      </w:tr>
                      <w:tr w:rsidR="00A41523" w14:paraId="55FFE04A" w14:textId="77777777" w:rsidTr="00DD0051">
                        <w:trPr>
                          <w:trHeight w:val="262"/>
                        </w:trPr>
                        <w:tc>
                          <w:tcPr>
                            <w:tcW w:w="1170" w:type="dxa"/>
                          </w:tcPr>
                          <w:p w14:paraId="0D7B8091" w14:textId="266D1D55"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Hungaria</w:t>
                            </w:r>
                          </w:p>
                        </w:tc>
                      </w:tr>
                      <w:tr w:rsidR="00A41523" w14:paraId="6AC4DA54" w14:textId="77777777" w:rsidTr="00DD0051">
                        <w:trPr>
                          <w:trHeight w:val="262"/>
                        </w:trPr>
                        <w:tc>
                          <w:tcPr>
                            <w:tcW w:w="1170" w:type="dxa"/>
                          </w:tcPr>
                          <w:p w14:paraId="1AB9F3A6" w14:textId="6D28676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Sllovenia</w:t>
                            </w:r>
                          </w:p>
                        </w:tc>
                      </w:tr>
                      <w:tr w:rsidR="00A41523" w14:paraId="501E84EE" w14:textId="77777777" w:rsidTr="00DD0051">
                        <w:trPr>
                          <w:trHeight w:val="138"/>
                        </w:trPr>
                        <w:tc>
                          <w:tcPr>
                            <w:tcW w:w="1170" w:type="dxa"/>
                          </w:tcPr>
                          <w:p w14:paraId="57AE2DC3" w14:textId="4213DF7E"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Franca</w:t>
                            </w:r>
                          </w:p>
                        </w:tc>
                      </w:tr>
                      <w:tr w:rsidR="00A41523" w14:paraId="2B902E87" w14:textId="77777777" w:rsidTr="00DD0051">
                        <w:trPr>
                          <w:trHeight w:val="264"/>
                        </w:trPr>
                        <w:tc>
                          <w:tcPr>
                            <w:tcW w:w="1170" w:type="dxa"/>
                          </w:tcPr>
                          <w:p w14:paraId="676BBF20" w14:textId="14EA346A" w:rsidR="00A41523" w:rsidRPr="00F503F4" w:rsidRDefault="00A41523" w:rsidP="00DD0051">
                            <w:pPr>
                              <w:spacing w:after="0"/>
                              <w:rPr>
                                <w:rFonts w:ascii="Times New Roman" w:hAnsi="Times New Roman"/>
                                <w:sz w:val="14"/>
                                <w:szCs w:val="16"/>
                              </w:rPr>
                            </w:pPr>
                            <w:r w:rsidRPr="00F503F4">
                              <w:rPr>
                                <w:rFonts w:ascii="Times New Roman" w:hAnsi="Times New Roman"/>
                                <w:sz w:val="14"/>
                                <w:szCs w:val="16"/>
                              </w:rPr>
                              <w:t>Republike Çeke</w:t>
                            </w:r>
                          </w:p>
                        </w:tc>
                      </w:tr>
                      <w:tr w:rsidR="00A41523" w14:paraId="371D1D77" w14:textId="77777777" w:rsidTr="00DD0051">
                        <w:trPr>
                          <w:trHeight w:val="182"/>
                        </w:trPr>
                        <w:tc>
                          <w:tcPr>
                            <w:tcW w:w="1170" w:type="dxa"/>
                          </w:tcPr>
                          <w:p w14:paraId="750760E5" w14:textId="2D8CC9CD"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BE-27</w:t>
                            </w:r>
                          </w:p>
                        </w:tc>
                      </w:tr>
                      <w:tr w:rsidR="00A41523" w14:paraId="39ED6892" w14:textId="77777777" w:rsidTr="00DD0051">
                        <w:trPr>
                          <w:trHeight w:val="254"/>
                        </w:trPr>
                        <w:tc>
                          <w:tcPr>
                            <w:tcW w:w="1170" w:type="dxa"/>
                          </w:tcPr>
                          <w:p w14:paraId="7FD217F1" w14:textId="2811ED6A"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Austria</w:t>
                            </w:r>
                          </w:p>
                        </w:tc>
                      </w:tr>
                      <w:tr w:rsidR="00A41523" w14:paraId="63BE00EE" w14:textId="77777777" w:rsidTr="00DD0051">
                        <w:trPr>
                          <w:trHeight w:val="173"/>
                        </w:trPr>
                        <w:tc>
                          <w:tcPr>
                            <w:tcW w:w="1170" w:type="dxa"/>
                          </w:tcPr>
                          <w:p w14:paraId="1EB01262" w14:textId="143D3120"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Belgjika</w:t>
                            </w:r>
                          </w:p>
                        </w:tc>
                      </w:tr>
                      <w:tr w:rsidR="00A41523" w14:paraId="28431BF5" w14:textId="77777777" w:rsidTr="00DD0051">
                        <w:trPr>
                          <w:trHeight w:val="254"/>
                        </w:trPr>
                        <w:tc>
                          <w:tcPr>
                            <w:tcW w:w="1170" w:type="dxa"/>
                          </w:tcPr>
                          <w:p w14:paraId="201D89FB" w14:textId="68C747F9"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Estonia</w:t>
                            </w:r>
                          </w:p>
                        </w:tc>
                      </w:tr>
                      <w:tr w:rsidR="00A41523" w14:paraId="38CE04D1" w14:textId="77777777" w:rsidTr="00DD0051">
                        <w:trPr>
                          <w:trHeight w:val="173"/>
                        </w:trPr>
                        <w:tc>
                          <w:tcPr>
                            <w:tcW w:w="1170" w:type="dxa"/>
                          </w:tcPr>
                          <w:p w14:paraId="3B8A0426" w14:textId="2F036C6D" w:rsidR="00A41523" w:rsidRPr="00F503F4" w:rsidRDefault="00A41523" w:rsidP="00F503F4">
                            <w:pPr>
                              <w:spacing w:after="0"/>
                              <w:jc w:val="center"/>
                              <w:rPr>
                                <w:rFonts w:ascii="Times New Roman" w:hAnsi="Times New Roman"/>
                                <w:sz w:val="14"/>
                                <w:szCs w:val="16"/>
                              </w:rPr>
                            </w:pPr>
                            <w:r>
                              <w:rPr>
                                <w:rFonts w:ascii="Times New Roman" w:hAnsi="Times New Roman"/>
                                <w:sz w:val="14"/>
                                <w:szCs w:val="16"/>
                              </w:rPr>
                              <w:t xml:space="preserve">Luksemburgu </w:t>
                            </w:r>
                          </w:p>
                        </w:tc>
                      </w:tr>
                      <w:tr w:rsidR="00A41523" w14:paraId="2B022F26" w14:textId="77777777" w:rsidTr="00DD0051">
                        <w:tc>
                          <w:tcPr>
                            <w:tcW w:w="1170" w:type="dxa"/>
                          </w:tcPr>
                          <w:p w14:paraId="4B4ED9B1" w14:textId="2FCCD4CC" w:rsidR="00A41523" w:rsidRDefault="00A41523" w:rsidP="00F503F4">
                            <w:pPr>
                              <w:spacing w:after="0"/>
                              <w:jc w:val="center"/>
                              <w:rPr>
                                <w:rFonts w:ascii="Times New Roman" w:hAnsi="Times New Roman"/>
                                <w:sz w:val="14"/>
                                <w:szCs w:val="16"/>
                              </w:rPr>
                            </w:pPr>
                            <w:r>
                              <w:rPr>
                                <w:rFonts w:ascii="Times New Roman" w:hAnsi="Times New Roman"/>
                                <w:sz w:val="14"/>
                                <w:szCs w:val="16"/>
                              </w:rPr>
                              <w:t xml:space="preserve">Sllovenia </w:t>
                            </w:r>
                          </w:p>
                        </w:tc>
                      </w:tr>
                      <w:tr w:rsidR="00A41523" w14:paraId="1568AAAD" w14:textId="77777777" w:rsidTr="00DD0051">
                        <w:trPr>
                          <w:trHeight w:val="200"/>
                        </w:trPr>
                        <w:tc>
                          <w:tcPr>
                            <w:tcW w:w="1170" w:type="dxa"/>
                          </w:tcPr>
                          <w:p w14:paraId="64D3336C" w14:textId="0A4B9EC5"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Spanja</w:t>
                            </w:r>
                          </w:p>
                        </w:tc>
                      </w:tr>
                      <w:tr w:rsidR="00A41523" w14:paraId="2C7199B9" w14:textId="77777777" w:rsidTr="00DD0051">
                        <w:trPr>
                          <w:trHeight w:val="236"/>
                        </w:trPr>
                        <w:tc>
                          <w:tcPr>
                            <w:tcW w:w="1170" w:type="dxa"/>
                          </w:tcPr>
                          <w:p w14:paraId="4D0DFB61" w14:textId="4EFCA262"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Qipro</w:t>
                            </w:r>
                          </w:p>
                        </w:tc>
                      </w:tr>
                      <w:tr w:rsidR="00A41523" w14:paraId="480F2AAB" w14:textId="77777777" w:rsidTr="00DD0051">
                        <w:trPr>
                          <w:trHeight w:val="173"/>
                        </w:trPr>
                        <w:tc>
                          <w:tcPr>
                            <w:tcW w:w="1170" w:type="dxa"/>
                          </w:tcPr>
                          <w:p w14:paraId="7EEC3DE3" w14:textId="504C0C5D"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Irlanda</w:t>
                            </w:r>
                          </w:p>
                        </w:tc>
                      </w:tr>
                      <w:tr w:rsidR="00A41523" w14:paraId="361F598B" w14:textId="77777777" w:rsidTr="00DD0051">
                        <w:trPr>
                          <w:trHeight w:val="181"/>
                        </w:trPr>
                        <w:tc>
                          <w:tcPr>
                            <w:tcW w:w="1170" w:type="dxa"/>
                          </w:tcPr>
                          <w:p w14:paraId="5B3C5F42" w14:textId="6CE88D0E"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Gjermania</w:t>
                            </w:r>
                          </w:p>
                        </w:tc>
                      </w:tr>
                      <w:tr w:rsidR="00A41523" w14:paraId="0493C953" w14:textId="77777777" w:rsidTr="00DD0051">
                        <w:trPr>
                          <w:trHeight w:val="245"/>
                        </w:trPr>
                        <w:tc>
                          <w:tcPr>
                            <w:tcW w:w="1170" w:type="dxa"/>
                          </w:tcPr>
                          <w:p w14:paraId="61EAB7A3" w14:textId="46B5EF8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Holanda</w:t>
                            </w:r>
                          </w:p>
                        </w:tc>
                      </w:tr>
                      <w:tr w:rsidR="00A41523" w14:paraId="7189499F" w14:textId="77777777" w:rsidTr="00DD0051">
                        <w:trPr>
                          <w:trHeight w:val="173"/>
                        </w:trPr>
                        <w:tc>
                          <w:tcPr>
                            <w:tcW w:w="1170" w:type="dxa"/>
                          </w:tcPr>
                          <w:p w14:paraId="4DB345CB" w14:textId="5A35FD10"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Finlanda</w:t>
                            </w:r>
                          </w:p>
                        </w:tc>
                      </w:tr>
                      <w:tr w:rsidR="00A41523" w14:paraId="724836E4" w14:textId="77777777" w:rsidTr="00DD0051">
                        <w:trPr>
                          <w:trHeight w:val="254"/>
                        </w:trPr>
                        <w:tc>
                          <w:tcPr>
                            <w:tcW w:w="1170" w:type="dxa"/>
                          </w:tcPr>
                          <w:p w14:paraId="38C17F95" w14:textId="294E5E3C"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Malta</w:t>
                            </w:r>
                          </w:p>
                        </w:tc>
                      </w:tr>
                      <w:tr w:rsidR="00A41523" w14:paraId="41E66898" w14:textId="77777777" w:rsidTr="00DD0051">
                        <w:trPr>
                          <w:trHeight w:val="263"/>
                        </w:trPr>
                        <w:tc>
                          <w:tcPr>
                            <w:tcW w:w="1170" w:type="dxa"/>
                          </w:tcPr>
                          <w:p w14:paraId="2673C201" w14:textId="6F4439E7"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Danimarka</w:t>
                            </w:r>
                          </w:p>
                        </w:tc>
                      </w:tr>
                      <w:tr w:rsidR="00A41523" w14:paraId="3FAFB1BF" w14:textId="77777777" w:rsidTr="00824A6B">
                        <w:trPr>
                          <w:trHeight w:val="309"/>
                        </w:trPr>
                        <w:tc>
                          <w:tcPr>
                            <w:tcW w:w="1170" w:type="dxa"/>
                          </w:tcPr>
                          <w:p w14:paraId="09E56065" w14:textId="65E2D3F8" w:rsidR="00A41523" w:rsidRPr="00F503F4" w:rsidRDefault="00A41523" w:rsidP="00F503F4">
                            <w:pPr>
                              <w:spacing w:after="0"/>
                              <w:jc w:val="center"/>
                              <w:rPr>
                                <w:rFonts w:ascii="Times New Roman" w:hAnsi="Times New Roman"/>
                                <w:sz w:val="14"/>
                                <w:szCs w:val="16"/>
                              </w:rPr>
                            </w:pPr>
                            <w:r w:rsidRPr="00F503F4">
                              <w:rPr>
                                <w:rFonts w:ascii="Times New Roman" w:hAnsi="Times New Roman"/>
                                <w:sz w:val="14"/>
                                <w:szCs w:val="16"/>
                              </w:rPr>
                              <w:t>Zvicra</w:t>
                            </w:r>
                          </w:p>
                        </w:tc>
                      </w:tr>
                      <w:tr w:rsidR="00A41523" w14:paraId="5BAEB5BA" w14:textId="77777777" w:rsidTr="00824A6B">
                        <w:trPr>
                          <w:trHeight w:val="174"/>
                        </w:trPr>
                        <w:tc>
                          <w:tcPr>
                            <w:tcW w:w="1170" w:type="dxa"/>
                          </w:tcPr>
                          <w:p w14:paraId="4AE8AFD7" w14:textId="1ED64BD9" w:rsidR="00A41523" w:rsidRPr="00F503F4" w:rsidRDefault="00A41523" w:rsidP="00F503F4">
                            <w:pPr>
                              <w:spacing w:after="0"/>
                              <w:jc w:val="center"/>
                              <w:rPr>
                                <w:rFonts w:ascii="Times New Roman" w:hAnsi="Times New Roman"/>
                                <w:sz w:val="14"/>
                                <w:szCs w:val="16"/>
                              </w:rPr>
                            </w:pPr>
                            <w:r>
                              <w:rPr>
                                <w:rFonts w:ascii="Times New Roman" w:hAnsi="Times New Roman"/>
                                <w:sz w:val="14"/>
                                <w:szCs w:val="16"/>
                              </w:rPr>
                              <w:t>Suedi</w:t>
                            </w:r>
                          </w:p>
                        </w:tc>
                      </w:tr>
                      <w:tr w:rsidR="00A41523" w14:paraId="4D7853A6" w14:textId="77777777" w:rsidTr="00DD0051">
                        <w:trPr>
                          <w:trHeight w:val="164"/>
                        </w:trPr>
                        <w:tc>
                          <w:tcPr>
                            <w:tcW w:w="1170" w:type="dxa"/>
                          </w:tcPr>
                          <w:p w14:paraId="4CCF72EA" w14:textId="337D37C3" w:rsidR="00A41523" w:rsidRPr="00F503F4" w:rsidRDefault="00A41523" w:rsidP="00DD0051">
                            <w:pPr>
                              <w:spacing w:after="0"/>
                              <w:jc w:val="center"/>
                              <w:rPr>
                                <w:rFonts w:ascii="Times New Roman" w:hAnsi="Times New Roman"/>
                                <w:sz w:val="14"/>
                                <w:szCs w:val="16"/>
                              </w:rPr>
                            </w:pPr>
                            <w:r w:rsidRPr="00F503F4">
                              <w:rPr>
                                <w:rFonts w:ascii="Times New Roman" w:hAnsi="Times New Roman"/>
                                <w:sz w:val="14"/>
                                <w:szCs w:val="16"/>
                              </w:rPr>
                              <w:t>Islanda</w:t>
                            </w:r>
                          </w:p>
                        </w:tc>
                      </w:tr>
                      <w:tr w:rsidR="00A41523" w14:paraId="69B9C1EC" w14:textId="77777777" w:rsidTr="00824A6B">
                        <w:trPr>
                          <w:trHeight w:val="282"/>
                        </w:trPr>
                        <w:tc>
                          <w:tcPr>
                            <w:tcW w:w="1170" w:type="dxa"/>
                          </w:tcPr>
                          <w:p w14:paraId="198DA32D" w14:textId="67289D82" w:rsidR="00A41523" w:rsidRPr="00F503F4" w:rsidRDefault="00A41523" w:rsidP="00DD0051">
                            <w:pPr>
                              <w:spacing w:after="0"/>
                              <w:jc w:val="center"/>
                              <w:rPr>
                                <w:rFonts w:ascii="Times New Roman" w:hAnsi="Times New Roman"/>
                                <w:sz w:val="14"/>
                                <w:szCs w:val="16"/>
                              </w:rPr>
                            </w:pPr>
                            <w:r w:rsidRPr="00F503F4">
                              <w:rPr>
                                <w:rFonts w:ascii="Times New Roman" w:hAnsi="Times New Roman"/>
                                <w:sz w:val="14"/>
                                <w:szCs w:val="16"/>
                              </w:rPr>
                              <w:t>Norvegjia</w:t>
                            </w:r>
                          </w:p>
                        </w:tc>
                      </w:tr>
                    </w:tbl>
                    <w:p w14:paraId="36C9811E" w14:textId="7E817016" w:rsidR="00A41523" w:rsidRDefault="00A41523" w:rsidP="00C00410">
                      <w:pPr>
                        <w:spacing w:after="0"/>
                        <w:rPr>
                          <w:rFonts w:ascii="Times New Roman" w:hAnsi="Times New Roman"/>
                          <w:sz w:val="14"/>
                          <w:szCs w:val="16"/>
                        </w:rPr>
                      </w:pPr>
                    </w:p>
                    <w:p w14:paraId="02F4E640" w14:textId="130D9701" w:rsidR="00A41523" w:rsidRDefault="00A41523">
                      <w:pPr>
                        <w:rPr>
                          <w:rFonts w:ascii="Times New Roman" w:hAnsi="Times New Roman"/>
                          <w:sz w:val="14"/>
                          <w:szCs w:val="16"/>
                        </w:rPr>
                      </w:pPr>
                      <w:r>
                        <w:rPr>
                          <w:rFonts w:ascii="Times New Roman" w:hAnsi="Times New Roman"/>
                          <w:sz w:val="14"/>
                          <w:szCs w:val="16"/>
                        </w:rPr>
                        <w:t xml:space="preserve">                                </w:t>
                      </w:r>
                    </w:p>
                    <w:p w14:paraId="590C8F5C" w14:textId="62D4DF5C" w:rsidR="00A41523" w:rsidRDefault="00A41523">
                      <w:pPr>
                        <w:rPr>
                          <w:rFonts w:ascii="Times New Roman" w:hAnsi="Times New Roman"/>
                          <w:sz w:val="14"/>
                          <w:szCs w:val="16"/>
                        </w:rPr>
                      </w:pPr>
                    </w:p>
                    <w:p w14:paraId="2483C115" w14:textId="0E079745" w:rsidR="00A41523" w:rsidRPr="00C25D32" w:rsidRDefault="00A41523">
                      <w:pPr>
                        <w:rPr>
                          <w:rFonts w:ascii="Times New Roman" w:hAnsi="Times New Roman"/>
                          <w:sz w:val="14"/>
                          <w:szCs w:val="16"/>
                        </w:rPr>
                      </w:pPr>
                    </w:p>
                  </w:txbxContent>
                </v:textbox>
              </v:shape>
            </w:pict>
          </mc:Fallback>
        </mc:AlternateContent>
      </w:r>
      <w:r w:rsidR="00363E33" w:rsidRPr="00B907A3">
        <w:rPr>
          <w:rFonts w:ascii="Garamond" w:hAnsi="Garamond"/>
          <w:noProof/>
          <w:sz w:val="24"/>
          <w:lang w:eastAsia="sq-AL"/>
        </w:rPr>
        <w:drawing>
          <wp:inline distT="0" distB="0" distL="0" distR="0" wp14:anchorId="1534B7E1" wp14:editId="228E6757">
            <wp:extent cx="6029694" cy="5178056"/>
            <wp:effectExtent l="0" t="0" r="0" b="3810"/>
            <wp:docPr id="209556667" name="Chart 1">
              <a:extLst xmlns:a="http://schemas.openxmlformats.org/drawingml/2006/main">
                <a:ext uri="{FF2B5EF4-FFF2-40B4-BE49-F238E27FC236}">
                  <a16:creationId xmlns:a16="http://schemas.microsoft.com/office/drawing/2014/main" id="{695C9534-88CE-470F-A6A7-8E06166F0D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F7A547" w14:textId="4BE4E13D" w:rsidR="00363E33" w:rsidRPr="00B907A3" w:rsidRDefault="00095D06" w:rsidP="008C4E07">
      <w:pPr>
        <w:spacing w:after="0"/>
        <w:ind w:firstLine="284"/>
        <w:rPr>
          <w:rFonts w:ascii="Garamond" w:hAnsi="Garamond"/>
          <w:sz w:val="24"/>
          <w:lang w:eastAsia="sl-SI"/>
        </w:rPr>
      </w:pPr>
      <w:bookmarkStart w:id="28" w:name="_Toc180669141"/>
      <w:r w:rsidRPr="00B907A3">
        <w:rPr>
          <w:rFonts w:ascii="Garamond" w:hAnsi="Garamond"/>
          <w:sz w:val="24"/>
        </w:rPr>
        <w:t xml:space="preserve">Shqipëria po bën gjithashtu </w:t>
      </w:r>
      <w:r w:rsidR="007951BD">
        <w:rPr>
          <w:rFonts w:ascii="Garamond" w:hAnsi="Garamond"/>
          <w:sz w:val="24"/>
        </w:rPr>
        <w:t>progres</w:t>
      </w:r>
      <w:r w:rsidR="00BC5341" w:rsidRPr="00B907A3">
        <w:rPr>
          <w:rFonts w:ascii="Garamond" w:hAnsi="Garamond"/>
          <w:sz w:val="24"/>
        </w:rPr>
        <w:t xml:space="preserve"> </w:t>
      </w:r>
      <w:r w:rsidRPr="00B907A3">
        <w:rPr>
          <w:rFonts w:ascii="Garamond" w:hAnsi="Garamond"/>
          <w:sz w:val="24"/>
        </w:rPr>
        <w:t xml:space="preserve">në aspektin e përmirësimeve institucionale, infrastrukturës rrugore, zbatimit të ligjit dhe masave të sigurisë. </w:t>
      </w:r>
      <w:r w:rsidR="00BC5341" w:rsidRPr="00B907A3">
        <w:rPr>
          <w:rFonts w:ascii="Garamond" w:hAnsi="Garamond"/>
          <w:sz w:val="24"/>
        </w:rPr>
        <w:t>Sipas k</w:t>
      </w:r>
      <w:r w:rsidR="00BC5341" w:rsidRPr="00B907A3">
        <w:rPr>
          <w:rFonts w:ascii="Garamond" w:hAnsi="Garamond"/>
          <w:sz w:val="24"/>
          <w:shd w:val="clear" w:color="auto" w:fill="FFFFFF"/>
        </w:rPr>
        <w:t xml:space="preserve">ësaj </w:t>
      </w:r>
      <w:r w:rsidRPr="00B907A3">
        <w:rPr>
          <w:rFonts w:ascii="Garamond" w:hAnsi="Garamond"/>
          <w:sz w:val="24"/>
        </w:rPr>
        <w:t>Strategji</w:t>
      </w:r>
      <w:r w:rsidR="00BC5341" w:rsidRPr="00B907A3">
        <w:rPr>
          <w:rFonts w:ascii="Garamond" w:hAnsi="Garamond"/>
          <w:sz w:val="24"/>
        </w:rPr>
        <w:t>e p</w:t>
      </w:r>
      <w:r w:rsidR="00BC5341" w:rsidRPr="00B907A3">
        <w:rPr>
          <w:rFonts w:ascii="Garamond" w:hAnsi="Garamond"/>
          <w:sz w:val="24"/>
          <w:shd w:val="clear" w:color="auto" w:fill="FFFFFF"/>
        </w:rPr>
        <w:t>ër Sigurinë Rrugore</w:t>
      </w:r>
      <w:r w:rsidR="00BC5341" w:rsidRPr="00B907A3">
        <w:rPr>
          <w:rFonts w:ascii="Garamond" w:hAnsi="Garamond"/>
          <w:sz w:val="24"/>
        </w:rPr>
        <w:t xml:space="preserve"> </w:t>
      </w:r>
      <w:r w:rsidR="0067153B" w:rsidRPr="00B907A3">
        <w:rPr>
          <w:rFonts w:ascii="Garamond" w:hAnsi="Garamond"/>
          <w:sz w:val="24"/>
        </w:rPr>
        <w:t>2026</w:t>
      </w:r>
      <w:r w:rsidR="007951BD">
        <w:rPr>
          <w:rFonts w:ascii="Garamond" w:hAnsi="Garamond"/>
          <w:sz w:val="24"/>
        </w:rPr>
        <w:t>–</w:t>
      </w:r>
      <w:r w:rsidR="0067153B" w:rsidRPr="00B907A3">
        <w:rPr>
          <w:rFonts w:ascii="Garamond" w:hAnsi="Garamond"/>
          <w:sz w:val="24"/>
        </w:rPr>
        <w:t>2030</w:t>
      </w:r>
      <w:r w:rsidR="007951BD">
        <w:rPr>
          <w:rFonts w:ascii="Garamond" w:hAnsi="Garamond"/>
          <w:sz w:val="24"/>
        </w:rPr>
        <w:t xml:space="preserve"> </w:t>
      </w:r>
      <w:r w:rsidRPr="00B907A3">
        <w:rPr>
          <w:rFonts w:ascii="Garamond" w:hAnsi="Garamond"/>
          <w:sz w:val="24"/>
        </w:rPr>
        <w:t>dhe Plani</w:t>
      </w:r>
      <w:r w:rsidR="00BC5341" w:rsidRPr="00B907A3">
        <w:rPr>
          <w:rFonts w:ascii="Garamond" w:hAnsi="Garamond"/>
          <w:sz w:val="24"/>
        </w:rPr>
        <w:t>t t</w:t>
      </w:r>
      <w:r w:rsidR="00BC5341" w:rsidRPr="00B907A3">
        <w:rPr>
          <w:rFonts w:ascii="Garamond" w:hAnsi="Garamond"/>
          <w:sz w:val="24"/>
          <w:shd w:val="clear" w:color="auto" w:fill="FFFFFF"/>
        </w:rPr>
        <w:t xml:space="preserve">ë </w:t>
      </w:r>
      <w:r w:rsidR="00BC5341" w:rsidRPr="00B907A3">
        <w:rPr>
          <w:rFonts w:ascii="Garamond" w:hAnsi="Garamond"/>
          <w:sz w:val="24"/>
        </w:rPr>
        <w:t>saj t</w:t>
      </w:r>
      <w:r w:rsidR="00BC5341" w:rsidRPr="00B907A3">
        <w:rPr>
          <w:rFonts w:ascii="Garamond" w:hAnsi="Garamond"/>
          <w:sz w:val="24"/>
          <w:shd w:val="clear" w:color="auto" w:fill="FFFFFF"/>
        </w:rPr>
        <w:t xml:space="preserve">ë </w:t>
      </w:r>
      <w:r w:rsidRPr="00B907A3">
        <w:rPr>
          <w:rFonts w:ascii="Garamond" w:hAnsi="Garamond"/>
          <w:sz w:val="24"/>
        </w:rPr>
        <w:t>Veprimit</w:t>
      </w:r>
      <w:r w:rsidR="00BC5341" w:rsidRPr="00B907A3">
        <w:rPr>
          <w:rFonts w:ascii="Garamond" w:hAnsi="Garamond"/>
          <w:sz w:val="24"/>
        </w:rPr>
        <w:t>,</w:t>
      </w:r>
      <w:r w:rsidRPr="00B907A3">
        <w:rPr>
          <w:rFonts w:ascii="Garamond" w:hAnsi="Garamond"/>
          <w:sz w:val="24"/>
        </w:rPr>
        <w:t xml:space="preserve"> Shqipëria do të vazhdojë të zbatojë një politikë efektive të sigurisë rrugore, duke marrë parasysh të gjitha shtyllat e sigurisë rrugore të OKB-së: </w:t>
      </w:r>
      <w:r w:rsidR="00EF5DD9" w:rsidRPr="00B907A3">
        <w:rPr>
          <w:rFonts w:ascii="Garamond" w:hAnsi="Garamond"/>
          <w:sz w:val="24"/>
        </w:rPr>
        <w:t>MSRR</w:t>
      </w:r>
      <w:r w:rsidRPr="00B907A3">
        <w:rPr>
          <w:rFonts w:ascii="Garamond" w:hAnsi="Garamond"/>
          <w:sz w:val="24"/>
        </w:rPr>
        <w:t xml:space="preserve">, rrugë më të </w:t>
      </w:r>
      <w:r w:rsidR="00BC5341" w:rsidRPr="00B907A3">
        <w:rPr>
          <w:rFonts w:ascii="Garamond" w:hAnsi="Garamond"/>
          <w:sz w:val="24"/>
        </w:rPr>
        <w:t>sigurta dhe mobilitet m</w:t>
      </w:r>
      <w:r w:rsidR="007951BD">
        <w:rPr>
          <w:rFonts w:ascii="Garamond" w:hAnsi="Garamond"/>
          <w:sz w:val="24"/>
          <w:shd w:val="clear" w:color="auto" w:fill="FFFFFF"/>
        </w:rPr>
        <w:t>ë i sigurt</w:t>
      </w:r>
      <w:r w:rsidRPr="00B907A3">
        <w:rPr>
          <w:rFonts w:ascii="Garamond" w:hAnsi="Garamond"/>
          <w:sz w:val="24"/>
        </w:rPr>
        <w:t>, automjete më të sigurta, përdorues të rrugës më të sigurt dhe reagim pas aksidenteve</w:t>
      </w:r>
      <w:r w:rsidR="00363E33" w:rsidRPr="00B907A3">
        <w:rPr>
          <w:rFonts w:ascii="Garamond" w:hAnsi="Garamond"/>
          <w:sz w:val="24"/>
          <w:lang w:eastAsia="sl-SI"/>
        </w:rPr>
        <w:t>.</w:t>
      </w:r>
    </w:p>
    <w:bookmarkEnd w:id="28"/>
    <w:p w14:paraId="650B3F6D" w14:textId="408BEB28" w:rsidR="00363E33" w:rsidRPr="00B907A3" w:rsidRDefault="00095D06"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Performanca e sigurisë rrugore e Shqipërisë është përmirësuar, por</w:t>
      </w:r>
      <w:r w:rsidR="00BC5341" w:rsidRPr="00B907A3">
        <w:rPr>
          <w:rFonts w:ascii="Garamond" w:hAnsi="Garamond"/>
          <w:sz w:val="24"/>
          <w:lang w:val="sq-AL" w:eastAsia="sl-SI"/>
        </w:rPr>
        <w:t xml:space="preserve"> ende </w:t>
      </w:r>
      <w:r w:rsidRPr="00B907A3">
        <w:rPr>
          <w:rFonts w:ascii="Garamond" w:hAnsi="Garamond"/>
          <w:sz w:val="24"/>
          <w:lang w:val="sq-AL" w:eastAsia="sl-SI"/>
        </w:rPr>
        <w:t xml:space="preserve">mbeten sfida të rëndësishme. Pavarësisht disa </w:t>
      </w:r>
      <w:r w:rsidR="00BC5341" w:rsidRPr="00B907A3">
        <w:rPr>
          <w:rFonts w:ascii="Garamond" w:hAnsi="Garamond"/>
          <w:sz w:val="24"/>
          <w:lang w:val="sq-AL" w:eastAsia="sl-SI"/>
        </w:rPr>
        <w:t>arritjeve</w:t>
      </w:r>
      <w:r w:rsidRPr="00B907A3">
        <w:rPr>
          <w:rFonts w:ascii="Garamond" w:hAnsi="Garamond"/>
          <w:sz w:val="24"/>
          <w:lang w:val="sq-AL" w:eastAsia="sl-SI"/>
        </w:rPr>
        <w:t xml:space="preserve">, </w:t>
      </w:r>
      <w:r w:rsidR="00D167AE" w:rsidRPr="00B907A3">
        <w:rPr>
          <w:rFonts w:ascii="Garamond" w:hAnsi="Garamond"/>
          <w:sz w:val="24"/>
          <w:lang w:val="sq-AL" w:eastAsia="sl-SI"/>
        </w:rPr>
        <w:t xml:space="preserve">janë konstatuar </w:t>
      </w:r>
      <w:r w:rsidRPr="00B907A3">
        <w:rPr>
          <w:rFonts w:ascii="Garamond" w:hAnsi="Garamond"/>
          <w:sz w:val="24"/>
          <w:lang w:val="sq-AL" w:eastAsia="sl-SI"/>
        </w:rPr>
        <w:t xml:space="preserve">probleme serioze në aspektin e sjelljes së përdoruesve, sigurisë së automjeteve dhe infrastrukturës rrugore më të sigurt. Problemet më </w:t>
      </w:r>
      <w:r w:rsidR="00D132BD" w:rsidRPr="00B907A3">
        <w:rPr>
          <w:rFonts w:ascii="Garamond" w:hAnsi="Garamond"/>
          <w:sz w:val="24"/>
          <w:lang w:val="sq-AL" w:eastAsia="sl-SI"/>
        </w:rPr>
        <w:t xml:space="preserve">kryesore me sigurinë </w:t>
      </w:r>
      <w:r w:rsidRPr="00B907A3">
        <w:rPr>
          <w:rFonts w:ascii="Garamond" w:hAnsi="Garamond"/>
          <w:sz w:val="24"/>
          <w:lang w:val="sq-AL" w:eastAsia="sl-SI"/>
        </w:rPr>
        <w:t>rrugore lidhen me sjelljen e papërshtatshme të përdoruesve të rrugës. Sjelljet me r</w:t>
      </w:r>
      <w:r w:rsidR="00D132BD" w:rsidRPr="00B907A3">
        <w:rPr>
          <w:rFonts w:ascii="Garamond" w:hAnsi="Garamond"/>
          <w:sz w:val="24"/>
          <w:lang w:val="sq-AL" w:eastAsia="sl-SI"/>
        </w:rPr>
        <w:t xml:space="preserve">isk </w:t>
      </w:r>
      <w:r w:rsidRPr="00B907A3">
        <w:rPr>
          <w:rFonts w:ascii="Garamond" w:hAnsi="Garamond"/>
          <w:sz w:val="24"/>
          <w:lang w:val="sq-AL" w:eastAsia="sl-SI"/>
        </w:rPr>
        <w:t xml:space="preserve">të lartë, të tilla si shpejtësia, drejtimi i pakujdesshëm, përdorimi i telefonit celular gjatë drejtimit të </w:t>
      </w:r>
      <w:r w:rsidR="00D132BD" w:rsidRPr="00B907A3">
        <w:rPr>
          <w:rFonts w:ascii="Garamond" w:hAnsi="Garamond"/>
          <w:sz w:val="24"/>
          <w:lang w:val="sq-AL" w:eastAsia="sl-SI"/>
        </w:rPr>
        <w:t>mjetit</w:t>
      </w:r>
      <w:r w:rsidRPr="00B907A3">
        <w:rPr>
          <w:rFonts w:ascii="Garamond" w:hAnsi="Garamond"/>
          <w:sz w:val="24"/>
          <w:lang w:val="sq-AL" w:eastAsia="sl-SI"/>
        </w:rPr>
        <w:t xml:space="preserve">, </w:t>
      </w:r>
      <w:r w:rsidR="00D132BD" w:rsidRPr="00B907A3">
        <w:rPr>
          <w:rFonts w:ascii="Garamond" w:hAnsi="Garamond"/>
          <w:sz w:val="24"/>
          <w:lang w:val="sq-AL" w:eastAsia="sl-SI"/>
        </w:rPr>
        <w:t>vendosja rrall</w:t>
      </w:r>
      <w:r w:rsidR="00D132BD" w:rsidRPr="00B907A3">
        <w:rPr>
          <w:rFonts w:ascii="Garamond" w:hAnsi="Garamond"/>
          <w:sz w:val="24"/>
          <w:shd w:val="clear" w:color="auto" w:fill="FFFFFF"/>
          <w:lang w:val="sq-AL"/>
        </w:rPr>
        <w:t xml:space="preserve">ë e </w:t>
      </w:r>
      <w:r w:rsidRPr="00B907A3">
        <w:rPr>
          <w:rFonts w:ascii="Garamond" w:hAnsi="Garamond"/>
          <w:sz w:val="24"/>
          <w:lang w:val="sq-AL" w:eastAsia="sl-SI"/>
        </w:rPr>
        <w:t xml:space="preserve">rripit të sigurimit dhe </w:t>
      </w:r>
      <w:r w:rsidR="00D132BD" w:rsidRPr="00B907A3">
        <w:rPr>
          <w:rFonts w:ascii="Garamond" w:hAnsi="Garamond"/>
          <w:sz w:val="24"/>
          <w:lang w:val="sq-AL" w:eastAsia="sl-SI"/>
        </w:rPr>
        <w:t>kokores</w:t>
      </w:r>
      <w:r w:rsidRPr="00B907A3">
        <w:rPr>
          <w:rFonts w:ascii="Garamond" w:hAnsi="Garamond"/>
          <w:sz w:val="24"/>
          <w:lang w:val="sq-AL" w:eastAsia="sl-SI"/>
        </w:rPr>
        <w:t xml:space="preserve">, sjellja e përdoruesve të </w:t>
      </w:r>
      <w:r w:rsidR="00D132BD" w:rsidRPr="00B907A3">
        <w:rPr>
          <w:rFonts w:ascii="Garamond" w:hAnsi="Garamond"/>
          <w:sz w:val="24"/>
          <w:lang w:val="sq-AL" w:eastAsia="sl-SI"/>
        </w:rPr>
        <w:t>rrezikuar t</w:t>
      </w:r>
      <w:r w:rsidR="00D132BD" w:rsidRPr="00B907A3">
        <w:rPr>
          <w:rFonts w:ascii="Garamond" w:hAnsi="Garamond"/>
          <w:sz w:val="24"/>
          <w:shd w:val="clear" w:color="auto" w:fill="FFFFFF"/>
          <w:lang w:val="sq-AL"/>
        </w:rPr>
        <w:t xml:space="preserve">ë </w:t>
      </w:r>
      <w:r w:rsidRPr="00B907A3">
        <w:rPr>
          <w:rFonts w:ascii="Garamond" w:hAnsi="Garamond"/>
          <w:sz w:val="24"/>
          <w:lang w:val="sq-AL" w:eastAsia="sl-SI"/>
        </w:rPr>
        <w:t>rrugës dhe drejtimi i m</w:t>
      </w:r>
      <w:r w:rsidR="00D132BD" w:rsidRPr="00B907A3">
        <w:rPr>
          <w:rFonts w:ascii="Garamond" w:hAnsi="Garamond"/>
          <w:sz w:val="24"/>
          <w:lang w:val="sq-AL" w:eastAsia="sl-SI"/>
        </w:rPr>
        <w:t xml:space="preserve">jetit </w:t>
      </w:r>
      <w:r w:rsidRPr="00B907A3">
        <w:rPr>
          <w:rFonts w:ascii="Garamond" w:hAnsi="Garamond"/>
          <w:sz w:val="24"/>
          <w:lang w:val="sq-AL" w:eastAsia="sl-SI"/>
        </w:rPr>
        <w:t xml:space="preserve">në gjendje të dehur mbeten të përhapura, </w:t>
      </w:r>
      <w:r w:rsidR="00D132BD" w:rsidRPr="00B907A3">
        <w:rPr>
          <w:rFonts w:ascii="Garamond" w:hAnsi="Garamond"/>
          <w:sz w:val="24"/>
          <w:lang w:val="sq-AL" w:eastAsia="sl-SI"/>
        </w:rPr>
        <w:t>ku kjo e fundit ka tendenc</w:t>
      </w:r>
      <w:r w:rsidR="00D132BD" w:rsidRPr="00B907A3">
        <w:rPr>
          <w:rFonts w:ascii="Garamond" w:hAnsi="Garamond"/>
          <w:sz w:val="24"/>
          <w:shd w:val="clear" w:color="auto" w:fill="FFFFFF"/>
          <w:lang w:val="sq-AL"/>
        </w:rPr>
        <w:t xml:space="preserve">ë </w:t>
      </w:r>
      <w:r w:rsidRPr="00B907A3">
        <w:rPr>
          <w:rFonts w:ascii="Garamond" w:hAnsi="Garamond"/>
          <w:sz w:val="24"/>
          <w:lang w:val="sq-AL" w:eastAsia="sl-SI"/>
        </w:rPr>
        <w:t>në rritje</w:t>
      </w:r>
      <w:r w:rsidR="00363E33" w:rsidRPr="00B907A3">
        <w:rPr>
          <w:rFonts w:ascii="Garamond" w:hAnsi="Garamond"/>
          <w:sz w:val="24"/>
          <w:lang w:val="sq-AL" w:eastAsia="sl-SI"/>
        </w:rPr>
        <w:t>.</w:t>
      </w:r>
    </w:p>
    <w:p w14:paraId="7B8D33DA" w14:textId="47DE6462" w:rsidR="00363E33" w:rsidRPr="00B907A3" w:rsidRDefault="00095D06" w:rsidP="008C4E07">
      <w:pPr>
        <w:autoSpaceDE w:val="0"/>
        <w:autoSpaceDN w:val="0"/>
        <w:adjustRightInd w:val="0"/>
        <w:spacing w:after="0"/>
        <w:ind w:firstLine="284"/>
        <w:rPr>
          <w:rFonts w:ascii="Garamond" w:hAnsi="Garamond"/>
          <w:sz w:val="24"/>
          <w:lang w:eastAsia="sl-SI"/>
        </w:rPr>
      </w:pPr>
      <w:r w:rsidRPr="00B907A3">
        <w:rPr>
          <w:rFonts w:ascii="Garamond" w:hAnsi="Garamond"/>
          <w:sz w:val="24"/>
          <w:lang w:eastAsia="sl-SI"/>
        </w:rPr>
        <w:t>Nevoja për planifikim hapësinor të përmirësuar dhe struktur</w:t>
      </w:r>
      <w:r w:rsidR="008D2B9E" w:rsidRPr="00B907A3">
        <w:rPr>
          <w:rFonts w:ascii="Garamond" w:hAnsi="Garamond"/>
          <w:sz w:val="24"/>
          <w:lang w:eastAsia="sl-SI"/>
        </w:rPr>
        <w:t xml:space="preserve">a e </w:t>
      </w:r>
      <w:r w:rsidRPr="00B907A3">
        <w:rPr>
          <w:rFonts w:ascii="Garamond" w:hAnsi="Garamond"/>
          <w:sz w:val="24"/>
          <w:lang w:eastAsia="sl-SI"/>
        </w:rPr>
        <w:t xml:space="preserve">trashëguar </w:t>
      </w:r>
      <w:r w:rsidR="008D2B9E" w:rsidRPr="00B907A3">
        <w:rPr>
          <w:rFonts w:ascii="Garamond" w:hAnsi="Garamond"/>
          <w:sz w:val="24"/>
          <w:lang w:eastAsia="sl-SI"/>
        </w:rPr>
        <w:t xml:space="preserve">e </w:t>
      </w:r>
      <w:r w:rsidRPr="00B907A3">
        <w:rPr>
          <w:rFonts w:ascii="Garamond" w:hAnsi="Garamond"/>
          <w:sz w:val="24"/>
          <w:lang w:eastAsia="sl-SI"/>
        </w:rPr>
        <w:t xml:space="preserve">rrjetit rrugor mbetet problem. Funksioni i duhur i rrugës duhet të merret në konsideratë. Urbanizimi, veçanërisht në qytetet e mëdha dhe zonat turistike, i </w:t>
      </w:r>
      <w:r w:rsidR="007951BD" w:rsidRPr="00B907A3">
        <w:rPr>
          <w:rFonts w:ascii="Garamond" w:hAnsi="Garamond"/>
          <w:sz w:val="24"/>
          <w:lang w:eastAsia="sl-SI"/>
        </w:rPr>
        <w:t>përqendruar</w:t>
      </w:r>
      <w:r w:rsidRPr="00B907A3">
        <w:rPr>
          <w:rFonts w:ascii="Garamond" w:hAnsi="Garamond"/>
          <w:sz w:val="24"/>
          <w:lang w:eastAsia="sl-SI"/>
        </w:rPr>
        <w:t xml:space="preserve"> kryesisht në nevojat e përdoruesve të automjeteve, ka mbingarkuar sistemin rrugor dhe ka kontribuar në kushte të rrezikshme për të gjithë përdoruesit e tjerë të rrugës dhe, veçanërisht, për </w:t>
      </w:r>
      <w:r w:rsidR="006D7A44" w:rsidRPr="00B907A3">
        <w:rPr>
          <w:rFonts w:ascii="Garamond" w:hAnsi="Garamond"/>
          <w:sz w:val="24"/>
          <w:lang w:eastAsia="sl-SI"/>
        </w:rPr>
        <w:t>pë</w:t>
      </w:r>
      <w:r w:rsidR="00FB5830">
        <w:rPr>
          <w:rFonts w:ascii="Garamond" w:hAnsi="Garamond"/>
          <w:sz w:val="24"/>
          <w:lang w:eastAsia="sl-SI"/>
        </w:rPr>
        <w:t>rdoruesit e rrezikuar të rrugës</w:t>
      </w:r>
      <w:r w:rsidR="00363E33" w:rsidRPr="00B907A3">
        <w:rPr>
          <w:rFonts w:ascii="Garamond" w:hAnsi="Garamond"/>
          <w:sz w:val="24"/>
          <w:lang w:eastAsia="sl-SI"/>
        </w:rPr>
        <w:t>.</w:t>
      </w:r>
    </w:p>
    <w:p w14:paraId="730B2AAD" w14:textId="7BFBB760" w:rsidR="00363E33" w:rsidRPr="00B907A3" w:rsidRDefault="00095D06"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Kapacitetet e autoriteteve lokale janë të kufizuara dhe shumë bashkive u mungon përvoja dhe burimet për të menaxhuar në mënyrë efektive sigurinë rrugore, kështu që duhet</w:t>
      </w:r>
      <w:r w:rsidR="00887CC6">
        <w:rPr>
          <w:rFonts w:ascii="Garamond" w:hAnsi="Garamond"/>
          <w:sz w:val="24"/>
          <w:lang w:val="sq-AL" w:eastAsia="sl-SI"/>
        </w:rPr>
        <w:t xml:space="preserve"> </w:t>
      </w:r>
      <w:r w:rsidR="007951BD">
        <w:rPr>
          <w:rFonts w:ascii="Garamond" w:hAnsi="Garamond"/>
          <w:sz w:val="24"/>
          <w:lang w:val="sq-AL" w:eastAsia="sl-SI"/>
        </w:rPr>
        <w:t>t’i</w:t>
      </w:r>
      <w:r w:rsidR="00887CC6">
        <w:rPr>
          <w:rFonts w:ascii="Garamond" w:hAnsi="Garamond"/>
          <w:sz w:val="24"/>
          <w:lang w:val="sq-AL" w:eastAsia="sl-SI"/>
        </w:rPr>
        <w:t xml:space="preserve"> </w:t>
      </w:r>
      <w:r w:rsidRPr="00B907A3">
        <w:rPr>
          <w:rFonts w:ascii="Garamond" w:hAnsi="Garamond"/>
          <w:sz w:val="24"/>
          <w:lang w:val="sq-AL" w:eastAsia="sl-SI"/>
        </w:rPr>
        <w:t>kushtohet më shumë vëmendje trajnimit dhe udhëzimeve të standardizuara</w:t>
      </w:r>
      <w:r w:rsidR="00363E33" w:rsidRPr="00B907A3">
        <w:rPr>
          <w:rFonts w:ascii="Garamond" w:hAnsi="Garamond"/>
          <w:sz w:val="24"/>
          <w:lang w:val="sq-AL" w:eastAsia="sl-SI"/>
        </w:rPr>
        <w:t xml:space="preserve">. </w:t>
      </w:r>
    </w:p>
    <w:p w14:paraId="2799D24C" w14:textId="458AF090" w:rsidR="00363E33" w:rsidRPr="00B907A3" w:rsidRDefault="00095D06"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rPr>
        <w:t>Me Strategjinë e re, Shqipëria po miraton Qasjen e Sistemit të Sigurt</w:t>
      </w:r>
      <w:r w:rsidR="008D2B9E" w:rsidRPr="00B907A3">
        <w:rPr>
          <w:rFonts w:ascii="Garamond" w:hAnsi="Garamond"/>
          <w:sz w:val="24"/>
          <w:lang w:val="sq-AL"/>
        </w:rPr>
        <w:t xml:space="preserve"> (</w:t>
      </w:r>
      <w:r w:rsidR="001A06E0" w:rsidRPr="00B907A3">
        <w:rPr>
          <w:rFonts w:ascii="Garamond" w:hAnsi="Garamond"/>
          <w:sz w:val="24"/>
          <w:lang w:val="sq-AL"/>
        </w:rPr>
        <w:t>QSS</w:t>
      </w:r>
      <w:r w:rsidR="008D2B9E" w:rsidRPr="00B907A3">
        <w:rPr>
          <w:rFonts w:ascii="Garamond" w:hAnsi="Garamond"/>
          <w:sz w:val="24"/>
          <w:lang w:val="sq-AL"/>
        </w:rPr>
        <w:t>)</w:t>
      </w:r>
      <w:r w:rsidRPr="00B907A3">
        <w:rPr>
          <w:rFonts w:ascii="Garamond" w:hAnsi="Garamond"/>
          <w:sz w:val="24"/>
          <w:lang w:val="sq-AL"/>
        </w:rPr>
        <w:t xml:space="preserve">. Objektivi kryesor i planifikimit strategjik është të zhvillojë një sistem transporti në të cilin askush nuk vritet ose lëndohet </w:t>
      </w:r>
      <w:r w:rsidRPr="00B907A3">
        <w:rPr>
          <w:rFonts w:ascii="Garamond" w:hAnsi="Garamond"/>
          <w:sz w:val="24"/>
          <w:lang w:val="sq-AL"/>
        </w:rPr>
        <w:lastRenderedPageBreak/>
        <w:t xml:space="preserve">rëndë dhe në të cilin përgjegjësia për sigurinë ndahet midis të gjithë përdoruesve. Zbatimi i veprimeve të përcaktuara në Planin e Veprimit për Sigurinë Rrugore është një hap i rëndësishëm drejt arritjes së </w:t>
      </w:r>
      <w:r w:rsidR="007951BD">
        <w:rPr>
          <w:rFonts w:ascii="Garamond" w:hAnsi="Garamond"/>
          <w:sz w:val="24"/>
          <w:lang w:val="sq-AL"/>
        </w:rPr>
        <w:t>“</w:t>
      </w:r>
      <w:r w:rsidRPr="00B907A3">
        <w:rPr>
          <w:rFonts w:ascii="Garamond" w:hAnsi="Garamond"/>
          <w:sz w:val="24"/>
          <w:lang w:val="sq-AL"/>
        </w:rPr>
        <w:t>Vizionit Zero</w:t>
      </w:r>
      <w:r w:rsidR="007951BD">
        <w:rPr>
          <w:rFonts w:ascii="Garamond" w:hAnsi="Garamond"/>
          <w:sz w:val="24"/>
          <w:lang w:val="sq-AL" w:eastAsia="sl-SI"/>
        </w:rPr>
        <w:t>”</w:t>
      </w:r>
      <w:r w:rsidR="00363E33" w:rsidRPr="00B907A3">
        <w:rPr>
          <w:rFonts w:ascii="Garamond" w:hAnsi="Garamond"/>
          <w:sz w:val="24"/>
          <w:lang w:val="sq-AL" w:eastAsia="sl-SI"/>
        </w:rPr>
        <w:t>.</w:t>
      </w:r>
    </w:p>
    <w:p w14:paraId="53258294" w14:textId="48C75FA7" w:rsidR="00363E33" w:rsidRPr="00B907A3" w:rsidRDefault="00A03CA0" w:rsidP="008C4E07">
      <w:pPr>
        <w:pStyle w:val="Heading2"/>
        <w:numPr>
          <w:ilvl w:val="0"/>
          <w:numId w:val="0"/>
        </w:numPr>
        <w:spacing w:after="0"/>
        <w:ind w:firstLine="284"/>
        <w:rPr>
          <w:rFonts w:ascii="Garamond" w:hAnsi="Garamond"/>
          <w:color w:val="auto"/>
          <w:lang w:val="sq-AL"/>
        </w:rPr>
      </w:pPr>
      <w:bookmarkStart w:id="29" w:name="_Toc192748284"/>
      <w:bookmarkStart w:id="30" w:name="_Toc197253700"/>
      <w:bookmarkStart w:id="31" w:name="_Toc208840565"/>
      <w:r w:rsidRPr="00B907A3">
        <w:rPr>
          <w:rFonts w:ascii="Garamond" w:hAnsi="Garamond"/>
          <w:color w:val="auto"/>
          <w:lang w:val="sq-AL"/>
        </w:rPr>
        <w:t xml:space="preserve">3.2 </w:t>
      </w:r>
      <w:r w:rsidR="00095D06" w:rsidRPr="00B907A3">
        <w:rPr>
          <w:rFonts w:ascii="Garamond" w:hAnsi="Garamond"/>
          <w:color w:val="auto"/>
          <w:lang w:val="sq-AL"/>
        </w:rPr>
        <w:t>Sfidat kryesore të identifikuara</w:t>
      </w:r>
      <w:bookmarkEnd w:id="29"/>
      <w:bookmarkEnd w:id="30"/>
      <w:bookmarkEnd w:id="31"/>
    </w:p>
    <w:p w14:paraId="610F40DB" w14:textId="609A861B" w:rsidR="00363E33" w:rsidRPr="00B907A3" w:rsidRDefault="00095D06" w:rsidP="008C4E07">
      <w:pPr>
        <w:spacing w:after="0"/>
        <w:ind w:firstLine="284"/>
        <w:rPr>
          <w:rFonts w:ascii="Garamond" w:hAnsi="Garamond"/>
          <w:sz w:val="24"/>
          <w:lang w:eastAsia="en-GB"/>
        </w:rPr>
      </w:pPr>
      <w:r w:rsidRPr="00B907A3">
        <w:rPr>
          <w:rFonts w:ascii="Garamond" w:hAnsi="Garamond"/>
          <w:sz w:val="24"/>
          <w:lang w:eastAsia="en-GB"/>
        </w:rPr>
        <w:t xml:space="preserve">Edhe pse Shqipëria ka bërë </w:t>
      </w:r>
      <w:r w:rsidR="008D2B9E" w:rsidRPr="00B907A3">
        <w:rPr>
          <w:rFonts w:ascii="Garamond" w:hAnsi="Garamond"/>
          <w:sz w:val="24"/>
          <w:lang w:eastAsia="en-GB"/>
        </w:rPr>
        <w:t xml:space="preserve">progres </w:t>
      </w:r>
      <w:r w:rsidRPr="00B907A3">
        <w:rPr>
          <w:rFonts w:ascii="Garamond" w:hAnsi="Garamond"/>
          <w:sz w:val="24"/>
          <w:lang w:eastAsia="en-GB"/>
        </w:rPr>
        <w:t>në përmirësimin e infrastrukturës rrugore,</w:t>
      </w:r>
      <w:r w:rsidR="00230266" w:rsidRPr="00B907A3">
        <w:rPr>
          <w:rFonts w:ascii="Garamond" w:hAnsi="Garamond"/>
          <w:sz w:val="24"/>
          <w:lang w:eastAsia="en-GB"/>
        </w:rPr>
        <w:t xml:space="preserve"> me</w:t>
      </w:r>
      <w:r w:rsidRPr="00B907A3">
        <w:rPr>
          <w:rFonts w:ascii="Garamond" w:hAnsi="Garamond"/>
          <w:sz w:val="24"/>
          <w:lang w:eastAsia="en-GB"/>
        </w:rPr>
        <w:t xml:space="preserve"> ndërtimin e rrugëve dhe autostradave të reja dhe zbatimin e rregullave të </w:t>
      </w:r>
      <w:r w:rsidR="008D2B9E" w:rsidRPr="00B907A3">
        <w:rPr>
          <w:rFonts w:ascii="Garamond" w:hAnsi="Garamond"/>
          <w:sz w:val="24"/>
          <w:lang w:eastAsia="en-GB"/>
        </w:rPr>
        <w:t>qarkullimit</w:t>
      </w:r>
      <w:r w:rsidRPr="00B907A3">
        <w:rPr>
          <w:rFonts w:ascii="Garamond" w:hAnsi="Garamond"/>
          <w:sz w:val="24"/>
          <w:lang w:eastAsia="en-GB"/>
        </w:rPr>
        <w:t>,</w:t>
      </w:r>
      <w:r w:rsidR="00230266" w:rsidRPr="00B907A3">
        <w:rPr>
          <w:rFonts w:ascii="Garamond" w:hAnsi="Garamond"/>
          <w:sz w:val="24"/>
          <w:lang w:eastAsia="en-GB"/>
        </w:rPr>
        <w:t xml:space="preserve"> </w:t>
      </w:r>
      <w:r w:rsidRPr="00B907A3">
        <w:rPr>
          <w:rFonts w:ascii="Garamond" w:hAnsi="Garamond"/>
          <w:sz w:val="24"/>
          <w:lang w:eastAsia="en-GB"/>
        </w:rPr>
        <w:t xml:space="preserve">rritja e numrit të automjeteve, dendësisë së </w:t>
      </w:r>
      <w:r w:rsidR="00CF2751" w:rsidRPr="00B907A3">
        <w:rPr>
          <w:rFonts w:ascii="Garamond" w:hAnsi="Garamond"/>
          <w:sz w:val="24"/>
          <w:lang w:eastAsia="en-GB"/>
        </w:rPr>
        <w:t xml:space="preserve">qarkullimit </w:t>
      </w:r>
      <w:r w:rsidRPr="00B907A3">
        <w:rPr>
          <w:rFonts w:ascii="Garamond" w:hAnsi="Garamond"/>
          <w:sz w:val="24"/>
          <w:lang w:eastAsia="en-GB"/>
        </w:rPr>
        <w:t xml:space="preserve">dhe </w:t>
      </w:r>
      <w:r w:rsidR="00CF2751" w:rsidRPr="00B907A3">
        <w:rPr>
          <w:rFonts w:ascii="Garamond" w:hAnsi="Garamond"/>
          <w:sz w:val="24"/>
          <w:lang w:eastAsia="en-GB"/>
        </w:rPr>
        <w:t>t</w:t>
      </w:r>
      <w:r w:rsidR="00CF2751" w:rsidRPr="00B907A3">
        <w:rPr>
          <w:rFonts w:ascii="Garamond" w:hAnsi="Garamond"/>
          <w:sz w:val="24"/>
          <w:shd w:val="clear" w:color="auto" w:fill="FFFFFF"/>
        </w:rPr>
        <w:t xml:space="preserve">ë </w:t>
      </w:r>
      <w:r w:rsidRPr="00B907A3">
        <w:rPr>
          <w:rFonts w:ascii="Garamond" w:hAnsi="Garamond"/>
          <w:sz w:val="24"/>
          <w:lang w:eastAsia="en-GB"/>
        </w:rPr>
        <w:t xml:space="preserve">aksidenteve rrugore e </w:t>
      </w:r>
      <w:r w:rsidR="00230266" w:rsidRPr="00B907A3">
        <w:rPr>
          <w:rFonts w:ascii="Garamond" w:hAnsi="Garamond"/>
          <w:sz w:val="24"/>
          <w:lang w:eastAsia="en-GB"/>
        </w:rPr>
        <w:t xml:space="preserve">ka zbehur </w:t>
      </w:r>
      <w:r w:rsidRPr="00B907A3">
        <w:rPr>
          <w:rFonts w:ascii="Garamond" w:hAnsi="Garamond"/>
          <w:sz w:val="24"/>
          <w:lang w:eastAsia="en-GB"/>
        </w:rPr>
        <w:t xml:space="preserve">efektin dhe tregon se nevojiten përpjekje të mëtejshme për të përmirësuar sigurinë rrugore dhe për të mbrojtur përdoruesit e rrugës. Kjo është veçanërisht e rëndësishme për grupet </w:t>
      </w:r>
      <w:r w:rsidR="00CF2751" w:rsidRPr="00B907A3">
        <w:rPr>
          <w:rFonts w:ascii="Garamond" w:hAnsi="Garamond"/>
          <w:sz w:val="24"/>
          <w:lang w:eastAsia="en-GB"/>
        </w:rPr>
        <w:t xml:space="preserve">e rrezikuara </w:t>
      </w:r>
      <w:r w:rsidRPr="00B907A3">
        <w:rPr>
          <w:rFonts w:ascii="Garamond" w:hAnsi="Garamond"/>
          <w:sz w:val="24"/>
          <w:lang w:eastAsia="en-GB"/>
        </w:rPr>
        <w:t>si këmbësorët, çiklistët dhe motoçiklistët, siç dëshmohet nga statistikat</w:t>
      </w:r>
      <w:r w:rsidR="00363E33" w:rsidRPr="00B907A3">
        <w:rPr>
          <w:rFonts w:ascii="Garamond" w:hAnsi="Garamond"/>
          <w:sz w:val="24"/>
          <w:lang w:eastAsia="en-GB"/>
        </w:rPr>
        <w:t>.</w:t>
      </w:r>
    </w:p>
    <w:p w14:paraId="02E68EB9" w14:textId="316D3216" w:rsidR="00095D06" w:rsidRPr="00A021B5" w:rsidRDefault="00EB4FB7" w:rsidP="008C4E07">
      <w:pPr>
        <w:spacing w:after="0"/>
        <w:ind w:firstLine="284"/>
        <w:jc w:val="left"/>
        <w:rPr>
          <w:rFonts w:ascii="Garamond" w:hAnsi="Garamond"/>
          <w:i/>
          <w:iCs/>
          <w:sz w:val="24"/>
        </w:rPr>
      </w:pPr>
      <w:bookmarkStart w:id="32" w:name="_Toc208840998"/>
      <w:r w:rsidRPr="00A021B5">
        <w:rPr>
          <w:rFonts w:ascii="Garamond" w:hAnsi="Garamond"/>
          <w:i/>
          <w:sz w:val="24"/>
        </w:rPr>
        <w:t>Figur</w:t>
      </w:r>
      <w:r w:rsidR="00095D06" w:rsidRPr="00A021B5">
        <w:rPr>
          <w:rFonts w:ascii="Garamond" w:hAnsi="Garamond"/>
          <w:i/>
          <w:sz w:val="24"/>
        </w:rPr>
        <w:t>a</w:t>
      </w:r>
      <w:r w:rsidRPr="00A021B5">
        <w:rPr>
          <w:rFonts w:ascii="Garamond" w:hAnsi="Garamond"/>
          <w:i/>
          <w:sz w:val="24"/>
        </w:rPr>
        <w:t xml:space="preserve"> </w:t>
      </w:r>
      <w:r w:rsidR="00B430D5" w:rsidRPr="00A021B5">
        <w:rPr>
          <w:rFonts w:ascii="Garamond" w:hAnsi="Garamond"/>
          <w:i/>
          <w:sz w:val="24"/>
        </w:rPr>
        <w:fldChar w:fldCharType="begin"/>
      </w:r>
      <w:r w:rsidR="00B430D5" w:rsidRPr="00A021B5">
        <w:rPr>
          <w:rFonts w:ascii="Garamond" w:hAnsi="Garamond"/>
          <w:i/>
          <w:sz w:val="24"/>
        </w:rPr>
        <w:instrText xml:space="preserve"> STYLEREF 1 \s </w:instrText>
      </w:r>
      <w:r w:rsidR="00B430D5" w:rsidRPr="00A021B5">
        <w:rPr>
          <w:rFonts w:ascii="Garamond" w:hAnsi="Garamond"/>
          <w:i/>
          <w:sz w:val="24"/>
        </w:rPr>
        <w:fldChar w:fldCharType="separate"/>
      </w:r>
      <w:r w:rsidR="001F0E3E" w:rsidRPr="00A021B5">
        <w:rPr>
          <w:rFonts w:ascii="Garamond" w:hAnsi="Garamond"/>
          <w:i/>
          <w:sz w:val="24"/>
        </w:rPr>
        <w:t>3</w:t>
      </w:r>
      <w:r w:rsidR="00B430D5" w:rsidRPr="00A021B5">
        <w:rPr>
          <w:rFonts w:ascii="Garamond" w:hAnsi="Garamond"/>
          <w:i/>
          <w:sz w:val="24"/>
        </w:rPr>
        <w:fldChar w:fldCharType="end"/>
      </w:r>
      <w:r w:rsidR="001F0E3E" w:rsidRPr="00A021B5">
        <w:rPr>
          <w:rFonts w:ascii="Garamond" w:hAnsi="Garamond"/>
          <w:i/>
          <w:sz w:val="24"/>
        </w:rPr>
        <w:t>-</w:t>
      </w:r>
      <w:r w:rsidR="00B1396F" w:rsidRPr="00A021B5">
        <w:rPr>
          <w:rFonts w:ascii="Garamond" w:hAnsi="Garamond"/>
          <w:i/>
          <w:sz w:val="24"/>
        </w:rPr>
        <w:t>3</w:t>
      </w:r>
      <w:r w:rsidRPr="00A021B5">
        <w:rPr>
          <w:rFonts w:ascii="Garamond" w:hAnsi="Garamond"/>
          <w:i/>
          <w:sz w:val="24"/>
        </w:rPr>
        <w:t xml:space="preserve">: </w:t>
      </w:r>
      <w:r w:rsidR="00095D06" w:rsidRPr="00A021B5">
        <w:rPr>
          <w:rFonts w:ascii="Garamond" w:hAnsi="Garamond"/>
          <w:i/>
          <w:iCs/>
          <w:sz w:val="24"/>
        </w:rPr>
        <w:t>Aksidentet e përdoruesve të rrugës (sipas kategorisë së përdoruesve), 2021</w:t>
      </w:r>
      <w:r w:rsidR="004A2DE0" w:rsidRPr="00A021B5">
        <w:rPr>
          <w:rFonts w:ascii="Garamond" w:hAnsi="Garamond"/>
          <w:i/>
          <w:sz w:val="24"/>
        </w:rPr>
        <w:t>–</w:t>
      </w:r>
      <w:r w:rsidR="00095D06" w:rsidRPr="00A021B5">
        <w:rPr>
          <w:rFonts w:ascii="Garamond" w:hAnsi="Garamond"/>
          <w:i/>
          <w:iCs/>
          <w:sz w:val="24"/>
        </w:rPr>
        <w:t>2024</w:t>
      </w:r>
      <w:bookmarkEnd w:id="32"/>
    </w:p>
    <w:p w14:paraId="2137EA47" w14:textId="6762EAF8" w:rsidR="00363E33" w:rsidRPr="00B907A3" w:rsidRDefault="00095D06" w:rsidP="008C4E07">
      <w:pPr>
        <w:spacing w:after="0"/>
        <w:ind w:firstLine="284"/>
        <w:jc w:val="left"/>
        <w:rPr>
          <w:rFonts w:ascii="Garamond" w:hAnsi="Garamond"/>
          <w:sz w:val="24"/>
          <w:lang w:eastAsia="pl-PL"/>
        </w:rPr>
      </w:pPr>
      <w:r w:rsidRPr="00B907A3">
        <w:rPr>
          <w:rFonts w:ascii="Garamond" w:hAnsi="Garamond"/>
          <w:iCs/>
          <w:sz w:val="24"/>
        </w:rPr>
        <w:t xml:space="preserve">(Burimi: Ministria e </w:t>
      </w:r>
      <w:r w:rsidR="00696BD9" w:rsidRPr="00B907A3">
        <w:rPr>
          <w:rFonts w:ascii="Garamond" w:hAnsi="Garamond"/>
          <w:iCs/>
          <w:sz w:val="24"/>
        </w:rPr>
        <w:t xml:space="preserve">Punëve të </w:t>
      </w:r>
      <w:r w:rsidRPr="00B907A3">
        <w:rPr>
          <w:rFonts w:ascii="Garamond" w:hAnsi="Garamond"/>
          <w:iCs/>
          <w:sz w:val="24"/>
        </w:rPr>
        <w:t>Brendshme</w:t>
      </w:r>
      <w:r w:rsidR="00675114" w:rsidRPr="00B907A3">
        <w:rPr>
          <w:rFonts w:ascii="Garamond" w:eastAsia="Calibri" w:hAnsi="Garamond"/>
          <w:iCs/>
          <w:sz w:val="24"/>
          <w:lang w:eastAsia="en-US"/>
        </w:rPr>
        <w:t>)</w:t>
      </w:r>
      <w:r w:rsidR="00EC35A8" w:rsidRPr="00B907A3">
        <w:rPr>
          <w:rFonts w:ascii="Garamond" w:hAnsi="Garamond"/>
          <w:sz w:val="24"/>
          <w:lang w:eastAsia="pl-PL"/>
        </w:rPr>
        <w:t xml:space="preserve"> </w:t>
      </w:r>
    </w:p>
    <w:p w14:paraId="4376D087" w14:textId="56DEFBF1" w:rsidR="006339CB" w:rsidRPr="00B907A3" w:rsidRDefault="00A03CA0" w:rsidP="008C4E07">
      <w:pPr>
        <w:spacing w:after="0"/>
        <w:ind w:firstLine="284"/>
        <w:jc w:val="left"/>
        <w:rPr>
          <w:rFonts w:ascii="Garamond" w:hAnsi="Garamond"/>
          <w:sz w:val="24"/>
          <w:lang w:eastAsia="pl-PL"/>
        </w:rPr>
      </w:pPr>
      <w:r w:rsidRPr="00B907A3">
        <w:rPr>
          <w:rFonts w:ascii="Garamond" w:hAnsi="Garamond"/>
          <w:noProof/>
          <w:sz w:val="24"/>
          <w:lang w:eastAsia="sq-AL"/>
        </w:rPr>
        <w:drawing>
          <wp:inline distT="0" distB="0" distL="0" distR="0" wp14:anchorId="5F24B05A" wp14:editId="39C85E86">
            <wp:extent cx="4993005" cy="24263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3005" cy="2426335"/>
                    </a:xfrm>
                    <a:prstGeom prst="rect">
                      <a:avLst/>
                    </a:prstGeom>
                    <a:noFill/>
                  </pic:spPr>
                </pic:pic>
              </a:graphicData>
            </a:graphic>
          </wp:inline>
        </w:drawing>
      </w:r>
    </w:p>
    <w:p w14:paraId="4BAC84F8" w14:textId="76C34D11" w:rsidR="002D476A" w:rsidRPr="00B907A3" w:rsidRDefault="00095D06"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 xml:space="preserve">Nuk ka dyshim se </w:t>
      </w:r>
      <w:r w:rsidR="00230266" w:rsidRPr="00B907A3">
        <w:rPr>
          <w:rFonts w:ascii="Garamond" w:hAnsi="Garamond"/>
          <w:sz w:val="24"/>
          <w:lang w:val="sq-AL" w:eastAsia="sl-SI"/>
        </w:rPr>
        <w:t xml:space="preserve">drejtuesit e mjeteve </w:t>
      </w:r>
      <w:r w:rsidRPr="00B907A3">
        <w:rPr>
          <w:rFonts w:ascii="Garamond" w:hAnsi="Garamond"/>
          <w:sz w:val="24"/>
          <w:lang w:val="sq-AL" w:eastAsia="sl-SI"/>
        </w:rPr>
        <w:t>dallohen në statistikat e aksidenteve dhe se sjellja e tyre pasqyrohet në statistikat në lidhje me viktimat e aksidenteve rrugore</w:t>
      </w:r>
      <w:r w:rsidR="00441154" w:rsidRPr="00B907A3">
        <w:rPr>
          <w:rFonts w:ascii="Garamond" w:hAnsi="Garamond"/>
          <w:sz w:val="24"/>
          <w:lang w:val="sq-AL" w:eastAsia="sl-SI"/>
        </w:rPr>
        <w:t xml:space="preserve">, </w:t>
      </w:r>
      <w:r w:rsidRPr="00B907A3">
        <w:rPr>
          <w:rFonts w:ascii="Garamond" w:hAnsi="Garamond"/>
          <w:sz w:val="24"/>
          <w:lang w:val="sq-AL" w:eastAsia="sl-SI"/>
        </w:rPr>
        <w:t>pasagjerët e përfshirë. Është vërtetuar se faktorët më të zakonshëm të r</w:t>
      </w:r>
      <w:r w:rsidR="00230266" w:rsidRPr="00B907A3">
        <w:rPr>
          <w:rFonts w:ascii="Garamond" w:hAnsi="Garamond"/>
          <w:sz w:val="24"/>
          <w:lang w:val="sq-AL" w:eastAsia="sl-SI"/>
        </w:rPr>
        <w:t xml:space="preserve">iskut </w:t>
      </w:r>
      <w:r w:rsidRPr="00B907A3">
        <w:rPr>
          <w:rFonts w:ascii="Garamond" w:hAnsi="Garamond"/>
          <w:sz w:val="24"/>
          <w:lang w:val="sq-AL" w:eastAsia="sl-SI"/>
        </w:rPr>
        <w:t xml:space="preserve">për aksidentet rrugore janë karakteristikat e </w:t>
      </w:r>
      <w:r w:rsidR="00230266" w:rsidRPr="00B907A3">
        <w:rPr>
          <w:rFonts w:ascii="Garamond" w:hAnsi="Garamond"/>
          <w:sz w:val="24"/>
          <w:lang w:val="sq-AL" w:eastAsia="sl-SI"/>
        </w:rPr>
        <w:t>drejtuesve t</w:t>
      </w:r>
      <w:r w:rsidR="00230266" w:rsidRPr="00B907A3">
        <w:rPr>
          <w:rFonts w:ascii="Garamond" w:hAnsi="Garamond"/>
          <w:sz w:val="24"/>
          <w:shd w:val="clear" w:color="auto" w:fill="FFFFFF"/>
          <w:lang w:val="sq-AL"/>
        </w:rPr>
        <w:t>ë mjeteve</w:t>
      </w:r>
      <w:r w:rsidRPr="00B907A3">
        <w:rPr>
          <w:rFonts w:ascii="Garamond" w:hAnsi="Garamond"/>
          <w:sz w:val="24"/>
          <w:lang w:val="sq-AL" w:eastAsia="sl-SI"/>
        </w:rPr>
        <w:t xml:space="preserve">, d.m.th., sjellja e </w:t>
      </w:r>
      <w:r w:rsidR="00230266" w:rsidRPr="00B907A3">
        <w:rPr>
          <w:rFonts w:ascii="Garamond" w:hAnsi="Garamond"/>
          <w:sz w:val="24"/>
          <w:lang w:val="sq-AL" w:eastAsia="sl-SI"/>
        </w:rPr>
        <w:t>tyre</w:t>
      </w:r>
      <w:r w:rsidR="00363E33" w:rsidRPr="00B907A3">
        <w:rPr>
          <w:rFonts w:ascii="Garamond" w:hAnsi="Garamond"/>
          <w:sz w:val="24"/>
          <w:lang w:val="sq-AL" w:eastAsia="sl-SI"/>
        </w:rPr>
        <w:t xml:space="preserve">. </w:t>
      </w:r>
    </w:p>
    <w:p w14:paraId="47C5D1B3" w14:textId="5B252E29" w:rsidR="00363E33" w:rsidRPr="00B907A3" w:rsidRDefault="00A03CA0" w:rsidP="008C4E07">
      <w:pPr>
        <w:pStyle w:val="NormalWeb"/>
        <w:shd w:val="clear" w:color="auto" w:fill="E2EFD9" w:themeFill="accent6" w:themeFillTint="33"/>
        <w:spacing w:line="240" w:lineRule="auto"/>
        <w:ind w:firstLine="284"/>
        <w:jc w:val="both"/>
        <w:rPr>
          <w:rFonts w:ascii="Garamond" w:hAnsi="Garamond"/>
          <w:b/>
          <w:i/>
          <w:sz w:val="24"/>
          <w:lang w:val="sq-AL" w:eastAsia="sl-SI"/>
        </w:rPr>
      </w:pPr>
      <w:r w:rsidRPr="00B907A3">
        <w:rPr>
          <w:rFonts w:ascii="Garamond" w:hAnsi="Garamond"/>
          <w:b/>
          <w:i/>
          <w:sz w:val="24"/>
          <w:lang w:val="sq-AL" w:eastAsia="sl-SI"/>
        </w:rPr>
        <w:t xml:space="preserve">- </w:t>
      </w:r>
      <w:r w:rsidR="00095D06" w:rsidRPr="00B907A3">
        <w:rPr>
          <w:rFonts w:ascii="Garamond" w:hAnsi="Garamond"/>
          <w:b/>
          <w:i/>
          <w:sz w:val="24"/>
          <w:lang w:val="sq-AL" w:eastAsia="sl-SI"/>
        </w:rPr>
        <w:t>Faktorët kryesorë që kontribuojnë në numrin e përplasjeve dhe</w:t>
      </w:r>
      <w:r w:rsidR="00230266" w:rsidRPr="00B907A3">
        <w:rPr>
          <w:rFonts w:ascii="Garamond" w:hAnsi="Garamond"/>
          <w:b/>
          <w:i/>
          <w:sz w:val="24"/>
          <w:lang w:val="sq-AL" w:eastAsia="sl-SI"/>
        </w:rPr>
        <w:t xml:space="preserve"> shkallën e </w:t>
      </w:r>
      <w:r w:rsidR="00095D06" w:rsidRPr="00B907A3">
        <w:rPr>
          <w:rFonts w:ascii="Garamond" w:hAnsi="Garamond"/>
          <w:b/>
          <w:i/>
          <w:sz w:val="24"/>
          <w:lang w:val="sq-AL" w:eastAsia="sl-SI"/>
        </w:rPr>
        <w:t>lëndimeve janë shpejtësia, drejtimi i pakujdesshëm, drejtimi i makinës në gjendje të dehur (</w:t>
      </w:r>
      <w:r w:rsidR="00230266" w:rsidRPr="00B907A3">
        <w:rPr>
          <w:rFonts w:ascii="Garamond" w:hAnsi="Garamond"/>
          <w:b/>
          <w:i/>
          <w:sz w:val="24"/>
          <w:lang w:val="sq-AL" w:eastAsia="sl-SI"/>
        </w:rPr>
        <w:t xml:space="preserve">nën efektin e </w:t>
      </w:r>
      <w:r w:rsidR="00095D06" w:rsidRPr="00B907A3">
        <w:rPr>
          <w:rFonts w:ascii="Garamond" w:hAnsi="Garamond"/>
          <w:b/>
          <w:i/>
          <w:sz w:val="24"/>
          <w:lang w:val="sq-AL" w:eastAsia="sl-SI"/>
        </w:rPr>
        <w:t>alkool</w:t>
      </w:r>
      <w:r w:rsidR="00230266" w:rsidRPr="00B907A3">
        <w:rPr>
          <w:rFonts w:ascii="Garamond" w:hAnsi="Garamond"/>
          <w:b/>
          <w:i/>
          <w:sz w:val="24"/>
          <w:lang w:val="sq-AL" w:eastAsia="sl-SI"/>
        </w:rPr>
        <w:t>it</w:t>
      </w:r>
      <w:r w:rsidR="00095D06" w:rsidRPr="00B907A3">
        <w:rPr>
          <w:rFonts w:ascii="Garamond" w:hAnsi="Garamond"/>
          <w:b/>
          <w:i/>
          <w:sz w:val="24"/>
          <w:lang w:val="sq-AL" w:eastAsia="sl-SI"/>
        </w:rPr>
        <w:t>, droga</w:t>
      </w:r>
      <w:r w:rsidR="00230266" w:rsidRPr="00B907A3">
        <w:rPr>
          <w:rFonts w:ascii="Garamond" w:hAnsi="Garamond"/>
          <w:b/>
          <w:i/>
          <w:sz w:val="24"/>
          <w:lang w:val="sq-AL" w:eastAsia="sl-SI"/>
        </w:rPr>
        <w:t>ve</w:t>
      </w:r>
      <w:r w:rsidR="00095D06" w:rsidRPr="00B907A3">
        <w:rPr>
          <w:rFonts w:ascii="Garamond" w:hAnsi="Garamond"/>
          <w:b/>
          <w:i/>
          <w:sz w:val="24"/>
          <w:lang w:val="sq-AL" w:eastAsia="sl-SI"/>
        </w:rPr>
        <w:t xml:space="preserve"> të paligjshme dhe substanca të tjera psikoaktive), përdorimi i telefonave celularë gjatë drejtimit, përdorimi i ulët i rripit të sigurimit dhe </w:t>
      </w:r>
      <w:r w:rsidR="00230266" w:rsidRPr="00B907A3">
        <w:rPr>
          <w:rFonts w:ascii="Garamond" w:hAnsi="Garamond"/>
          <w:b/>
          <w:i/>
          <w:sz w:val="24"/>
          <w:lang w:val="sq-AL" w:eastAsia="sl-SI"/>
        </w:rPr>
        <w:t xml:space="preserve">kokores </w:t>
      </w:r>
      <w:r w:rsidR="00095D06" w:rsidRPr="00B907A3">
        <w:rPr>
          <w:rFonts w:ascii="Garamond" w:hAnsi="Garamond"/>
          <w:b/>
          <w:i/>
          <w:sz w:val="24"/>
          <w:lang w:val="sq-AL" w:eastAsia="sl-SI"/>
        </w:rPr>
        <w:t xml:space="preserve">dhe sjelljet e </w:t>
      </w:r>
      <w:r w:rsidR="00F36AB4" w:rsidRPr="00B907A3">
        <w:rPr>
          <w:rFonts w:ascii="Garamond" w:hAnsi="Garamond"/>
          <w:b/>
          <w:i/>
          <w:sz w:val="24"/>
          <w:lang w:val="sq-AL" w:eastAsia="sl-SI"/>
        </w:rPr>
        <w:t>rrezikshme</w:t>
      </w:r>
      <w:r w:rsidR="00095D06" w:rsidRPr="00B907A3">
        <w:rPr>
          <w:rFonts w:ascii="Garamond" w:hAnsi="Garamond"/>
          <w:b/>
          <w:i/>
          <w:sz w:val="24"/>
          <w:lang w:val="sq-AL" w:eastAsia="sl-SI"/>
        </w:rPr>
        <w:t xml:space="preserve"> të përdoruesve të rrugës</w:t>
      </w:r>
      <w:r w:rsidR="00363E33" w:rsidRPr="00B907A3">
        <w:rPr>
          <w:rFonts w:ascii="Garamond" w:hAnsi="Garamond"/>
          <w:b/>
          <w:i/>
          <w:sz w:val="24"/>
          <w:lang w:val="sq-AL" w:eastAsia="sl-SI"/>
        </w:rPr>
        <w:t xml:space="preserve">. </w:t>
      </w:r>
    </w:p>
    <w:p w14:paraId="0B0AA82E" w14:textId="0E3388C9" w:rsidR="00363E33" w:rsidRPr="00B907A3" w:rsidRDefault="00095D06"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 xml:space="preserve">Lidhur me </w:t>
      </w:r>
      <w:r w:rsidR="00230266" w:rsidRPr="00B907A3">
        <w:rPr>
          <w:rFonts w:ascii="Garamond" w:hAnsi="Garamond"/>
          <w:sz w:val="24"/>
          <w:lang w:val="sq-AL" w:eastAsia="sl-SI"/>
        </w:rPr>
        <w:t>drejtuesit e mjeteve</w:t>
      </w:r>
      <w:r w:rsidRPr="00B907A3">
        <w:rPr>
          <w:rFonts w:ascii="Garamond" w:hAnsi="Garamond"/>
          <w:sz w:val="24"/>
          <w:lang w:val="sq-AL" w:eastAsia="sl-SI"/>
        </w:rPr>
        <w:t>, është e rëndësishme</w:t>
      </w:r>
      <w:r w:rsidR="00887CC6">
        <w:rPr>
          <w:rFonts w:ascii="Garamond" w:hAnsi="Garamond"/>
          <w:sz w:val="24"/>
          <w:lang w:val="sq-AL" w:eastAsia="sl-SI"/>
        </w:rPr>
        <w:t xml:space="preserve"> </w:t>
      </w:r>
      <w:r w:rsidR="007951BD">
        <w:rPr>
          <w:rFonts w:ascii="Garamond" w:hAnsi="Garamond"/>
          <w:sz w:val="24"/>
          <w:lang w:val="sq-AL" w:eastAsia="sl-SI"/>
        </w:rPr>
        <w:t>t’i</w:t>
      </w:r>
      <w:r w:rsidR="00887CC6">
        <w:rPr>
          <w:rFonts w:ascii="Garamond" w:hAnsi="Garamond"/>
          <w:sz w:val="24"/>
          <w:lang w:val="sq-AL" w:eastAsia="sl-SI"/>
        </w:rPr>
        <w:t xml:space="preserve"> </w:t>
      </w:r>
      <w:r w:rsidRPr="00B907A3">
        <w:rPr>
          <w:rFonts w:ascii="Garamond" w:hAnsi="Garamond"/>
          <w:sz w:val="24"/>
          <w:lang w:val="sq-AL" w:eastAsia="sl-SI"/>
        </w:rPr>
        <w:t xml:space="preserve">jepet përparësi edukimit dhe parandalimit si për </w:t>
      </w:r>
      <w:r w:rsidR="00230266" w:rsidRPr="00B907A3">
        <w:rPr>
          <w:rFonts w:ascii="Garamond" w:hAnsi="Garamond"/>
          <w:sz w:val="24"/>
          <w:lang w:val="sq-AL" w:eastAsia="sl-SI"/>
        </w:rPr>
        <w:t xml:space="preserve">drejtuesit e </w:t>
      </w:r>
      <w:r w:rsidRPr="00B907A3">
        <w:rPr>
          <w:rFonts w:ascii="Garamond" w:hAnsi="Garamond"/>
          <w:sz w:val="24"/>
          <w:lang w:val="sq-AL" w:eastAsia="sl-SI"/>
        </w:rPr>
        <w:t xml:space="preserve">rinj ashtu edhe për ata më të vjetër. </w:t>
      </w:r>
      <w:r w:rsidR="00230266" w:rsidRPr="00B907A3">
        <w:rPr>
          <w:rFonts w:ascii="Garamond" w:hAnsi="Garamond"/>
          <w:sz w:val="24"/>
          <w:lang w:val="sq-AL" w:eastAsia="sl-SI"/>
        </w:rPr>
        <w:t xml:space="preserve">Drejtuesit </w:t>
      </w:r>
      <w:r w:rsidRPr="00B907A3">
        <w:rPr>
          <w:rFonts w:ascii="Garamond" w:hAnsi="Garamond"/>
          <w:sz w:val="24"/>
          <w:lang w:val="sq-AL" w:eastAsia="sl-SI"/>
        </w:rPr>
        <w:t xml:space="preserve">e rinj shpesh përfshihen në më shumë aksidente për shkak të mungesës së përvojës dhe tendencës më të madhe për të marrë </w:t>
      </w:r>
      <w:r w:rsidR="00230266" w:rsidRPr="00B907A3">
        <w:rPr>
          <w:rFonts w:ascii="Garamond" w:hAnsi="Garamond"/>
          <w:sz w:val="24"/>
          <w:lang w:val="sq-AL" w:eastAsia="sl-SI"/>
        </w:rPr>
        <w:t>risqe</w:t>
      </w:r>
      <w:r w:rsidRPr="00B907A3">
        <w:rPr>
          <w:rFonts w:ascii="Garamond" w:hAnsi="Garamond"/>
          <w:sz w:val="24"/>
          <w:lang w:val="sq-AL" w:eastAsia="sl-SI"/>
        </w:rPr>
        <w:t xml:space="preserve">. </w:t>
      </w:r>
      <w:r w:rsidR="00230266" w:rsidRPr="00B907A3">
        <w:rPr>
          <w:rFonts w:ascii="Garamond" w:hAnsi="Garamond"/>
          <w:sz w:val="24"/>
          <w:lang w:val="sq-AL" w:eastAsia="sl-SI"/>
        </w:rPr>
        <w:t xml:space="preserve">Drejtuesit </w:t>
      </w:r>
      <w:r w:rsidRPr="00B907A3">
        <w:rPr>
          <w:rFonts w:ascii="Garamond" w:hAnsi="Garamond"/>
          <w:sz w:val="24"/>
          <w:lang w:val="sq-AL" w:eastAsia="sl-SI"/>
        </w:rPr>
        <w:t xml:space="preserve">më të vjetër mund të jenë më të </w:t>
      </w:r>
      <w:r w:rsidR="00F36AB4" w:rsidRPr="00B907A3">
        <w:rPr>
          <w:rFonts w:ascii="Garamond" w:hAnsi="Garamond"/>
          <w:sz w:val="24"/>
          <w:lang w:val="sq-AL" w:eastAsia="sl-SI"/>
        </w:rPr>
        <w:t>rrezikuar</w:t>
      </w:r>
      <w:r w:rsidRPr="00B907A3">
        <w:rPr>
          <w:rFonts w:ascii="Garamond" w:hAnsi="Garamond"/>
          <w:sz w:val="24"/>
          <w:lang w:val="sq-AL" w:eastAsia="sl-SI"/>
        </w:rPr>
        <w:t xml:space="preserve"> për shkak të rënies fizike ose </w:t>
      </w:r>
      <w:r w:rsidR="007E1664" w:rsidRPr="00B907A3">
        <w:rPr>
          <w:rFonts w:ascii="Garamond" w:hAnsi="Garamond"/>
          <w:sz w:val="24"/>
          <w:lang w:val="sq-AL" w:eastAsia="sl-SI"/>
        </w:rPr>
        <w:t xml:space="preserve">konjitive </w:t>
      </w:r>
      <w:r w:rsidRPr="00B907A3">
        <w:rPr>
          <w:rFonts w:ascii="Garamond" w:hAnsi="Garamond"/>
          <w:sz w:val="24"/>
          <w:lang w:val="sq-AL" w:eastAsia="sl-SI"/>
        </w:rPr>
        <w:t>që lidhet me moshën. K</w:t>
      </w:r>
      <w:r w:rsidR="007E1664" w:rsidRPr="00B907A3">
        <w:rPr>
          <w:rFonts w:ascii="Garamond" w:hAnsi="Garamond"/>
          <w:sz w:val="24"/>
          <w:lang w:val="sq-AL" w:eastAsia="sl-SI"/>
        </w:rPr>
        <w:t xml:space="preserve">jo </w:t>
      </w:r>
      <w:r w:rsidRPr="00B907A3">
        <w:rPr>
          <w:rFonts w:ascii="Garamond" w:hAnsi="Garamond"/>
          <w:sz w:val="24"/>
          <w:lang w:val="sq-AL" w:eastAsia="sl-SI"/>
        </w:rPr>
        <w:t xml:space="preserve">është një çështje gjithnjë e më e rëndësishme pasi numri i </w:t>
      </w:r>
      <w:r w:rsidR="007E1664" w:rsidRPr="00B907A3">
        <w:rPr>
          <w:rFonts w:ascii="Garamond" w:hAnsi="Garamond"/>
          <w:sz w:val="24"/>
          <w:lang w:val="sq-AL" w:eastAsia="sl-SI"/>
        </w:rPr>
        <w:t>drejtuesve m</w:t>
      </w:r>
      <w:r w:rsidRPr="00B907A3">
        <w:rPr>
          <w:rFonts w:ascii="Garamond" w:hAnsi="Garamond"/>
          <w:sz w:val="24"/>
          <w:lang w:val="sq-AL" w:eastAsia="sl-SI"/>
        </w:rPr>
        <w:t xml:space="preserve">ë të vjetër vazhdon të rritet. </w:t>
      </w:r>
      <w:r w:rsidR="007E1664" w:rsidRPr="00B907A3">
        <w:rPr>
          <w:rFonts w:ascii="Garamond" w:hAnsi="Garamond"/>
          <w:sz w:val="24"/>
          <w:lang w:val="sq-AL" w:eastAsia="sl-SI"/>
        </w:rPr>
        <w:t>Rrezikimi i</w:t>
      </w:r>
      <w:r w:rsidRPr="00B907A3">
        <w:rPr>
          <w:rFonts w:ascii="Garamond" w:hAnsi="Garamond"/>
          <w:sz w:val="24"/>
          <w:lang w:val="sq-AL" w:eastAsia="sl-SI"/>
        </w:rPr>
        <w:t xml:space="preserve"> këmbësorëve, motoçiklistëve dhe çiklistëve në aspektin e vdekjeve në rrugë është veçanërisht </w:t>
      </w:r>
      <w:r w:rsidR="007E1664" w:rsidRPr="00B907A3">
        <w:rPr>
          <w:rFonts w:ascii="Garamond" w:hAnsi="Garamond"/>
          <w:sz w:val="24"/>
          <w:lang w:val="sq-AL" w:eastAsia="sl-SI"/>
        </w:rPr>
        <w:t>i</w:t>
      </w:r>
      <w:r w:rsidRPr="00B907A3">
        <w:rPr>
          <w:rFonts w:ascii="Garamond" w:hAnsi="Garamond"/>
          <w:sz w:val="24"/>
          <w:lang w:val="sq-AL" w:eastAsia="sl-SI"/>
        </w:rPr>
        <w:t xml:space="preserve"> duksh</w:t>
      </w:r>
      <w:r w:rsidR="007E1664" w:rsidRPr="00B907A3">
        <w:rPr>
          <w:rFonts w:ascii="Garamond" w:hAnsi="Garamond"/>
          <w:sz w:val="24"/>
          <w:lang w:val="sq-AL" w:eastAsia="sl-SI"/>
        </w:rPr>
        <w:t>ë</w:t>
      </w:r>
      <w:r w:rsidRPr="00B907A3">
        <w:rPr>
          <w:rFonts w:ascii="Garamond" w:hAnsi="Garamond"/>
          <w:sz w:val="24"/>
          <w:lang w:val="sq-AL" w:eastAsia="sl-SI"/>
        </w:rPr>
        <w:t xml:space="preserve">m. Këto grupe përbëjnë më shumë se 55% të numrit të përgjithshëm të vdekjeve në rrugë. Këmbësorët, motoçiklistët dhe çiklistët përbëjnë gjithashtu më shumë se 45% të të lënduarve. Përdoruesit </w:t>
      </w:r>
      <w:r w:rsidR="007E1664" w:rsidRPr="00B907A3">
        <w:rPr>
          <w:rFonts w:ascii="Garamond" w:hAnsi="Garamond"/>
          <w:sz w:val="24"/>
          <w:lang w:val="sq-AL" w:eastAsia="sl-SI"/>
        </w:rPr>
        <w:t xml:space="preserve">e </w:t>
      </w:r>
      <w:r w:rsidR="004A2DE0" w:rsidRPr="00B907A3">
        <w:rPr>
          <w:rFonts w:ascii="Garamond" w:hAnsi="Garamond"/>
          <w:sz w:val="24"/>
          <w:lang w:val="sq-AL" w:eastAsia="sl-SI"/>
        </w:rPr>
        <w:t>rrezikuar</w:t>
      </w:r>
      <w:r w:rsidR="007E1664" w:rsidRPr="00B907A3">
        <w:rPr>
          <w:rFonts w:ascii="Garamond" w:hAnsi="Garamond"/>
          <w:sz w:val="24"/>
          <w:lang w:val="sq-AL" w:eastAsia="sl-SI"/>
        </w:rPr>
        <w:t xml:space="preserve"> të </w:t>
      </w:r>
      <w:r w:rsidRPr="00B907A3">
        <w:rPr>
          <w:rFonts w:ascii="Garamond" w:hAnsi="Garamond"/>
          <w:sz w:val="24"/>
          <w:lang w:val="sq-AL" w:eastAsia="sl-SI"/>
        </w:rPr>
        <w:t>rrugës po përballen me më shumë rreziqe në rrugë, prandaj është e rëndësishme të përqendrohemi në mbrojtjen e atyre që janë më të ekspozuar dhe më pak të mbrojtur</w:t>
      </w:r>
      <w:r w:rsidR="00363E33" w:rsidRPr="00B907A3">
        <w:rPr>
          <w:rFonts w:ascii="Garamond" w:hAnsi="Garamond"/>
          <w:sz w:val="24"/>
          <w:lang w:val="sq-AL" w:eastAsia="sl-SI"/>
        </w:rPr>
        <w:t>.</w:t>
      </w:r>
    </w:p>
    <w:p w14:paraId="0AEC9A61" w14:textId="7DF26C12" w:rsidR="00627CF9" w:rsidRPr="004A2DE0" w:rsidRDefault="00EB4FB7" w:rsidP="008C4E07">
      <w:pPr>
        <w:spacing w:after="0"/>
        <w:ind w:firstLine="284"/>
        <w:jc w:val="left"/>
        <w:rPr>
          <w:rFonts w:ascii="Garamond" w:hAnsi="Garamond"/>
          <w:i/>
          <w:iCs/>
          <w:sz w:val="24"/>
        </w:rPr>
      </w:pPr>
      <w:bookmarkStart w:id="33" w:name="_Toc208840999"/>
      <w:r w:rsidRPr="004A2DE0">
        <w:rPr>
          <w:rFonts w:ascii="Garamond" w:hAnsi="Garamond"/>
          <w:i/>
          <w:sz w:val="24"/>
        </w:rPr>
        <w:t>Figur</w:t>
      </w:r>
      <w:r w:rsidR="00627CF9" w:rsidRPr="004A2DE0">
        <w:rPr>
          <w:rFonts w:ascii="Garamond" w:hAnsi="Garamond"/>
          <w:i/>
          <w:sz w:val="24"/>
        </w:rPr>
        <w:t>a</w:t>
      </w:r>
      <w:r w:rsidRPr="004A2DE0">
        <w:rPr>
          <w:rFonts w:ascii="Garamond" w:hAnsi="Garamond"/>
          <w:i/>
          <w:sz w:val="24"/>
        </w:rPr>
        <w:t xml:space="preserve"> </w:t>
      </w:r>
      <w:r w:rsidR="00B430D5" w:rsidRPr="004A2DE0">
        <w:rPr>
          <w:rFonts w:ascii="Garamond" w:hAnsi="Garamond"/>
          <w:i/>
          <w:sz w:val="24"/>
        </w:rPr>
        <w:fldChar w:fldCharType="begin"/>
      </w:r>
      <w:r w:rsidR="00B430D5" w:rsidRPr="004A2DE0">
        <w:rPr>
          <w:rFonts w:ascii="Garamond" w:hAnsi="Garamond"/>
          <w:i/>
          <w:sz w:val="24"/>
        </w:rPr>
        <w:instrText xml:space="preserve"> STYLEREF 1 \s </w:instrText>
      </w:r>
      <w:r w:rsidR="00B430D5" w:rsidRPr="004A2DE0">
        <w:rPr>
          <w:rFonts w:ascii="Garamond" w:hAnsi="Garamond"/>
          <w:i/>
          <w:sz w:val="24"/>
        </w:rPr>
        <w:fldChar w:fldCharType="separate"/>
      </w:r>
      <w:r w:rsidR="00BE78CB" w:rsidRPr="004A2DE0">
        <w:rPr>
          <w:rFonts w:ascii="Garamond" w:hAnsi="Garamond"/>
          <w:i/>
          <w:sz w:val="24"/>
        </w:rPr>
        <w:t>3</w:t>
      </w:r>
      <w:r w:rsidR="00B430D5" w:rsidRPr="004A2DE0">
        <w:rPr>
          <w:rFonts w:ascii="Garamond" w:hAnsi="Garamond"/>
          <w:i/>
          <w:sz w:val="24"/>
        </w:rPr>
        <w:fldChar w:fldCharType="end"/>
      </w:r>
      <w:r w:rsidR="00B430D5" w:rsidRPr="004A2DE0">
        <w:rPr>
          <w:rFonts w:ascii="Garamond" w:hAnsi="Garamond"/>
          <w:i/>
          <w:sz w:val="24"/>
        </w:rPr>
        <w:noBreakHyphen/>
      </w:r>
      <w:r w:rsidR="00B1396F" w:rsidRPr="004A2DE0">
        <w:rPr>
          <w:rFonts w:ascii="Garamond" w:hAnsi="Garamond"/>
          <w:i/>
          <w:sz w:val="24"/>
        </w:rPr>
        <w:t>4</w:t>
      </w:r>
      <w:r w:rsidR="004A2DE0" w:rsidRPr="004A2DE0">
        <w:rPr>
          <w:rFonts w:ascii="Garamond" w:hAnsi="Garamond"/>
          <w:i/>
          <w:sz w:val="24"/>
        </w:rPr>
        <w:t>.</w:t>
      </w:r>
      <w:r w:rsidRPr="004A2DE0">
        <w:rPr>
          <w:rFonts w:ascii="Garamond" w:hAnsi="Garamond"/>
          <w:i/>
          <w:sz w:val="24"/>
        </w:rPr>
        <w:t xml:space="preserve"> </w:t>
      </w:r>
      <w:r w:rsidR="002D5B86" w:rsidRPr="004A2DE0">
        <w:rPr>
          <w:rFonts w:ascii="Garamond" w:hAnsi="Garamond"/>
          <w:i/>
          <w:sz w:val="24"/>
        </w:rPr>
        <w:t>Fatalit</w:t>
      </w:r>
      <w:r w:rsidR="00627CF9" w:rsidRPr="004A2DE0">
        <w:rPr>
          <w:rFonts w:ascii="Garamond" w:hAnsi="Garamond"/>
          <w:i/>
          <w:iCs/>
          <w:sz w:val="24"/>
        </w:rPr>
        <w:t>et</w:t>
      </w:r>
      <w:r w:rsidR="00B51855" w:rsidRPr="004A2DE0">
        <w:rPr>
          <w:rFonts w:ascii="Garamond" w:hAnsi="Garamond"/>
          <w:i/>
          <w:iCs/>
          <w:sz w:val="24"/>
        </w:rPr>
        <w:t>et</w:t>
      </w:r>
      <w:r w:rsidR="00627CF9" w:rsidRPr="004A2DE0">
        <w:rPr>
          <w:rFonts w:ascii="Garamond" w:hAnsi="Garamond"/>
          <w:i/>
          <w:iCs/>
          <w:sz w:val="24"/>
        </w:rPr>
        <w:t xml:space="preserve"> e përdoruesve të rrugës, 2021</w:t>
      </w:r>
      <w:r w:rsidR="004A2DE0" w:rsidRPr="004A2DE0">
        <w:rPr>
          <w:rFonts w:ascii="Garamond" w:hAnsi="Garamond"/>
          <w:i/>
          <w:sz w:val="24"/>
        </w:rPr>
        <w:t>–</w:t>
      </w:r>
      <w:r w:rsidR="00627CF9" w:rsidRPr="004A2DE0">
        <w:rPr>
          <w:rFonts w:ascii="Garamond" w:hAnsi="Garamond"/>
          <w:i/>
          <w:iCs/>
          <w:sz w:val="24"/>
        </w:rPr>
        <w:t>2024</w:t>
      </w:r>
      <w:bookmarkEnd w:id="33"/>
    </w:p>
    <w:p w14:paraId="03729BC3" w14:textId="77777777" w:rsidR="00A03CA0" w:rsidRPr="00B907A3" w:rsidRDefault="00627CF9" w:rsidP="004A2DE0">
      <w:pPr>
        <w:spacing w:after="0"/>
        <w:ind w:firstLine="284"/>
        <w:rPr>
          <w:rFonts w:ascii="Garamond" w:hAnsi="Garamond"/>
          <w:iCs/>
          <w:sz w:val="24"/>
        </w:rPr>
      </w:pPr>
      <w:r w:rsidRPr="00B907A3">
        <w:rPr>
          <w:rFonts w:ascii="Garamond" w:hAnsi="Garamond"/>
          <w:iCs/>
          <w:sz w:val="24"/>
        </w:rPr>
        <w:t xml:space="preserve">(Burimi: Ministria e </w:t>
      </w:r>
      <w:r w:rsidR="00696BD9" w:rsidRPr="00B907A3">
        <w:rPr>
          <w:rFonts w:ascii="Garamond" w:hAnsi="Garamond"/>
          <w:iCs/>
          <w:sz w:val="24"/>
        </w:rPr>
        <w:t xml:space="preserve">Punëve të </w:t>
      </w:r>
      <w:r w:rsidRPr="00B907A3">
        <w:rPr>
          <w:rFonts w:ascii="Garamond" w:hAnsi="Garamond"/>
          <w:iCs/>
          <w:sz w:val="24"/>
        </w:rPr>
        <w:t>Brendshme</w:t>
      </w:r>
      <w:r w:rsidR="000C1AD6" w:rsidRPr="00B907A3">
        <w:rPr>
          <w:rFonts w:ascii="Garamond" w:eastAsia="Calibri" w:hAnsi="Garamond"/>
          <w:iCs/>
          <w:sz w:val="24"/>
          <w:lang w:eastAsia="en-US"/>
        </w:rPr>
        <w:t>)</w:t>
      </w:r>
    </w:p>
    <w:p w14:paraId="058183AB" w14:textId="3C18188D" w:rsidR="00363E33" w:rsidRPr="00B907A3" w:rsidRDefault="00B317AC" w:rsidP="008C4E07">
      <w:pPr>
        <w:spacing w:after="0"/>
        <w:ind w:firstLine="284"/>
        <w:jc w:val="center"/>
        <w:rPr>
          <w:rFonts w:ascii="Garamond" w:eastAsia="Calibri" w:hAnsi="Garamond"/>
          <w:i/>
          <w:iCs/>
          <w:sz w:val="24"/>
          <w:lang w:eastAsia="en-US"/>
        </w:rPr>
      </w:pPr>
      <w:r w:rsidRPr="00B907A3">
        <w:rPr>
          <w:rFonts w:ascii="Garamond" w:hAnsi="Garamond"/>
          <w:noProof/>
          <w:sz w:val="24"/>
          <w:lang w:eastAsia="sq-AL"/>
        </w:rPr>
        <w:lastRenderedPageBreak/>
        <w:drawing>
          <wp:inline distT="0" distB="0" distL="0" distR="0" wp14:anchorId="1A4208FD" wp14:editId="31188F94">
            <wp:extent cx="5397500" cy="3505200"/>
            <wp:effectExtent l="0" t="0" r="0" b="0"/>
            <wp:docPr id="8" name="Grafikon 8">
              <a:extLst xmlns:a="http://schemas.openxmlformats.org/drawingml/2006/main">
                <a:ext uri="{FF2B5EF4-FFF2-40B4-BE49-F238E27FC236}">
                  <a16:creationId xmlns:a16="http://schemas.microsoft.com/office/drawing/2014/main" id="{1AC0AB41-2EA9-9773-BDBB-5360B92AEB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C39DD24" w14:textId="77777777" w:rsidR="0052467D" w:rsidRPr="00B907A3" w:rsidRDefault="0052467D" w:rsidP="008C4E07">
      <w:pPr>
        <w:spacing w:after="0"/>
        <w:ind w:firstLine="284"/>
        <w:rPr>
          <w:rFonts w:ascii="Garamond" w:hAnsi="Garamond"/>
          <w:iCs/>
          <w:sz w:val="24"/>
        </w:rPr>
      </w:pPr>
    </w:p>
    <w:p w14:paraId="6C34557E" w14:textId="77777777" w:rsidR="00A03CA0" w:rsidRPr="00B907A3" w:rsidRDefault="00A03CA0" w:rsidP="008C4E07">
      <w:pPr>
        <w:spacing w:after="0"/>
        <w:ind w:firstLine="284"/>
        <w:jc w:val="left"/>
        <w:rPr>
          <w:rFonts w:ascii="Garamond" w:hAnsi="Garamond"/>
          <w:sz w:val="24"/>
        </w:rPr>
      </w:pPr>
      <w:bookmarkStart w:id="34" w:name="_Toc208841000"/>
    </w:p>
    <w:p w14:paraId="681FB61E" w14:textId="2131C747" w:rsidR="00627CF9" w:rsidRPr="004A2DE0" w:rsidRDefault="00EB4FB7" w:rsidP="008C4E07">
      <w:pPr>
        <w:spacing w:after="0"/>
        <w:ind w:firstLine="284"/>
        <w:jc w:val="left"/>
        <w:rPr>
          <w:rFonts w:ascii="Garamond" w:hAnsi="Garamond"/>
          <w:i/>
          <w:sz w:val="24"/>
        </w:rPr>
      </w:pPr>
      <w:r w:rsidRPr="004A2DE0">
        <w:rPr>
          <w:rFonts w:ascii="Garamond" w:hAnsi="Garamond"/>
          <w:i/>
          <w:sz w:val="24"/>
        </w:rPr>
        <w:t>Figur</w:t>
      </w:r>
      <w:r w:rsidR="00627CF9" w:rsidRPr="004A2DE0">
        <w:rPr>
          <w:rFonts w:ascii="Garamond" w:hAnsi="Garamond"/>
          <w:i/>
          <w:sz w:val="24"/>
        </w:rPr>
        <w:t>a</w:t>
      </w:r>
      <w:r w:rsidRPr="004A2DE0">
        <w:rPr>
          <w:rFonts w:ascii="Garamond" w:hAnsi="Garamond"/>
          <w:i/>
          <w:sz w:val="24"/>
        </w:rPr>
        <w:t xml:space="preserve"> </w:t>
      </w:r>
      <w:r w:rsidR="00B430D5" w:rsidRPr="004A2DE0">
        <w:rPr>
          <w:rFonts w:ascii="Garamond" w:hAnsi="Garamond"/>
          <w:i/>
          <w:sz w:val="24"/>
        </w:rPr>
        <w:fldChar w:fldCharType="begin"/>
      </w:r>
      <w:r w:rsidR="00B430D5" w:rsidRPr="004A2DE0">
        <w:rPr>
          <w:rFonts w:ascii="Garamond" w:hAnsi="Garamond"/>
          <w:i/>
          <w:sz w:val="24"/>
        </w:rPr>
        <w:instrText xml:space="preserve"> STYLEREF 1 \s </w:instrText>
      </w:r>
      <w:r w:rsidR="00B430D5" w:rsidRPr="004A2DE0">
        <w:rPr>
          <w:rFonts w:ascii="Garamond" w:hAnsi="Garamond"/>
          <w:i/>
          <w:sz w:val="24"/>
        </w:rPr>
        <w:fldChar w:fldCharType="separate"/>
      </w:r>
      <w:r w:rsidR="00BE78CB" w:rsidRPr="004A2DE0">
        <w:rPr>
          <w:rFonts w:ascii="Garamond" w:hAnsi="Garamond"/>
          <w:i/>
          <w:sz w:val="24"/>
        </w:rPr>
        <w:t>3</w:t>
      </w:r>
      <w:r w:rsidR="00B430D5" w:rsidRPr="004A2DE0">
        <w:rPr>
          <w:rFonts w:ascii="Garamond" w:hAnsi="Garamond"/>
          <w:i/>
          <w:sz w:val="24"/>
        </w:rPr>
        <w:fldChar w:fldCharType="end"/>
      </w:r>
      <w:r w:rsidR="00B430D5" w:rsidRPr="004A2DE0">
        <w:rPr>
          <w:rFonts w:ascii="Garamond" w:hAnsi="Garamond"/>
          <w:i/>
          <w:sz w:val="24"/>
        </w:rPr>
        <w:noBreakHyphen/>
      </w:r>
      <w:r w:rsidR="00B1396F" w:rsidRPr="004A2DE0">
        <w:rPr>
          <w:rFonts w:ascii="Garamond" w:hAnsi="Garamond"/>
          <w:i/>
          <w:sz w:val="24"/>
        </w:rPr>
        <w:t>5</w:t>
      </w:r>
      <w:r w:rsidR="004A2DE0" w:rsidRPr="004A2DE0">
        <w:rPr>
          <w:rFonts w:ascii="Garamond" w:hAnsi="Garamond"/>
          <w:i/>
          <w:sz w:val="24"/>
        </w:rPr>
        <w:t>.</w:t>
      </w:r>
      <w:r w:rsidRPr="004A2DE0">
        <w:rPr>
          <w:rFonts w:ascii="Garamond" w:hAnsi="Garamond"/>
          <w:i/>
          <w:sz w:val="24"/>
        </w:rPr>
        <w:t xml:space="preserve"> </w:t>
      </w:r>
      <w:r w:rsidR="00627CF9" w:rsidRPr="004A2DE0">
        <w:rPr>
          <w:rFonts w:ascii="Garamond" w:hAnsi="Garamond"/>
          <w:i/>
          <w:iCs/>
          <w:sz w:val="24"/>
        </w:rPr>
        <w:t>Lëndime të rënda dhe të lehta të përdoruesve të rrugës, 2021</w:t>
      </w:r>
      <w:r w:rsidR="004A2DE0" w:rsidRPr="004A2DE0">
        <w:rPr>
          <w:rFonts w:ascii="Garamond" w:hAnsi="Garamond"/>
          <w:i/>
          <w:sz w:val="24"/>
        </w:rPr>
        <w:t>–</w:t>
      </w:r>
      <w:r w:rsidR="00627CF9" w:rsidRPr="004A2DE0">
        <w:rPr>
          <w:rFonts w:ascii="Garamond" w:hAnsi="Garamond"/>
          <w:i/>
          <w:iCs/>
          <w:sz w:val="24"/>
        </w:rPr>
        <w:t>2024</w:t>
      </w:r>
      <w:bookmarkEnd w:id="34"/>
    </w:p>
    <w:p w14:paraId="311FFB1A" w14:textId="2B6F4E7F" w:rsidR="00BD2674" w:rsidRPr="00B907A3" w:rsidRDefault="00627CF9" w:rsidP="008C4E07">
      <w:pPr>
        <w:spacing w:after="0"/>
        <w:ind w:firstLine="284"/>
        <w:jc w:val="left"/>
        <w:rPr>
          <w:rFonts w:ascii="Garamond" w:eastAsia="Calibri" w:hAnsi="Garamond"/>
          <w:iCs/>
          <w:sz w:val="24"/>
          <w:lang w:eastAsia="en-US"/>
        </w:rPr>
      </w:pPr>
      <w:r w:rsidRPr="00B907A3">
        <w:rPr>
          <w:rFonts w:ascii="Garamond" w:hAnsi="Garamond"/>
          <w:iCs/>
          <w:sz w:val="24"/>
        </w:rPr>
        <w:t xml:space="preserve">(Burimi: Ministria e </w:t>
      </w:r>
      <w:r w:rsidR="00696BD9" w:rsidRPr="00B907A3">
        <w:rPr>
          <w:rFonts w:ascii="Garamond" w:hAnsi="Garamond"/>
          <w:iCs/>
          <w:sz w:val="24"/>
        </w:rPr>
        <w:t xml:space="preserve">Punëve të </w:t>
      </w:r>
      <w:r w:rsidRPr="00B907A3">
        <w:rPr>
          <w:rFonts w:ascii="Garamond" w:hAnsi="Garamond"/>
          <w:iCs/>
          <w:sz w:val="24"/>
        </w:rPr>
        <w:t>Brendshme</w:t>
      </w:r>
      <w:r w:rsidR="000C1AD6" w:rsidRPr="00B907A3">
        <w:rPr>
          <w:rFonts w:ascii="Garamond" w:eastAsia="Calibri" w:hAnsi="Garamond"/>
          <w:iCs/>
          <w:sz w:val="24"/>
          <w:lang w:eastAsia="en-US"/>
        </w:rPr>
        <w:t>)</w:t>
      </w:r>
    </w:p>
    <w:p w14:paraId="682323D1" w14:textId="77777777" w:rsidR="008C4E07" w:rsidRPr="00B907A3" w:rsidRDefault="008C4E07" w:rsidP="008C4E07">
      <w:pPr>
        <w:spacing w:after="0"/>
        <w:ind w:firstLine="284"/>
        <w:jc w:val="left"/>
        <w:rPr>
          <w:rFonts w:ascii="Garamond" w:eastAsia="Calibri" w:hAnsi="Garamond"/>
          <w:iCs/>
          <w:sz w:val="24"/>
          <w:lang w:eastAsia="en-US"/>
        </w:rPr>
      </w:pPr>
    </w:p>
    <w:p w14:paraId="565B5AA8" w14:textId="00DCC937" w:rsidR="00363E33" w:rsidRPr="00B907A3" w:rsidRDefault="00363E33" w:rsidP="008C4E07">
      <w:pPr>
        <w:spacing w:after="0"/>
        <w:ind w:firstLine="284"/>
        <w:jc w:val="center"/>
        <w:rPr>
          <w:rFonts w:ascii="Garamond" w:eastAsia="Calibri" w:hAnsi="Garamond"/>
          <w:sz w:val="24"/>
        </w:rPr>
      </w:pPr>
      <w:r w:rsidRPr="00B907A3">
        <w:rPr>
          <w:rFonts w:ascii="Garamond" w:hAnsi="Garamond"/>
          <w:noProof/>
          <w:sz w:val="24"/>
          <w:lang w:eastAsia="sq-AL"/>
        </w:rPr>
        <w:drawing>
          <wp:inline distT="0" distB="0" distL="0" distR="0" wp14:anchorId="49FD7B5E" wp14:editId="2CB037E2">
            <wp:extent cx="5384800" cy="3448050"/>
            <wp:effectExtent l="0" t="0" r="6350" b="0"/>
            <wp:docPr id="24" name="Grafikon 24">
              <a:extLst xmlns:a="http://schemas.openxmlformats.org/drawingml/2006/main">
                <a:ext uri="{FF2B5EF4-FFF2-40B4-BE49-F238E27FC236}">
                  <a16:creationId xmlns:a16="http://schemas.microsoft.com/office/drawing/2014/main" id="{7CC9FFE6-B591-B6EC-50F2-5A18D21670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B1CC6E" w14:textId="018C4B39" w:rsidR="00363E33" w:rsidRPr="00B907A3" w:rsidRDefault="00627CF9" w:rsidP="008C4E07">
      <w:pPr>
        <w:spacing w:after="0"/>
        <w:ind w:firstLine="284"/>
        <w:rPr>
          <w:rFonts w:ascii="Garamond" w:hAnsi="Garamond"/>
          <w:sz w:val="24"/>
          <w:lang w:eastAsia="sl-SI"/>
        </w:rPr>
      </w:pPr>
      <w:r w:rsidRPr="00B907A3">
        <w:rPr>
          <w:rFonts w:ascii="Garamond" w:hAnsi="Garamond"/>
          <w:sz w:val="24"/>
          <w:lang w:eastAsia="sl-SI"/>
        </w:rPr>
        <w:t>Aksidentet rrugore ndikohen nga sjelljet e pasigurta si të</w:t>
      </w:r>
      <w:r w:rsidR="00940D8A" w:rsidRPr="00B907A3">
        <w:rPr>
          <w:rFonts w:ascii="Garamond" w:hAnsi="Garamond"/>
          <w:sz w:val="24"/>
          <w:lang w:eastAsia="sl-SI"/>
        </w:rPr>
        <w:t xml:space="preserve"> drejtuesve të mjeteve </w:t>
      </w:r>
      <w:r w:rsidRPr="00B907A3">
        <w:rPr>
          <w:rFonts w:ascii="Garamond" w:hAnsi="Garamond"/>
          <w:sz w:val="24"/>
          <w:lang w:eastAsia="sl-SI"/>
        </w:rPr>
        <w:t xml:space="preserve">ashtu edhe të përdoruesve të </w:t>
      </w:r>
      <w:r w:rsidR="00940D8A" w:rsidRPr="00B907A3">
        <w:rPr>
          <w:rFonts w:ascii="Garamond" w:hAnsi="Garamond"/>
          <w:sz w:val="24"/>
          <w:lang w:eastAsia="sl-SI"/>
        </w:rPr>
        <w:t xml:space="preserve">rrezikuar të </w:t>
      </w:r>
      <w:r w:rsidRPr="00B907A3">
        <w:rPr>
          <w:rFonts w:ascii="Garamond" w:hAnsi="Garamond"/>
          <w:sz w:val="24"/>
          <w:lang w:eastAsia="sl-SI"/>
        </w:rPr>
        <w:t xml:space="preserve">rrugës. Ekzistojnë disa faktorë kryesorë që kontribuojnë në këtë, duke përfshirë një mungesë të përgjithshme të respektit të ndërsjellë dhe durimit midis llojeve të ndryshme të përdoruesve të rrugës, një shpërfillje për sigurinë personale dhe sigurinë e të tjerëve që ndajnë rrugën, një shpërfillje </w:t>
      </w:r>
      <w:r w:rsidR="00940D8A" w:rsidRPr="00B907A3">
        <w:rPr>
          <w:rFonts w:ascii="Garamond" w:hAnsi="Garamond"/>
          <w:sz w:val="24"/>
          <w:lang w:eastAsia="sl-SI"/>
        </w:rPr>
        <w:t>me dashje e</w:t>
      </w:r>
      <w:r w:rsidRPr="00B907A3">
        <w:rPr>
          <w:rFonts w:ascii="Garamond" w:hAnsi="Garamond"/>
          <w:sz w:val="24"/>
          <w:lang w:eastAsia="sl-SI"/>
        </w:rPr>
        <w:t xml:space="preserve"> rregullave dhe </w:t>
      </w:r>
      <w:r w:rsidR="00940D8A" w:rsidRPr="00B907A3">
        <w:rPr>
          <w:rFonts w:ascii="Garamond" w:hAnsi="Garamond"/>
          <w:sz w:val="24"/>
          <w:lang w:eastAsia="sl-SI"/>
        </w:rPr>
        <w:t>sinjalistikës së qarkullimit rrugor</w:t>
      </w:r>
      <w:r w:rsidRPr="00B907A3">
        <w:rPr>
          <w:rFonts w:ascii="Garamond" w:hAnsi="Garamond"/>
          <w:sz w:val="24"/>
          <w:lang w:eastAsia="sl-SI"/>
        </w:rPr>
        <w:t xml:space="preserve">, </w:t>
      </w:r>
      <w:r w:rsidR="00940D8A" w:rsidRPr="00B907A3">
        <w:rPr>
          <w:rFonts w:ascii="Garamond" w:hAnsi="Garamond"/>
          <w:sz w:val="24"/>
          <w:lang w:eastAsia="sl-SI"/>
        </w:rPr>
        <w:t xml:space="preserve">mos-kuptueshmëria apo </w:t>
      </w:r>
      <w:r w:rsidRPr="00B907A3">
        <w:rPr>
          <w:rFonts w:ascii="Garamond" w:hAnsi="Garamond"/>
          <w:sz w:val="24"/>
          <w:lang w:eastAsia="sl-SI"/>
        </w:rPr>
        <w:t>menaxh</w:t>
      </w:r>
      <w:r w:rsidR="00940D8A" w:rsidRPr="00B907A3">
        <w:rPr>
          <w:rFonts w:ascii="Garamond" w:hAnsi="Garamond"/>
          <w:sz w:val="24"/>
          <w:lang w:eastAsia="sl-SI"/>
        </w:rPr>
        <w:t xml:space="preserve">imi </w:t>
      </w:r>
      <w:r w:rsidRPr="00B907A3">
        <w:rPr>
          <w:rFonts w:ascii="Garamond" w:hAnsi="Garamond"/>
          <w:sz w:val="24"/>
          <w:lang w:eastAsia="sl-SI"/>
        </w:rPr>
        <w:t xml:space="preserve">plotësisht </w:t>
      </w:r>
      <w:r w:rsidR="00940D8A" w:rsidRPr="00B907A3">
        <w:rPr>
          <w:rFonts w:ascii="Garamond" w:hAnsi="Garamond"/>
          <w:sz w:val="24"/>
          <w:lang w:eastAsia="sl-SI"/>
        </w:rPr>
        <w:t>i ri</w:t>
      </w:r>
      <w:r w:rsidR="000072F3" w:rsidRPr="00B907A3">
        <w:rPr>
          <w:rFonts w:ascii="Garamond" w:hAnsi="Garamond"/>
          <w:sz w:val="24"/>
          <w:lang w:eastAsia="sl-SI"/>
        </w:rPr>
        <w:t>s</w:t>
      </w:r>
      <w:r w:rsidR="00940D8A" w:rsidRPr="00B907A3">
        <w:rPr>
          <w:rFonts w:ascii="Garamond" w:hAnsi="Garamond"/>
          <w:sz w:val="24"/>
          <w:lang w:eastAsia="sl-SI"/>
        </w:rPr>
        <w:t xml:space="preserve">qeve lidhur me </w:t>
      </w:r>
      <w:r w:rsidRPr="00B907A3">
        <w:rPr>
          <w:rFonts w:ascii="Garamond" w:hAnsi="Garamond"/>
          <w:sz w:val="24"/>
          <w:lang w:eastAsia="sl-SI"/>
        </w:rPr>
        <w:t xml:space="preserve">përdorimin e rrugës, </w:t>
      </w:r>
      <w:r w:rsidR="00940D8A" w:rsidRPr="00B907A3">
        <w:rPr>
          <w:rFonts w:ascii="Garamond" w:hAnsi="Garamond"/>
          <w:sz w:val="24"/>
          <w:lang w:eastAsia="sl-SI"/>
        </w:rPr>
        <w:t xml:space="preserve">për rrjedhojë </w:t>
      </w:r>
      <w:r w:rsidRPr="00B907A3">
        <w:rPr>
          <w:rFonts w:ascii="Garamond" w:hAnsi="Garamond"/>
          <w:sz w:val="24"/>
          <w:lang w:eastAsia="sl-SI"/>
        </w:rPr>
        <w:t xml:space="preserve">mungesa e ndërgjegjësimit </w:t>
      </w:r>
      <w:r w:rsidRPr="00B907A3">
        <w:rPr>
          <w:rFonts w:ascii="Garamond" w:hAnsi="Garamond"/>
          <w:sz w:val="24"/>
          <w:lang w:eastAsia="sl-SI"/>
        </w:rPr>
        <w:lastRenderedPageBreak/>
        <w:t>dhe një tendencë për</w:t>
      </w:r>
      <w:r w:rsidR="00887CC6">
        <w:rPr>
          <w:rFonts w:ascii="Garamond" w:hAnsi="Garamond"/>
          <w:sz w:val="24"/>
          <w:lang w:eastAsia="sl-SI"/>
        </w:rPr>
        <w:t xml:space="preserve"> </w:t>
      </w:r>
      <w:r w:rsidR="007951BD">
        <w:rPr>
          <w:rFonts w:ascii="Garamond" w:hAnsi="Garamond"/>
          <w:sz w:val="24"/>
          <w:lang w:eastAsia="sl-SI"/>
        </w:rPr>
        <w:t>t’</w:t>
      </w:r>
      <w:r w:rsidR="004A2DE0">
        <w:rPr>
          <w:rFonts w:ascii="Garamond" w:hAnsi="Garamond"/>
          <w:sz w:val="24"/>
          <w:lang w:eastAsia="sl-SI"/>
        </w:rPr>
        <w:t>i</w:t>
      </w:r>
      <w:r w:rsidRPr="00B907A3">
        <w:rPr>
          <w:rFonts w:ascii="Garamond" w:hAnsi="Garamond"/>
          <w:sz w:val="24"/>
          <w:lang w:eastAsia="sl-SI"/>
        </w:rPr>
        <w:t xml:space="preserve">a hedhur fajin të tjerëve në vend të </w:t>
      </w:r>
      <w:r w:rsidR="00940D8A" w:rsidRPr="00B907A3">
        <w:rPr>
          <w:rFonts w:ascii="Garamond" w:hAnsi="Garamond"/>
          <w:sz w:val="24"/>
          <w:lang w:eastAsia="sl-SI"/>
        </w:rPr>
        <w:t xml:space="preserve">pranimit të </w:t>
      </w:r>
      <w:r w:rsidRPr="00B907A3">
        <w:rPr>
          <w:rFonts w:ascii="Garamond" w:hAnsi="Garamond"/>
          <w:sz w:val="24"/>
          <w:lang w:eastAsia="sl-SI"/>
        </w:rPr>
        <w:t>përgjegjësi</w:t>
      </w:r>
      <w:r w:rsidR="00940D8A" w:rsidRPr="00B907A3">
        <w:rPr>
          <w:rFonts w:ascii="Garamond" w:hAnsi="Garamond"/>
          <w:sz w:val="24"/>
          <w:lang w:eastAsia="sl-SI"/>
        </w:rPr>
        <w:t xml:space="preserve">ve </w:t>
      </w:r>
      <w:r w:rsidRPr="00B907A3">
        <w:rPr>
          <w:rFonts w:ascii="Garamond" w:hAnsi="Garamond"/>
          <w:sz w:val="24"/>
          <w:lang w:eastAsia="sl-SI"/>
        </w:rPr>
        <w:t xml:space="preserve">personale </w:t>
      </w:r>
      <w:r w:rsidR="00940D8A" w:rsidRPr="00B907A3">
        <w:rPr>
          <w:rFonts w:ascii="Garamond" w:hAnsi="Garamond"/>
          <w:sz w:val="24"/>
          <w:lang w:eastAsia="sl-SI"/>
        </w:rPr>
        <w:t>q</w:t>
      </w:r>
      <w:r w:rsidRPr="00B907A3">
        <w:rPr>
          <w:rFonts w:ascii="Garamond" w:hAnsi="Garamond"/>
          <w:sz w:val="24"/>
          <w:lang w:eastAsia="sl-SI"/>
        </w:rPr>
        <w:t>ë</w:t>
      </w:r>
      <w:r w:rsidR="00940D8A" w:rsidRPr="00B907A3">
        <w:rPr>
          <w:rFonts w:ascii="Garamond" w:hAnsi="Garamond"/>
          <w:sz w:val="24"/>
          <w:lang w:eastAsia="sl-SI"/>
        </w:rPr>
        <w:t xml:space="preserve"> </w:t>
      </w:r>
      <w:r w:rsidRPr="00B907A3">
        <w:rPr>
          <w:rFonts w:ascii="Garamond" w:hAnsi="Garamond"/>
          <w:sz w:val="24"/>
          <w:lang w:eastAsia="sl-SI"/>
        </w:rPr>
        <w:t>kontribu</w:t>
      </w:r>
      <w:r w:rsidR="00940D8A" w:rsidRPr="00B907A3">
        <w:rPr>
          <w:rFonts w:ascii="Garamond" w:hAnsi="Garamond"/>
          <w:sz w:val="24"/>
          <w:lang w:eastAsia="sl-SI"/>
        </w:rPr>
        <w:t xml:space="preserve">ojnë </w:t>
      </w:r>
      <w:r w:rsidRPr="00B907A3">
        <w:rPr>
          <w:rFonts w:ascii="Garamond" w:hAnsi="Garamond"/>
          <w:sz w:val="24"/>
          <w:lang w:eastAsia="sl-SI"/>
        </w:rPr>
        <w:t>në aksidente</w:t>
      </w:r>
      <w:r w:rsidR="00363E33" w:rsidRPr="00B907A3">
        <w:rPr>
          <w:rFonts w:ascii="Garamond" w:hAnsi="Garamond"/>
          <w:sz w:val="24"/>
          <w:lang w:eastAsia="sl-SI"/>
        </w:rPr>
        <w:t>.</w:t>
      </w:r>
    </w:p>
    <w:p w14:paraId="04FC52EF" w14:textId="06A8B1EE" w:rsidR="00363E33" w:rsidRPr="00B907A3" w:rsidRDefault="00627CF9" w:rsidP="008C4E07">
      <w:pPr>
        <w:pStyle w:val="NormalWeb"/>
        <w:spacing w:line="240" w:lineRule="auto"/>
        <w:ind w:firstLine="284"/>
        <w:jc w:val="both"/>
        <w:rPr>
          <w:rFonts w:ascii="Garamond" w:hAnsi="Garamond"/>
          <w:sz w:val="24"/>
          <w:lang w:val="sq-AL"/>
        </w:rPr>
      </w:pPr>
      <w:r w:rsidRPr="00B907A3">
        <w:rPr>
          <w:rFonts w:ascii="Garamond" w:hAnsi="Garamond"/>
          <w:sz w:val="24"/>
          <w:lang w:val="sq-AL" w:eastAsia="sl-SI"/>
        </w:rPr>
        <w:t xml:space="preserve">Duke pasur parasysh trendin drejt përmirësimit të gjendjes së automjeteve dhe infrastrukturës rrugore, </w:t>
      </w:r>
      <w:r w:rsidRPr="00B907A3">
        <w:rPr>
          <w:rFonts w:ascii="Garamond" w:hAnsi="Garamond"/>
          <w:b/>
          <w:bCs/>
          <w:sz w:val="24"/>
          <w:lang w:val="sq-AL" w:eastAsia="sl-SI"/>
        </w:rPr>
        <w:t>Strategjia</w:t>
      </w:r>
      <w:r w:rsidR="00940D8A" w:rsidRPr="00B907A3">
        <w:rPr>
          <w:rFonts w:ascii="Garamond" w:hAnsi="Garamond"/>
          <w:b/>
          <w:bCs/>
          <w:sz w:val="24"/>
          <w:lang w:val="sq-AL" w:eastAsia="sl-SI"/>
        </w:rPr>
        <w:t xml:space="preserve"> për</w:t>
      </w:r>
      <w:r w:rsidR="00940D8A" w:rsidRPr="00B907A3">
        <w:rPr>
          <w:rFonts w:ascii="Garamond" w:hAnsi="Garamond"/>
          <w:sz w:val="24"/>
          <w:lang w:val="sq-AL" w:eastAsia="sl-SI"/>
        </w:rPr>
        <w:t xml:space="preserve"> </w:t>
      </w:r>
      <w:r w:rsidRPr="00B907A3">
        <w:rPr>
          <w:rFonts w:ascii="Garamond" w:hAnsi="Garamond"/>
          <w:b/>
          <w:bCs/>
          <w:sz w:val="24"/>
          <w:lang w:val="sq-AL" w:eastAsia="sl-SI"/>
        </w:rPr>
        <w:t>Siguri</w:t>
      </w:r>
      <w:r w:rsidR="00940D8A" w:rsidRPr="00B907A3">
        <w:rPr>
          <w:rFonts w:ascii="Garamond" w:hAnsi="Garamond"/>
          <w:b/>
          <w:bCs/>
          <w:sz w:val="24"/>
          <w:lang w:val="sq-AL" w:eastAsia="sl-SI"/>
        </w:rPr>
        <w:t>n</w:t>
      </w:r>
      <w:r w:rsidRPr="00B907A3">
        <w:rPr>
          <w:rFonts w:ascii="Garamond" w:hAnsi="Garamond"/>
          <w:b/>
          <w:bCs/>
          <w:sz w:val="24"/>
          <w:lang w:val="sq-AL" w:eastAsia="sl-SI"/>
        </w:rPr>
        <w:t xml:space="preserve">ë Rrugore përqendrohet te përdoruesit më të </w:t>
      </w:r>
      <w:r w:rsidR="00940D8A" w:rsidRPr="00B907A3">
        <w:rPr>
          <w:rFonts w:ascii="Garamond" w:hAnsi="Garamond"/>
          <w:b/>
          <w:bCs/>
          <w:sz w:val="24"/>
          <w:lang w:val="sq-AL" w:eastAsia="sl-SI"/>
        </w:rPr>
        <w:t xml:space="preserve">rrezikuar </w:t>
      </w:r>
      <w:r w:rsidRPr="00B907A3">
        <w:rPr>
          <w:rFonts w:ascii="Garamond" w:hAnsi="Garamond"/>
          <w:b/>
          <w:bCs/>
          <w:sz w:val="24"/>
          <w:lang w:val="sq-AL" w:eastAsia="sl-SI"/>
        </w:rPr>
        <w:t>të rrugës, të cilëve u kushtohet gjithashtu vëmendje e veçantë në Planin e Veprimit të Strategjisë</w:t>
      </w:r>
      <w:r w:rsidRPr="00B907A3">
        <w:rPr>
          <w:rFonts w:ascii="Garamond" w:hAnsi="Garamond"/>
          <w:sz w:val="24"/>
          <w:lang w:val="sq-AL" w:eastAsia="sl-SI"/>
        </w:rPr>
        <w:t xml:space="preserve">. Ndryshe nga </w:t>
      </w:r>
      <w:r w:rsidR="00940D8A" w:rsidRPr="00B907A3">
        <w:rPr>
          <w:rFonts w:ascii="Garamond" w:hAnsi="Garamond"/>
          <w:sz w:val="24"/>
          <w:lang w:val="sq-AL" w:eastAsia="sl-SI"/>
        </w:rPr>
        <w:t xml:space="preserve">drejtuesit e mjeteve </w:t>
      </w:r>
      <w:r w:rsidRPr="00B907A3">
        <w:rPr>
          <w:rFonts w:ascii="Garamond" w:hAnsi="Garamond"/>
          <w:sz w:val="24"/>
          <w:lang w:val="sq-AL" w:eastAsia="sl-SI"/>
        </w:rPr>
        <w:t xml:space="preserve">dhe pasagjerët e </w:t>
      </w:r>
      <w:r w:rsidR="00940D8A" w:rsidRPr="00B907A3">
        <w:rPr>
          <w:rFonts w:ascii="Garamond" w:hAnsi="Garamond"/>
          <w:sz w:val="24"/>
          <w:lang w:val="sq-AL" w:eastAsia="sl-SI"/>
        </w:rPr>
        <w:t>tyre</w:t>
      </w:r>
      <w:r w:rsidRPr="00B907A3">
        <w:rPr>
          <w:rFonts w:ascii="Garamond" w:hAnsi="Garamond"/>
          <w:sz w:val="24"/>
          <w:lang w:val="sq-AL" w:eastAsia="sl-SI"/>
        </w:rPr>
        <w:t xml:space="preserve">, këmbësorët, çiklistët dhe motoçiklistët nuk kanë mbrojtje fizike në rast të një përplasjeje, duke i bërë edhe </w:t>
      </w:r>
      <w:r w:rsidR="00940D8A" w:rsidRPr="00B907A3">
        <w:rPr>
          <w:rFonts w:ascii="Garamond" w:hAnsi="Garamond"/>
          <w:sz w:val="24"/>
          <w:lang w:val="sq-AL" w:eastAsia="sl-SI"/>
        </w:rPr>
        <w:t xml:space="preserve">përplasjet </w:t>
      </w:r>
      <w:r w:rsidRPr="00B907A3">
        <w:rPr>
          <w:rFonts w:ascii="Garamond" w:hAnsi="Garamond"/>
          <w:sz w:val="24"/>
          <w:lang w:val="sq-AL" w:eastAsia="sl-SI"/>
        </w:rPr>
        <w:t>me shpejtësi të ulët potencialisht fatale.</w:t>
      </w:r>
      <w:r w:rsidR="00363E33" w:rsidRPr="00B907A3">
        <w:rPr>
          <w:sz w:val="24"/>
          <w:lang w:val="sq-AL"/>
        </w:rPr>
        <w:t>​</w:t>
      </w:r>
    </w:p>
    <w:p w14:paraId="5F064C6D" w14:textId="2A7B5071" w:rsidR="00363E33" w:rsidRPr="00B907A3" w:rsidRDefault="00A03CA0" w:rsidP="008C4E07">
      <w:pPr>
        <w:pStyle w:val="NormalWeb"/>
        <w:shd w:val="clear" w:color="auto" w:fill="E2EFD9" w:themeFill="accent6" w:themeFillTint="33"/>
        <w:spacing w:line="240" w:lineRule="auto"/>
        <w:ind w:firstLine="284"/>
        <w:jc w:val="both"/>
        <w:rPr>
          <w:rFonts w:ascii="Garamond" w:hAnsi="Garamond"/>
          <w:b/>
          <w:i/>
          <w:sz w:val="24"/>
          <w:lang w:val="sq-AL" w:eastAsia="sl-SI"/>
        </w:rPr>
      </w:pPr>
      <w:r w:rsidRPr="00B907A3">
        <w:rPr>
          <w:rFonts w:ascii="Garamond" w:hAnsi="Garamond"/>
          <w:b/>
          <w:i/>
          <w:sz w:val="24"/>
          <w:lang w:val="sq-AL" w:eastAsia="sl-SI"/>
        </w:rPr>
        <w:t xml:space="preserve">- </w:t>
      </w:r>
      <w:r w:rsidR="00627CF9" w:rsidRPr="00B907A3">
        <w:rPr>
          <w:rFonts w:ascii="Garamond" w:hAnsi="Garamond"/>
          <w:b/>
          <w:i/>
          <w:sz w:val="24"/>
          <w:lang w:val="sq-AL" w:eastAsia="sl-SI"/>
        </w:rPr>
        <w:t xml:space="preserve">Grupet </w:t>
      </w:r>
      <w:r w:rsidR="00955A3D" w:rsidRPr="00B907A3">
        <w:rPr>
          <w:rFonts w:ascii="Garamond" w:hAnsi="Garamond"/>
          <w:b/>
          <w:i/>
          <w:sz w:val="24"/>
          <w:lang w:val="sq-AL" w:eastAsia="sl-SI"/>
        </w:rPr>
        <w:t xml:space="preserve">e rrezikuara </w:t>
      </w:r>
      <w:r w:rsidR="00627CF9" w:rsidRPr="00B907A3">
        <w:rPr>
          <w:rFonts w:ascii="Garamond" w:hAnsi="Garamond"/>
          <w:b/>
          <w:i/>
          <w:sz w:val="24"/>
          <w:lang w:val="sq-AL" w:eastAsia="sl-SI"/>
        </w:rPr>
        <w:t xml:space="preserve">duhet të mbrohen më tej përmes qasjeve sistematike dhe masave të ndërhyrjes. Përdoruesit </w:t>
      </w:r>
      <w:r w:rsidR="00AA2672" w:rsidRPr="00B907A3">
        <w:rPr>
          <w:rFonts w:ascii="Garamond" w:hAnsi="Garamond"/>
          <w:b/>
          <w:i/>
          <w:sz w:val="24"/>
          <w:lang w:val="sq-AL" w:eastAsia="sl-SI"/>
        </w:rPr>
        <w:t xml:space="preserve">e rrezikuar </w:t>
      </w:r>
      <w:r w:rsidR="00627CF9" w:rsidRPr="00B907A3">
        <w:rPr>
          <w:rFonts w:ascii="Garamond" w:hAnsi="Garamond"/>
          <w:b/>
          <w:i/>
          <w:sz w:val="24"/>
          <w:lang w:val="sq-AL" w:eastAsia="sl-SI"/>
        </w:rPr>
        <w:t xml:space="preserve">të rrugës janë gjithnjë e më shumë në </w:t>
      </w:r>
      <w:r w:rsidR="00AA2672" w:rsidRPr="00B907A3">
        <w:rPr>
          <w:rFonts w:ascii="Garamond" w:hAnsi="Garamond"/>
          <w:b/>
          <w:i/>
          <w:sz w:val="24"/>
          <w:lang w:val="sq-AL" w:eastAsia="sl-SI"/>
        </w:rPr>
        <w:t xml:space="preserve">ekspozim </w:t>
      </w:r>
      <w:r w:rsidR="00955A3D" w:rsidRPr="00B907A3">
        <w:rPr>
          <w:rFonts w:ascii="Garamond" w:hAnsi="Garamond"/>
          <w:b/>
          <w:i/>
          <w:sz w:val="24"/>
          <w:lang w:val="sq-AL" w:eastAsia="sl-SI"/>
        </w:rPr>
        <w:t>ndaj riskut</w:t>
      </w:r>
      <w:r w:rsidR="00363E33" w:rsidRPr="00B907A3">
        <w:rPr>
          <w:rFonts w:ascii="Garamond" w:hAnsi="Garamond"/>
          <w:b/>
          <w:i/>
          <w:sz w:val="24"/>
          <w:lang w:val="sq-AL" w:eastAsia="sl-SI"/>
        </w:rPr>
        <w:t>.</w:t>
      </w:r>
    </w:p>
    <w:p w14:paraId="0FAED4E2" w14:textId="35259C36" w:rsidR="00363E33" w:rsidRPr="00B907A3" w:rsidRDefault="00A03CA0" w:rsidP="008C4E07">
      <w:pPr>
        <w:pStyle w:val="Heading3"/>
        <w:numPr>
          <w:ilvl w:val="0"/>
          <w:numId w:val="0"/>
        </w:numPr>
        <w:spacing w:before="0" w:after="0" w:line="240" w:lineRule="auto"/>
        <w:ind w:firstLine="284"/>
        <w:rPr>
          <w:rFonts w:ascii="Garamond" w:hAnsi="Garamond"/>
          <w:color w:val="auto"/>
          <w:lang w:val="sq-AL"/>
        </w:rPr>
      </w:pPr>
      <w:bookmarkStart w:id="35" w:name="_Toc208840566"/>
      <w:bookmarkStart w:id="36" w:name="_Toc197253701"/>
      <w:r w:rsidRPr="00B907A3">
        <w:rPr>
          <w:rFonts w:ascii="Garamond" w:hAnsi="Garamond"/>
          <w:color w:val="auto"/>
          <w:lang w:val="sq-AL"/>
        </w:rPr>
        <w:t xml:space="preserve">3.2.1 </w:t>
      </w:r>
      <w:r w:rsidR="00627CF9" w:rsidRPr="00B907A3">
        <w:rPr>
          <w:rFonts w:ascii="Garamond" w:hAnsi="Garamond"/>
          <w:color w:val="auto"/>
          <w:lang w:val="sq-AL"/>
        </w:rPr>
        <w:t xml:space="preserve">Grupet e </w:t>
      </w:r>
      <w:r w:rsidR="00641EBC" w:rsidRPr="00B907A3">
        <w:rPr>
          <w:rFonts w:ascii="Garamond" w:hAnsi="Garamond"/>
          <w:color w:val="auto"/>
          <w:lang w:val="sq-AL"/>
        </w:rPr>
        <w:t>Rrezikuara të</w:t>
      </w:r>
      <w:r w:rsidR="00641EBC" w:rsidRPr="00B907A3">
        <w:rPr>
          <w:rFonts w:ascii="Garamond" w:hAnsi="Garamond"/>
          <w:color w:val="auto"/>
          <w:lang w:val="sq-AL" w:eastAsia="sl-SI"/>
        </w:rPr>
        <w:t xml:space="preserve"> </w:t>
      </w:r>
      <w:r w:rsidR="00627CF9" w:rsidRPr="00B907A3">
        <w:rPr>
          <w:rFonts w:ascii="Garamond" w:hAnsi="Garamond"/>
          <w:color w:val="auto"/>
          <w:lang w:val="sq-AL"/>
        </w:rPr>
        <w:t>Përdoruesve të Rrugës</w:t>
      </w:r>
      <w:bookmarkEnd w:id="35"/>
      <w:r w:rsidR="00627CF9" w:rsidRPr="00B907A3">
        <w:rPr>
          <w:rFonts w:ascii="Garamond" w:hAnsi="Garamond"/>
          <w:color w:val="auto"/>
          <w:lang w:val="sq-AL"/>
        </w:rPr>
        <w:t xml:space="preserve"> </w:t>
      </w:r>
      <w:bookmarkEnd w:id="36"/>
    </w:p>
    <w:p w14:paraId="41298911" w14:textId="55B44168" w:rsidR="00363E33" w:rsidRPr="00B907A3" w:rsidRDefault="00627CF9" w:rsidP="008C4E07">
      <w:pPr>
        <w:pStyle w:val="NormalWeb"/>
        <w:spacing w:line="240" w:lineRule="auto"/>
        <w:ind w:firstLine="284"/>
        <w:jc w:val="both"/>
        <w:rPr>
          <w:rFonts w:ascii="Garamond" w:hAnsi="Garamond"/>
          <w:sz w:val="24"/>
          <w:lang w:val="sq-AL"/>
        </w:rPr>
      </w:pPr>
      <w:r w:rsidRPr="00B907A3">
        <w:rPr>
          <w:rFonts w:ascii="Garamond" w:hAnsi="Garamond"/>
          <w:sz w:val="24"/>
          <w:lang w:val="sq-AL"/>
        </w:rPr>
        <w:t xml:space="preserve">Në Shqipëri, sfidat kryesore të sigurisë rrugore përfshijnë grupe specifike të përdoruesve të rrugës me </w:t>
      </w:r>
      <w:r w:rsidR="00641EBC" w:rsidRPr="00B907A3">
        <w:rPr>
          <w:rFonts w:ascii="Garamond" w:hAnsi="Garamond"/>
          <w:sz w:val="24"/>
          <w:lang w:val="sq-AL"/>
        </w:rPr>
        <w:t xml:space="preserve">risk </w:t>
      </w:r>
      <w:r w:rsidRPr="00B907A3">
        <w:rPr>
          <w:rFonts w:ascii="Garamond" w:hAnsi="Garamond"/>
          <w:sz w:val="24"/>
          <w:lang w:val="sq-AL"/>
        </w:rPr>
        <w:t xml:space="preserve">të lartë dhe sjelljet e tyre të rrezikshme, të cilat kontribuojnë ndjeshëm në numrin e lartë të </w:t>
      </w:r>
      <w:r w:rsidR="00947F60" w:rsidRPr="00B907A3">
        <w:rPr>
          <w:rFonts w:ascii="Garamond" w:hAnsi="Garamond"/>
          <w:sz w:val="24"/>
          <w:lang w:val="sq-AL"/>
        </w:rPr>
        <w:t>fataliteteve</w:t>
      </w:r>
      <w:r w:rsidRPr="00B907A3">
        <w:rPr>
          <w:rFonts w:ascii="Garamond" w:hAnsi="Garamond"/>
          <w:sz w:val="24"/>
          <w:lang w:val="sq-AL"/>
        </w:rPr>
        <w:t xml:space="preserve"> dhe lëndimeve në aksidente rrugore</w:t>
      </w:r>
      <w:r w:rsidR="00363E33" w:rsidRPr="00B907A3">
        <w:rPr>
          <w:rFonts w:ascii="Garamond" w:hAnsi="Garamond"/>
          <w:sz w:val="24"/>
          <w:lang w:val="sq-AL"/>
        </w:rPr>
        <w:t>.</w:t>
      </w:r>
    </w:p>
    <w:p w14:paraId="717C1608" w14:textId="310B72FE" w:rsidR="00363E33" w:rsidRPr="00B907A3" w:rsidRDefault="00A03CA0"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t xml:space="preserve">3.2.1.1 </w:t>
      </w:r>
      <w:r w:rsidR="00627CF9" w:rsidRPr="00B907A3">
        <w:rPr>
          <w:rFonts w:ascii="Garamond" w:hAnsi="Garamond"/>
          <w:color w:val="auto"/>
          <w:szCs w:val="24"/>
          <w:lang w:val="sq-AL"/>
        </w:rPr>
        <w:t>Këmbësorët</w:t>
      </w:r>
      <w:r w:rsidR="00363E33" w:rsidRPr="00B907A3">
        <w:rPr>
          <w:rFonts w:ascii="Garamond" w:hAnsi="Garamond"/>
          <w:color w:val="auto"/>
          <w:szCs w:val="24"/>
          <w:lang w:val="sq-AL"/>
        </w:rPr>
        <w:t xml:space="preserve"> </w:t>
      </w:r>
    </w:p>
    <w:p w14:paraId="40662E56" w14:textId="65D37038" w:rsidR="00363E33" w:rsidRPr="00B907A3" w:rsidRDefault="00627CF9" w:rsidP="008C4E07">
      <w:pPr>
        <w:spacing w:after="0"/>
        <w:ind w:firstLine="284"/>
        <w:rPr>
          <w:rFonts w:ascii="Garamond" w:hAnsi="Garamond"/>
          <w:sz w:val="24"/>
          <w:lang w:eastAsia="sl-SI"/>
        </w:rPr>
      </w:pPr>
      <w:r w:rsidRPr="00B907A3">
        <w:rPr>
          <w:rFonts w:ascii="Garamond" w:hAnsi="Garamond"/>
          <w:sz w:val="24"/>
          <w:lang w:eastAsia="sl-SI"/>
        </w:rPr>
        <w:t xml:space="preserve">Si përdorues të pambrojtur të rrugës të ekspozuar drejtpërdrejt ndaj ndikimit të automjeteve, këmbësorët janë shumë të </w:t>
      </w:r>
      <w:r w:rsidR="00AA2672" w:rsidRPr="00B907A3">
        <w:rPr>
          <w:rFonts w:ascii="Garamond" w:hAnsi="Garamond"/>
          <w:sz w:val="24"/>
          <w:lang w:eastAsia="sl-SI"/>
        </w:rPr>
        <w:t>rrezikuar</w:t>
      </w:r>
      <w:r w:rsidRPr="00B907A3">
        <w:rPr>
          <w:rFonts w:ascii="Garamond" w:hAnsi="Garamond"/>
          <w:sz w:val="24"/>
          <w:lang w:eastAsia="sl-SI"/>
        </w:rPr>
        <w:t xml:space="preserve"> ndaj lëndimeve. Siguria e tyre varet ndjeshëm nga veprimet dhe ndërgjegjësimi i </w:t>
      </w:r>
      <w:r w:rsidR="002E0C26" w:rsidRPr="00B907A3">
        <w:rPr>
          <w:rFonts w:ascii="Garamond" w:hAnsi="Garamond"/>
          <w:sz w:val="24"/>
          <w:lang w:eastAsia="sl-SI"/>
        </w:rPr>
        <w:t>drejtuesve t</w:t>
      </w:r>
      <w:r w:rsidRPr="00B907A3">
        <w:rPr>
          <w:rFonts w:ascii="Garamond" w:hAnsi="Garamond"/>
          <w:sz w:val="24"/>
          <w:lang w:eastAsia="sl-SI"/>
        </w:rPr>
        <w:t>ë</w:t>
      </w:r>
      <w:r w:rsidR="002E0C26" w:rsidRPr="00B907A3">
        <w:rPr>
          <w:rFonts w:ascii="Garamond" w:hAnsi="Garamond"/>
          <w:sz w:val="24"/>
          <w:lang w:eastAsia="sl-SI"/>
        </w:rPr>
        <w:t xml:space="preserve"> mjeteve</w:t>
      </w:r>
      <w:r w:rsidRPr="00B907A3">
        <w:rPr>
          <w:rFonts w:ascii="Garamond" w:hAnsi="Garamond"/>
          <w:sz w:val="24"/>
          <w:lang w:eastAsia="sl-SI"/>
        </w:rPr>
        <w:t>, gjë që për fat të keq i bën ata një grup me r</w:t>
      </w:r>
      <w:r w:rsidR="0063792C" w:rsidRPr="00B907A3">
        <w:rPr>
          <w:rFonts w:ascii="Garamond" w:hAnsi="Garamond"/>
          <w:sz w:val="24"/>
          <w:lang w:eastAsia="sl-SI"/>
        </w:rPr>
        <w:t xml:space="preserve">isk </w:t>
      </w:r>
      <w:r w:rsidRPr="00B907A3">
        <w:rPr>
          <w:rFonts w:ascii="Garamond" w:hAnsi="Garamond"/>
          <w:sz w:val="24"/>
          <w:lang w:eastAsia="sl-SI"/>
        </w:rPr>
        <w:t xml:space="preserve">të lartë në mjediset e </w:t>
      </w:r>
      <w:r w:rsidR="0063792C" w:rsidRPr="00B907A3">
        <w:rPr>
          <w:rFonts w:ascii="Garamond" w:hAnsi="Garamond"/>
          <w:sz w:val="24"/>
          <w:lang w:eastAsia="sl-SI"/>
        </w:rPr>
        <w:t>qarkullimit rrugor</w:t>
      </w:r>
      <w:r w:rsidRPr="00B907A3">
        <w:rPr>
          <w:rFonts w:ascii="Garamond" w:hAnsi="Garamond"/>
          <w:sz w:val="24"/>
          <w:lang w:eastAsia="sl-SI"/>
        </w:rPr>
        <w:t xml:space="preserve">. Këmbësorët janë një grup shumë i </w:t>
      </w:r>
      <w:r w:rsidR="0063792C" w:rsidRPr="00B907A3">
        <w:rPr>
          <w:rFonts w:ascii="Garamond" w:hAnsi="Garamond"/>
          <w:sz w:val="24"/>
          <w:lang w:eastAsia="sl-SI"/>
        </w:rPr>
        <w:t xml:space="preserve">rrezikuar </w:t>
      </w:r>
      <w:r w:rsidRPr="00B907A3">
        <w:rPr>
          <w:rFonts w:ascii="Garamond" w:hAnsi="Garamond"/>
          <w:sz w:val="24"/>
          <w:lang w:eastAsia="sl-SI"/>
        </w:rPr>
        <w:t>me përqindjen më të lartë të vdekjeve në rrugë në Shqipëri (34% e vdekjeve në rrugë në vitet 2021</w:t>
      </w:r>
      <w:r w:rsidR="004A2DE0">
        <w:rPr>
          <w:rFonts w:ascii="Garamond" w:hAnsi="Garamond"/>
          <w:sz w:val="24"/>
        </w:rPr>
        <w:t>–</w:t>
      </w:r>
      <w:r w:rsidRPr="00B907A3">
        <w:rPr>
          <w:rFonts w:ascii="Garamond" w:hAnsi="Garamond"/>
          <w:sz w:val="24"/>
          <w:lang w:eastAsia="sl-SI"/>
        </w:rPr>
        <w:t>2024 ishin këmbësorë</w:t>
      </w:r>
      <w:r w:rsidR="00363E33" w:rsidRPr="00B907A3">
        <w:rPr>
          <w:rFonts w:ascii="Garamond" w:hAnsi="Garamond"/>
          <w:sz w:val="24"/>
          <w:lang w:eastAsia="sl-SI"/>
        </w:rPr>
        <w:t>).</w:t>
      </w:r>
    </w:p>
    <w:p w14:paraId="2B0C75C8" w14:textId="37925D26" w:rsidR="00363E33" w:rsidRPr="00B907A3" w:rsidRDefault="005166EF" w:rsidP="008C4E07">
      <w:pPr>
        <w:pStyle w:val="NormalWeb"/>
        <w:spacing w:line="240" w:lineRule="auto"/>
        <w:ind w:firstLine="284"/>
        <w:jc w:val="both"/>
        <w:rPr>
          <w:rFonts w:ascii="Garamond" w:hAnsi="Garamond"/>
          <w:sz w:val="24"/>
          <w:lang w:val="sq-AL"/>
        </w:rPr>
      </w:pPr>
      <w:r w:rsidRPr="00B907A3">
        <w:rPr>
          <w:rFonts w:ascii="Garamond" w:hAnsi="Garamond"/>
          <w:sz w:val="24"/>
          <w:lang w:val="sq-AL" w:eastAsia="sl-SI"/>
        </w:rPr>
        <w:t xml:space="preserve">Statistikat janë dukshëm </w:t>
      </w:r>
      <w:r w:rsidR="00AA2672" w:rsidRPr="00B907A3">
        <w:rPr>
          <w:rFonts w:ascii="Garamond" w:hAnsi="Garamond"/>
          <w:sz w:val="24"/>
          <w:lang w:val="sq-AL" w:eastAsia="sl-SI"/>
        </w:rPr>
        <w:t>tronditëse</w:t>
      </w:r>
      <w:r w:rsidRPr="00B907A3">
        <w:rPr>
          <w:rFonts w:ascii="Garamond" w:hAnsi="Garamond"/>
          <w:sz w:val="24"/>
          <w:lang w:val="sq-AL" w:eastAsia="sl-SI"/>
        </w:rPr>
        <w:t xml:space="preserve">, me një mori sjelljesh </w:t>
      </w:r>
      <w:r w:rsidR="00AA2672" w:rsidRPr="00B907A3">
        <w:rPr>
          <w:rFonts w:ascii="Garamond" w:hAnsi="Garamond"/>
          <w:sz w:val="24"/>
          <w:lang w:val="sq-AL" w:eastAsia="sl-SI"/>
        </w:rPr>
        <w:t xml:space="preserve">jo të </w:t>
      </w:r>
      <w:r w:rsidRPr="00B907A3">
        <w:rPr>
          <w:rFonts w:ascii="Garamond" w:hAnsi="Garamond"/>
          <w:sz w:val="24"/>
          <w:lang w:val="sq-AL" w:eastAsia="sl-SI"/>
        </w:rPr>
        <w:t xml:space="preserve">sigurta në </w:t>
      </w:r>
      <w:r w:rsidR="0063792C" w:rsidRPr="00B907A3">
        <w:rPr>
          <w:rFonts w:ascii="Garamond" w:hAnsi="Garamond"/>
          <w:sz w:val="24"/>
          <w:lang w:val="sq-AL" w:eastAsia="sl-SI"/>
        </w:rPr>
        <w:t xml:space="preserve">qarkullimin </w:t>
      </w:r>
      <w:r w:rsidRPr="00B907A3">
        <w:rPr>
          <w:rFonts w:ascii="Garamond" w:hAnsi="Garamond"/>
          <w:sz w:val="24"/>
          <w:lang w:val="sq-AL" w:eastAsia="sl-SI"/>
        </w:rPr>
        <w:t>rrugor të shkaktuara nga këmbësorët, për shembull, 32% nga kalimi i pakujdesshëm i rrugës (</w:t>
      </w:r>
      <w:r w:rsidR="004A2DE0">
        <w:rPr>
          <w:rFonts w:ascii="Garamond" w:hAnsi="Garamond"/>
          <w:sz w:val="24"/>
          <w:lang w:val="sq-AL" w:eastAsia="sl-SI"/>
        </w:rPr>
        <w:t>f</w:t>
      </w:r>
      <w:r w:rsidRPr="00B907A3">
        <w:rPr>
          <w:rFonts w:ascii="Garamond" w:hAnsi="Garamond"/>
          <w:sz w:val="24"/>
          <w:lang w:val="sq-AL" w:eastAsia="sl-SI"/>
        </w:rPr>
        <w:t>igura 3-7). Kalimi i pakujdesshëm i rrugë</w:t>
      </w:r>
      <w:r w:rsidR="0063792C" w:rsidRPr="00B907A3">
        <w:rPr>
          <w:rFonts w:ascii="Garamond" w:hAnsi="Garamond"/>
          <w:sz w:val="24"/>
          <w:lang w:val="sq-AL" w:eastAsia="sl-SI"/>
        </w:rPr>
        <w:t>s</w:t>
      </w:r>
      <w:r w:rsidRPr="00B907A3">
        <w:rPr>
          <w:rFonts w:ascii="Garamond" w:hAnsi="Garamond"/>
          <w:sz w:val="24"/>
          <w:lang w:val="sq-AL" w:eastAsia="sl-SI"/>
        </w:rPr>
        <w:t xml:space="preserve"> përkeqësohet nga humbja e fokusit të këmbësorëve dhe përqendrimi</w:t>
      </w:r>
      <w:r w:rsidR="0063792C" w:rsidRPr="00B907A3">
        <w:rPr>
          <w:rFonts w:ascii="Garamond" w:hAnsi="Garamond"/>
          <w:sz w:val="24"/>
          <w:lang w:val="sq-AL" w:eastAsia="sl-SI"/>
        </w:rPr>
        <w:t xml:space="preserve"> i tyre</w:t>
      </w:r>
      <w:r w:rsidRPr="00B907A3">
        <w:rPr>
          <w:rFonts w:ascii="Garamond" w:hAnsi="Garamond"/>
          <w:sz w:val="24"/>
          <w:lang w:val="sq-AL" w:eastAsia="sl-SI"/>
        </w:rPr>
        <w:t xml:space="preserve">, për shembull, </w:t>
      </w:r>
      <w:r w:rsidR="0063792C" w:rsidRPr="00B907A3">
        <w:rPr>
          <w:rFonts w:ascii="Garamond" w:hAnsi="Garamond"/>
          <w:sz w:val="24"/>
          <w:lang w:val="sq-AL" w:eastAsia="sl-SI"/>
        </w:rPr>
        <w:t xml:space="preserve">tek </w:t>
      </w:r>
      <w:r w:rsidRPr="00B907A3">
        <w:rPr>
          <w:rFonts w:ascii="Garamond" w:hAnsi="Garamond"/>
          <w:sz w:val="24"/>
          <w:lang w:val="sq-AL" w:eastAsia="sl-SI"/>
        </w:rPr>
        <w:t xml:space="preserve">pajisjet e tyre </w:t>
      </w:r>
      <w:r w:rsidR="001327B4" w:rsidRPr="00B907A3">
        <w:rPr>
          <w:rFonts w:ascii="Garamond" w:hAnsi="Garamond"/>
          <w:sz w:val="24"/>
          <w:lang w:val="sq-AL" w:eastAsia="sl-SI"/>
        </w:rPr>
        <w:t>celulare</w:t>
      </w:r>
      <w:r w:rsidRPr="00B907A3">
        <w:rPr>
          <w:rFonts w:ascii="Garamond" w:hAnsi="Garamond"/>
          <w:sz w:val="24"/>
          <w:lang w:val="sq-AL" w:eastAsia="sl-SI"/>
        </w:rPr>
        <w:t xml:space="preserve">, gjë që gjithashtu kontribuon në aksidente. Këmbësorët janë veçanërisht të </w:t>
      </w:r>
      <w:r w:rsidR="0063792C" w:rsidRPr="00B907A3">
        <w:rPr>
          <w:rFonts w:ascii="Garamond" w:hAnsi="Garamond"/>
          <w:sz w:val="24"/>
          <w:lang w:val="sq-AL" w:eastAsia="sl-SI"/>
        </w:rPr>
        <w:t xml:space="preserve">rrezikuar </w:t>
      </w:r>
      <w:r w:rsidRPr="00B907A3">
        <w:rPr>
          <w:rFonts w:ascii="Garamond" w:hAnsi="Garamond"/>
          <w:sz w:val="24"/>
          <w:lang w:val="sq-AL" w:eastAsia="sl-SI"/>
        </w:rPr>
        <w:t xml:space="preserve">në zonat urbane, ku si dendësia e </w:t>
      </w:r>
      <w:r w:rsidR="00A37D55" w:rsidRPr="00B907A3">
        <w:rPr>
          <w:rFonts w:ascii="Garamond" w:hAnsi="Garamond"/>
          <w:sz w:val="24"/>
          <w:lang w:val="sq-AL" w:eastAsia="sl-SI"/>
        </w:rPr>
        <w:t xml:space="preserve">qarkullimit </w:t>
      </w:r>
      <w:r w:rsidRPr="00B907A3">
        <w:rPr>
          <w:rFonts w:ascii="Garamond" w:hAnsi="Garamond"/>
          <w:sz w:val="24"/>
          <w:lang w:val="sq-AL" w:eastAsia="sl-SI"/>
        </w:rPr>
        <w:t>ashtu edhe aktiviteti i këmbësorëve janë të larta. Duke shtuar ndryshimin në strukturën e automjeteve, ata janë edhe më të ekspozuar ndaj lëndimeve të rënda për shkak të</w:t>
      </w:r>
      <w:r w:rsidR="00A37D55" w:rsidRPr="00B907A3">
        <w:rPr>
          <w:rFonts w:ascii="Garamond" w:hAnsi="Garamond"/>
          <w:sz w:val="24"/>
          <w:lang w:val="sq-AL" w:eastAsia="sl-SI"/>
        </w:rPr>
        <w:t xml:space="preserve"> konstruksionit </w:t>
      </w:r>
      <w:r w:rsidRPr="00B907A3">
        <w:rPr>
          <w:rFonts w:ascii="Garamond" w:hAnsi="Garamond"/>
          <w:sz w:val="24"/>
          <w:lang w:val="sq-AL" w:eastAsia="sl-SI"/>
        </w:rPr>
        <w:t xml:space="preserve">dhe masës së </w:t>
      </w:r>
      <w:r w:rsidR="00A37D55" w:rsidRPr="00B907A3">
        <w:rPr>
          <w:rFonts w:ascii="Garamond" w:hAnsi="Garamond"/>
          <w:sz w:val="24"/>
          <w:lang w:val="sq-AL" w:eastAsia="sl-SI"/>
        </w:rPr>
        <w:t>auto</w:t>
      </w:r>
      <w:r w:rsidRPr="00B907A3">
        <w:rPr>
          <w:rFonts w:ascii="Garamond" w:hAnsi="Garamond"/>
          <w:sz w:val="24"/>
          <w:lang w:val="sq-AL" w:eastAsia="sl-SI"/>
        </w:rPr>
        <w:t>m</w:t>
      </w:r>
      <w:r w:rsidR="00A37D55" w:rsidRPr="00B907A3">
        <w:rPr>
          <w:rFonts w:ascii="Garamond" w:hAnsi="Garamond"/>
          <w:sz w:val="24"/>
          <w:lang w:val="sq-AL" w:eastAsia="sl-SI"/>
        </w:rPr>
        <w:t>jetit</w:t>
      </w:r>
      <w:r w:rsidRPr="00B907A3">
        <w:rPr>
          <w:rFonts w:ascii="Garamond" w:hAnsi="Garamond"/>
          <w:sz w:val="24"/>
          <w:lang w:val="sq-AL" w:eastAsia="sl-SI"/>
        </w:rPr>
        <w:t xml:space="preserve">. Këmbësorët shpesh përfshihen në aksidente fatale për shkak të shpejtësive të rrezikshme të </w:t>
      </w:r>
      <w:r w:rsidR="00A37D55" w:rsidRPr="00B907A3">
        <w:rPr>
          <w:rFonts w:ascii="Garamond" w:hAnsi="Garamond"/>
          <w:sz w:val="24"/>
          <w:lang w:val="sq-AL" w:eastAsia="sl-SI"/>
        </w:rPr>
        <w:t xml:space="preserve">drejtuesve të mjeteve dhe </w:t>
      </w:r>
      <w:r w:rsidRPr="00B907A3">
        <w:rPr>
          <w:rFonts w:ascii="Garamond" w:hAnsi="Garamond"/>
          <w:sz w:val="24"/>
          <w:lang w:val="sq-AL" w:eastAsia="sl-SI"/>
        </w:rPr>
        <w:t xml:space="preserve">është vërejtur, se </w:t>
      </w:r>
      <w:r w:rsidR="00A37D55" w:rsidRPr="00B907A3">
        <w:rPr>
          <w:rFonts w:ascii="Garamond" w:hAnsi="Garamond"/>
          <w:sz w:val="24"/>
          <w:lang w:val="sq-AL" w:eastAsia="sl-SI"/>
        </w:rPr>
        <w:t xml:space="preserve">këta të fundit </w:t>
      </w:r>
      <w:r w:rsidRPr="00B907A3">
        <w:rPr>
          <w:rFonts w:ascii="Garamond" w:hAnsi="Garamond"/>
          <w:sz w:val="24"/>
          <w:lang w:val="sq-AL" w:eastAsia="sl-SI"/>
        </w:rPr>
        <w:t xml:space="preserve">shpesh nuk </w:t>
      </w:r>
      <w:r w:rsidR="00A37D55" w:rsidRPr="00B907A3">
        <w:rPr>
          <w:rFonts w:ascii="Garamond" w:hAnsi="Garamond"/>
          <w:sz w:val="24"/>
          <w:lang w:val="sq-AL" w:eastAsia="sl-SI"/>
        </w:rPr>
        <w:t xml:space="preserve">u </w:t>
      </w:r>
      <w:r w:rsidRPr="00B907A3">
        <w:rPr>
          <w:rFonts w:ascii="Garamond" w:hAnsi="Garamond"/>
          <w:sz w:val="24"/>
          <w:lang w:val="sq-AL" w:eastAsia="sl-SI"/>
        </w:rPr>
        <w:t>japin përparësi këmbësorë</w:t>
      </w:r>
      <w:r w:rsidR="00A37D55" w:rsidRPr="00B907A3">
        <w:rPr>
          <w:rFonts w:ascii="Garamond" w:hAnsi="Garamond"/>
          <w:sz w:val="24"/>
          <w:lang w:val="sq-AL" w:eastAsia="sl-SI"/>
        </w:rPr>
        <w:t xml:space="preserve">ve në </w:t>
      </w:r>
      <w:r w:rsidR="006D7A44" w:rsidRPr="00B907A3">
        <w:rPr>
          <w:rFonts w:ascii="Garamond" w:hAnsi="Garamond"/>
          <w:sz w:val="24"/>
          <w:lang w:val="sq-AL" w:eastAsia="sl-SI"/>
        </w:rPr>
        <w:t>vend</w:t>
      </w:r>
      <w:r w:rsidR="00A37D55" w:rsidRPr="00B907A3">
        <w:rPr>
          <w:rFonts w:ascii="Garamond" w:hAnsi="Garamond"/>
          <w:sz w:val="24"/>
          <w:lang w:val="sq-AL" w:eastAsia="sl-SI"/>
        </w:rPr>
        <w:t>kalime</w:t>
      </w:r>
      <w:r w:rsidR="006D7A44" w:rsidRPr="00B907A3">
        <w:rPr>
          <w:rFonts w:ascii="Garamond" w:hAnsi="Garamond"/>
          <w:sz w:val="24"/>
          <w:lang w:val="sq-AL" w:eastAsia="sl-SI"/>
        </w:rPr>
        <w:t xml:space="preserve">. </w:t>
      </w:r>
      <w:r w:rsidRPr="00B907A3">
        <w:rPr>
          <w:rFonts w:ascii="Garamond" w:hAnsi="Garamond"/>
          <w:sz w:val="24"/>
          <w:lang w:val="sq-AL" w:eastAsia="sl-SI"/>
        </w:rPr>
        <w:t>Këmbësorët gjithashtu shpesh përfshihen në aksidente për shkak të sjelljes së papërshtatshme dhe përdorimit të pakujdesshëm të rrug</w:t>
      </w:r>
      <w:r w:rsidR="00A37D55" w:rsidRPr="00B907A3">
        <w:rPr>
          <w:rFonts w:ascii="Garamond" w:hAnsi="Garamond"/>
          <w:sz w:val="24"/>
          <w:lang w:val="sq-AL" w:eastAsia="sl-SI"/>
        </w:rPr>
        <w:t xml:space="preserve">ës </w:t>
      </w:r>
      <w:r w:rsidRPr="00B907A3">
        <w:rPr>
          <w:rFonts w:ascii="Garamond" w:hAnsi="Garamond"/>
          <w:sz w:val="24"/>
          <w:lang w:val="sq-AL" w:eastAsia="sl-SI"/>
        </w:rPr>
        <w:t>(p.sh., kalimi i rrugës jashtë kalimeve të shën</w:t>
      </w:r>
      <w:r w:rsidR="00A37D55" w:rsidRPr="00B907A3">
        <w:rPr>
          <w:rFonts w:ascii="Garamond" w:hAnsi="Garamond"/>
          <w:sz w:val="24"/>
          <w:lang w:val="sq-AL" w:eastAsia="sl-SI"/>
        </w:rPr>
        <w:t xml:space="preserve">juara </w:t>
      </w:r>
      <w:r w:rsidRPr="00B907A3">
        <w:rPr>
          <w:rFonts w:ascii="Garamond" w:hAnsi="Garamond"/>
          <w:sz w:val="24"/>
          <w:lang w:val="sq-AL" w:eastAsia="sl-SI"/>
        </w:rPr>
        <w:t>për këmbësorë</w:t>
      </w:r>
      <w:r w:rsidR="00A37D55" w:rsidRPr="00B907A3">
        <w:rPr>
          <w:rFonts w:ascii="Garamond" w:hAnsi="Garamond"/>
          <w:sz w:val="24"/>
          <w:lang w:val="sq-AL" w:eastAsia="sl-SI"/>
        </w:rPr>
        <w:t>t</w:t>
      </w:r>
      <w:r w:rsidRPr="00B907A3">
        <w:rPr>
          <w:rFonts w:ascii="Garamond" w:hAnsi="Garamond"/>
          <w:sz w:val="24"/>
          <w:lang w:val="sq-AL" w:eastAsia="sl-SI"/>
        </w:rPr>
        <w:t>, përdorimi i telefon</w:t>
      </w:r>
      <w:r w:rsidR="00A37D55" w:rsidRPr="00B907A3">
        <w:rPr>
          <w:rFonts w:ascii="Garamond" w:hAnsi="Garamond"/>
          <w:sz w:val="24"/>
          <w:lang w:val="sq-AL" w:eastAsia="sl-SI"/>
        </w:rPr>
        <w:t xml:space="preserve">ave </w:t>
      </w:r>
      <w:r w:rsidRPr="00B907A3">
        <w:rPr>
          <w:rFonts w:ascii="Garamond" w:hAnsi="Garamond"/>
          <w:sz w:val="24"/>
          <w:lang w:val="sq-AL" w:eastAsia="sl-SI"/>
        </w:rPr>
        <w:t>celular</w:t>
      </w:r>
      <w:r w:rsidR="00A37D55" w:rsidRPr="00B907A3">
        <w:rPr>
          <w:rFonts w:ascii="Garamond" w:hAnsi="Garamond"/>
          <w:sz w:val="24"/>
          <w:lang w:val="sq-AL" w:eastAsia="sl-SI"/>
        </w:rPr>
        <w:t>ë</w:t>
      </w:r>
      <w:r w:rsidRPr="00B907A3">
        <w:rPr>
          <w:rFonts w:ascii="Garamond" w:hAnsi="Garamond"/>
          <w:sz w:val="24"/>
          <w:lang w:val="sq-AL" w:eastAsia="sl-SI"/>
        </w:rPr>
        <w:t xml:space="preserve"> gjatë ecjes në </w:t>
      </w:r>
      <w:r w:rsidR="00A37D55" w:rsidRPr="00B907A3">
        <w:rPr>
          <w:rFonts w:ascii="Garamond" w:hAnsi="Garamond"/>
          <w:sz w:val="24"/>
          <w:lang w:val="sq-AL" w:eastAsia="sl-SI"/>
        </w:rPr>
        <w:t xml:space="preserve">rrugë makine </w:t>
      </w:r>
      <w:r w:rsidRPr="00B907A3">
        <w:rPr>
          <w:rFonts w:ascii="Garamond" w:hAnsi="Garamond"/>
          <w:sz w:val="24"/>
          <w:lang w:val="sq-AL" w:eastAsia="sl-SI"/>
        </w:rPr>
        <w:t>ose mos</w:t>
      </w:r>
      <w:r w:rsidR="00A37D55" w:rsidRPr="00B907A3">
        <w:rPr>
          <w:rFonts w:ascii="Garamond" w:hAnsi="Garamond"/>
          <w:sz w:val="24"/>
          <w:lang w:val="sq-AL" w:eastAsia="sl-SI"/>
        </w:rPr>
        <w:t>respektimi i sinjalistikës rrugore</w:t>
      </w:r>
      <w:r w:rsidRPr="00B907A3">
        <w:rPr>
          <w:rFonts w:ascii="Garamond" w:hAnsi="Garamond"/>
          <w:sz w:val="24"/>
          <w:lang w:val="sq-AL" w:eastAsia="sl-SI"/>
        </w:rPr>
        <w:t xml:space="preserve">). Ata shpesh zgjedhin rrugën më të shkurtër pavarësisht nga siguria, duke shmangur mbikalimet, </w:t>
      </w:r>
      <w:r w:rsidR="005F2A04" w:rsidRPr="00B907A3">
        <w:rPr>
          <w:rFonts w:ascii="Garamond" w:hAnsi="Garamond"/>
          <w:sz w:val="24"/>
          <w:lang w:val="sq-AL" w:eastAsia="sl-SI"/>
        </w:rPr>
        <w:t>vend</w:t>
      </w:r>
      <w:r w:rsidRPr="00B907A3">
        <w:rPr>
          <w:rFonts w:ascii="Garamond" w:hAnsi="Garamond"/>
          <w:sz w:val="24"/>
          <w:lang w:val="sq-AL" w:eastAsia="sl-SI"/>
        </w:rPr>
        <w:t>kalimet për këmbësorë</w:t>
      </w:r>
      <w:r w:rsidR="005F2A04" w:rsidRPr="00B907A3">
        <w:rPr>
          <w:rFonts w:ascii="Garamond" w:hAnsi="Garamond"/>
          <w:sz w:val="24"/>
          <w:lang w:val="sq-AL" w:eastAsia="sl-SI"/>
        </w:rPr>
        <w:t>t,</w:t>
      </w:r>
      <w:r w:rsidRPr="00B907A3">
        <w:rPr>
          <w:rFonts w:ascii="Garamond" w:hAnsi="Garamond"/>
          <w:sz w:val="24"/>
          <w:lang w:val="sq-AL" w:eastAsia="sl-SI"/>
        </w:rPr>
        <w:t xml:space="preserve"> ose </w:t>
      </w:r>
      <w:r w:rsidR="005F2A04" w:rsidRPr="00B907A3">
        <w:rPr>
          <w:rFonts w:ascii="Garamond" w:hAnsi="Garamond"/>
          <w:sz w:val="24"/>
          <w:lang w:val="sq-AL" w:eastAsia="sl-SI"/>
        </w:rPr>
        <w:t>pritjen në semafor</w:t>
      </w:r>
      <w:r w:rsidRPr="00B907A3">
        <w:rPr>
          <w:rFonts w:ascii="Garamond" w:hAnsi="Garamond"/>
          <w:sz w:val="24"/>
          <w:lang w:val="sq-AL" w:eastAsia="sl-SI"/>
        </w:rPr>
        <w:t xml:space="preserve">. Këmbësorët mund të japin një kontribut të rëndësishëm në siguri duke kaluar rrugët/rrugica në </w:t>
      </w:r>
      <w:r w:rsidR="005F2A04" w:rsidRPr="00B907A3">
        <w:rPr>
          <w:rFonts w:ascii="Garamond" w:hAnsi="Garamond"/>
          <w:sz w:val="24"/>
          <w:lang w:val="sq-AL" w:eastAsia="sl-SI"/>
        </w:rPr>
        <w:t>vend</w:t>
      </w:r>
      <w:r w:rsidRPr="00B907A3">
        <w:rPr>
          <w:rFonts w:ascii="Garamond" w:hAnsi="Garamond"/>
          <w:sz w:val="24"/>
          <w:lang w:val="sq-AL" w:eastAsia="sl-SI"/>
        </w:rPr>
        <w:t>kalimet e shën</w:t>
      </w:r>
      <w:r w:rsidR="005F2A04" w:rsidRPr="00B907A3">
        <w:rPr>
          <w:rFonts w:ascii="Garamond" w:hAnsi="Garamond"/>
          <w:sz w:val="24"/>
          <w:lang w:val="sq-AL" w:eastAsia="sl-SI"/>
        </w:rPr>
        <w:t>j</w:t>
      </w:r>
      <w:r w:rsidRPr="00B907A3">
        <w:rPr>
          <w:rFonts w:ascii="Garamond" w:hAnsi="Garamond"/>
          <w:sz w:val="24"/>
          <w:lang w:val="sq-AL" w:eastAsia="sl-SI"/>
        </w:rPr>
        <w:t xml:space="preserve">uara, duke ecur siç duhet përgjatë rrugës, duke përdorur sende reflektuese për të rritur </w:t>
      </w:r>
      <w:r w:rsidR="005F2A04" w:rsidRPr="00B907A3">
        <w:rPr>
          <w:rFonts w:ascii="Garamond" w:hAnsi="Garamond"/>
          <w:sz w:val="24"/>
          <w:lang w:val="sq-AL" w:eastAsia="sl-SI"/>
        </w:rPr>
        <w:t xml:space="preserve">visibilitetin e </w:t>
      </w:r>
      <w:r w:rsidRPr="00B907A3">
        <w:rPr>
          <w:rFonts w:ascii="Garamond" w:hAnsi="Garamond"/>
          <w:sz w:val="24"/>
          <w:lang w:val="sq-AL" w:eastAsia="sl-SI"/>
        </w:rPr>
        <w:t>tyre dhe duke mos përdorur telefonat celularë gjatë kalimit të rrugës. Zbatimi i ligjit duhet të përdoret për të mbështetur sjelljet e mira të këmbësorëve</w:t>
      </w:r>
      <w:r w:rsidR="00363463" w:rsidRPr="00B907A3">
        <w:rPr>
          <w:rFonts w:ascii="Garamond" w:hAnsi="Garamond"/>
          <w:sz w:val="24"/>
          <w:lang w:val="sq-AL" w:eastAsia="sl-SI"/>
        </w:rPr>
        <w:t>.</w:t>
      </w:r>
    </w:p>
    <w:p w14:paraId="180F39A6" w14:textId="4382868F" w:rsidR="00363E33" w:rsidRPr="00B907A3" w:rsidRDefault="005166EF"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rPr>
        <w:t>Planifikimi i transportit dhe projektimi i rrugëve në Shqipëri në të kaluarën</w:t>
      </w:r>
      <w:r w:rsidR="005F2A04" w:rsidRPr="00B907A3">
        <w:rPr>
          <w:rFonts w:ascii="Garamond" w:hAnsi="Garamond"/>
          <w:sz w:val="24"/>
          <w:lang w:val="sq-AL"/>
        </w:rPr>
        <w:t xml:space="preserve"> i kan</w:t>
      </w:r>
      <w:r w:rsidR="005F2A04" w:rsidRPr="00B907A3">
        <w:rPr>
          <w:rFonts w:ascii="Garamond" w:hAnsi="Garamond"/>
          <w:sz w:val="24"/>
          <w:lang w:val="sq-AL" w:eastAsia="sl-SI"/>
        </w:rPr>
        <w:t xml:space="preserve">ë </w:t>
      </w:r>
      <w:r w:rsidRPr="00B907A3">
        <w:rPr>
          <w:rFonts w:ascii="Garamond" w:hAnsi="Garamond"/>
          <w:sz w:val="24"/>
          <w:lang w:val="sq-AL"/>
        </w:rPr>
        <w:t>dh</w:t>
      </w:r>
      <w:r w:rsidR="005F2A04" w:rsidRPr="00B907A3">
        <w:rPr>
          <w:rFonts w:ascii="Garamond" w:hAnsi="Garamond"/>
          <w:sz w:val="24"/>
          <w:lang w:val="sq-AL" w:eastAsia="sl-SI"/>
        </w:rPr>
        <w:t>ë</w:t>
      </w:r>
      <w:r w:rsidRPr="00B907A3">
        <w:rPr>
          <w:rFonts w:ascii="Garamond" w:hAnsi="Garamond"/>
          <w:sz w:val="24"/>
          <w:lang w:val="sq-AL"/>
        </w:rPr>
        <w:t xml:space="preserve">në përparësi kryesisht automjeteve motorike, shpesh duke neglizhuar nevojat e sigurisë së këmbësorëve, personave me aftësi të kufizuara dhe përdoruesve të tjerë të </w:t>
      </w:r>
      <w:r w:rsidR="005F2A04" w:rsidRPr="00B907A3">
        <w:rPr>
          <w:rFonts w:ascii="Garamond" w:hAnsi="Garamond"/>
          <w:sz w:val="24"/>
          <w:lang w:val="sq-AL"/>
        </w:rPr>
        <w:t xml:space="preserve">rrezikuar </w:t>
      </w:r>
      <w:r w:rsidRPr="00B907A3">
        <w:rPr>
          <w:rFonts w:ascii="Garamond" w:hAnsi="Garamond"/>
          <w:sz w:val="24"/>
          <w:lang w:val="sq-AL"/>
        </w:rPr>
        <w:t xml:space="preserve">të rrugës. Rrugë të shumta, veçanërisht në zonat urbane, nuk janë projektuar duke pasur parasysh sigurinë e këmbësorëve. Probleme të tilla si mungesa e trotuareve, </w:t>
      </w:r>
      <w:r w:rsidR="005F2A04" w:rsidRPr="00B907A3">
        <w:rPr>
          <w:rFonts w:ascii="Garamond" w:hAnsi="Garamond"/>
          <w:sz w:val="24"/>
          <w:lang w:val="sq-AL"/>
        </w:rPr>
        <w:t>vend</w:t>
      </w:r>
      <w:r w:rsidRPr="00B907A3">
        <w:rPr>
          <w:rFonts w:ascii="Garamond" w:hAnsi="Garamond"/>
          <w:sz w:val="24"/>
          <w:lang w:val="sq-AL"/>
        </w:rPr>
        <w:t xml:space="preserve">kalimet e papërshtatshme dhe projektet e pasigurta të rrugëve i detyrojnë këmbësorët të ndajnë hapësirën me automjetet ose të ndjekin </w:t>
      </w:r>
      <w:r w:rsidR="005F2A04" w:rsidRPr="00B907A3">
        <w:rPr>
          <w:rFonts w:ascii="Garamond" w:hAnsi="Garamond"/>
          <w:sz w:val="24"/>
          <w:lang w:val="sq-AL"/>
        </w:rPr>
        <w:t>rrug</w:t>
      </w:r>
      <w:r w:rsidR="005F2A04" w:rsidRPr="00B907A3">
        <w:rPr>
          <w:rFonts w:ascii="Garamond" w:hAnsi="Garamond"/>
          <w:sz w:val="24"/>
          <w:lang w:val="sq-AL" w:eastAsia="sl-SI"/>
        </w:rPr>
        <w:t xml:space="preserve">ë të shkurtra </w:t>
      </w:r>
      <w:r w:rsidRPr="00B907A3">
        <w:rPr>
          <w:rFonts w:ascii="Garamond" w:hAnsi="Garamond"/>
          <w:sz w:val="24"/>
          <w:lang w:val="sq-AL"/>
        </w:rPr>
        <w:t xml:space="preserve">të </w:t>
      </w:r>
      <w:r w:rsidR="005F2A04" w:rsidRPr="00B907A3">
        <w:rPr>
          <w:rFonts w:ascii="Garamond" w:hAnsi="Garamond"/>
          <w:sz w:val="24"/>
          <w:lang w:val="sq-AL"/>
        </w:rPr>
        <w:t>pa</w:t>
      </w:r>
      <w:r w:rsidRPr="00B907A3">
        <w:rPr>
          <w:rFonts w:ascii="Garamond" w:hAnsi="Garamond"/>
          <w:sz w:val="24"/>
          <w:lang w:val="sq-AL"/>
        </w:rPr>
        <w:t>sigurta. Në të njëjtën kohë, mbetet e pa</w:t>
      </w:r>
      <w:r w:rsidR="00922A9B" w:rsidRPr="00B907A3">
        <w:rPr>
          <w:rFonts w:ascii="Garamond" w:hAnsi="Garamond"/>
          <w:sz w:val="24"/>
          <w:lang w:val="sq-AL"/>
        </w:rPr>
        <w:t xml:space="preserve">qartë </w:t>
      </w:r>
      <w:r w:rsidRPr="00B907A3">
        <w:rPr>
          <w:rFonts w:ascii="Garamond" w:hAnsi="Garamond"/>
          <w:sz w:val="24"/>
          <w:lang w:val="sq-AL"/>
        </w:rPr>
        <w:t>nëse përdoruesit e rrugës e kuptojnë plotësisht se sjelljet e tyre të rrezikshme kontribuojnë ndjeshëm në aksidente</w:t>
      </w:r>
      <w:r w:rsidR="00363E33" w:rsidRPr="00B907A3">
        <w:rPr>
          <w:rFonts w:ascii="Garamond" w:hAnsi="Garamond"/>
          <w:sz w:val="24"/>
          <w:lang w:val="sq-AL"/>
        </w:rPr>
        <w:t>.</w:t>
      </w:r>
      <w:r w:rsidR="00363E33" w:rsidRPr="00B907A3">
        <w:rPr>
          <w:rFonts w:ascii="Garamond" w:hAnsi="Garamond"/>
          <w:sz w:val="24"/>
          <w:lang w:val="sq-AL" w:eastAsia="sl-SI"/>
        </w:rPr>
        <w:t xml:space="preserve"> </w:t>
      </w:r>
    </w:p>
    <w:p w14:paraId="1B234D6E" w14:textId="674815A3" w:rsidR="00363E33" w:rsidRPr="00B907A3" w:rsidRDefault="005166EF"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Këmbësorët e moshuar janë më të rrezikuarit pasi të moshuarit kanë më shumë gjasa të përdorin rrugë</w:t>
      </w:r>
      <w:r w:rsidR="00922A9B" w:rsidRPr="00B907A3">
        <w:rPr>
          <w:rFonts w:ascii="Garamond" w:hAnsi="Garamond"/>
          <w:sz w:val="24"/>
          <w:lang w:val="sq-AL" w:eastAsia="sl-SI"/>
        </w:rPr>
        <w:t xml:space="preserve"> </w:t>
      </w:r>
      <w:r w:rsidRPr="00B907A3">
        <w:rPr>
          <w:rFonts w:ascii="Garamond" w:hAnsi="Garamond"/>
          <w:sz w:val="24"/>
          <w:lang w:val="sq-AL" w:eastAsia="sl-SI"/>
        </w:rPr>
        <w:t xml:space="preserve">si këmbësorë, të përdorin transportin publik dhe me vigjilencën e tyre të zvogëluar, ata mund të jenë të prirur të bëhen viktima të aksidenteve rrugore më shpesh, siç tregohet në Figurën më poshtë (58% e viktimave të moshuar në Shqipëri janë këmbësorë). Infrastruktura rrugore duhet të përshtatet me nevojat e këmbësorëve dhe personave me aftësi të kufizuara, programet parandaluese të edukimit duhet të zbatohen në nivel kombëtar dhe lokal, dhe </w:t>
      </w:r>
      <w:r w:rsidR="002D3DB2" w:rsidRPr="00B907A3">
        <w:rPr>
          <w:rFonts w:ascii="Garamond" w:hAnsi="Garamond"/>
          <w:sz w:val="24"/>
          <w:lang w:val="sq-AL" w:eastAsia="sl-SI"/>
        </w:rPr>
        <w:t>vi</w:t>
      </w:r>
      <w:r w:rsidR="0037180B" w:rsidRPr="00B907A3">
        <w:rPr>
          <w:rFonts w:ascii="Garamond" w:hAnsi="Garamond"/>
          <w:sz w:val="24"/>
          <w:lang w:val="sq-AL" w:eastAsia="sl-SI"/>
        </w:rPr>
        <w:t>zi</w:t>
      </w:r>
      <w:r w:rsidR="002D3DB2" w:rsidRPr="00B907A3">
        <w:rPr>
          <w:rFonts w:ascii="Garamond" w:hAnsi="Garamond"/>
          <w:sz w:val="24"/>
          <w:lang w:val="sq-AL" w:eastAsia="sl-SI"/>
        </w:rPr>
        <w:t xml:space="preserve">biliteti i </w:t>
      </w:r>
      <w:r w:rsidRPr="00B907A3">
        <w:rPr>
          <w:rFonts w:ascii="Garamond" w:hAnsi="Garamond"/>
          <w:sz w:val="24"/>
          <w:lang w:val="sq-AL" w:eastAsia="sl-SI"/>
        </w:rPr>
        <w:t>personave në rrugë duhet të rritet</w:t>
      </w:r>
      <w:r w:rsidR="00363E33" w:rsidRPr="00B907A3">
        <w:rPr>
          <w:rFonts w:ascii="Garamond" w:hAnsi="Garamond"/>
          <w:sz w:val="24"/>
          <w:lang w:val="sq-AL" w:eastAsia="sl-SI"/>
        </w:rPr>
        <w:t>.</w:t>
      </w:r>
    </w:p>
    <w:p w14:paraId="0393CE63" w14:textId="4562CC40" w:rsidR="005166EF" w:rsidRPr="00B907A3" w:rsidRDefault="00EB4FB7" w:rsidP="008C4E07">
      <w:pPr>
        <w:spacing w:after="0"/>
        <w:ind w:firstLine="284"/>
        <w:jc w:val="left"/>
        <w:rPr>
          <w:rFonts w:ascii="Garamond" w:hAnsi="Garamond"/>
          <w:sz w:val="24"/>
        </w:rPr>
      </w:pPr>
      <w:bookmarkStart w:id="37" w:name="_Toc208841001"/>
      <w:r w:rsidRPr="00B907A3">
        <w:rPr>
          <w:rFonts w:ascii="Garamond" w:hAnsi="Garamond"/>
          <w:sz w:val="24"/>
        </w:rPr>
        <w:t>Figur</w:t>
      </w:r>
      <w:r w:rsidR="005166EF" w:rsidRPr="00B907A3">
        <w:rPr>
          <w:rFonts w:ascii="Garamond" w:hAnsi="Garamond"/>
          <w:sz w:val="24"/>
        </w:rPr>
        <w:t>a</w:t>
      </w:r>
      <w:r w:rsidRPr="00B907A3">
        <w:rPr>
          <w:rFonts w:ascii="Garamond" w:hAnsi="Garamond"/>
          <w:sz w:val="24"/>
        </w:rPr>
        <w:t xml:space="preserve"> </w:t>
      </w:r>
      <w:r w:rsidR="00B430D5" w:rsidRPr="00B907A3">
        <w:rPr>
          <w:rFonts w:ascii="Garamond" w:hAnsi="Garamond"/>
          <w:sz w:val="24"/>
        </w:rPr>
        <w:fldChar w:fldCharType="begin"/>
      </w:r>
      <w:r w:rsidR="00B430D5" w:rsidRPr="00B907A3">
        <w:rPr>
          <w:rFonts w:ascii="Garamond" w:hAnsi="Garamond"/>
          <w:sz w:val="24"/>
        </w:rPr>
        <w:instrText xml:space="preserve"> STYLEREF 1 \s </w:instrText>
      </w:r>
      <w:r w:rsidR="00B430D5" w:rsidRPr="00B907A3">
        <w:rPr>
          <w:rFonts w:ascii="Garamond" w:hAnsi="Garamond"/>
          <w:sz w:val="24"/>
        </w:rPr>
        <w:fldChar w:fldCharType="separate"/>
      </w:r>
      <w:r w:rsidR="005829B8" w:rsidRPr="00B907A3">
        <w:rPr>
          <w:rFonts w:ascii="Garamond" w:hAnsi="Garamond"/>
          <w:sz w:val="24"/>
        </w:rPr>
        <w:t>3</w:t>
      </w:r>
      <w:r w:rsidR="00B430D5" w:rsidRPr="00B907A3">
        <w:rPr>
          <w:rFonts w:ascii="Garamond" w:hAnsi="Garamond"/>
          <w:sz w:val="24"/>
        </w:rPr>
        <w:fldChar w:fldCharType="end"/>
      </w:r>
      <w:r w:rsidR="00B430D5" w:rsidRPr="00B907A3">
        <w:rPr>
          <w:rFonts w:ascii="Garamond" w:hAnsi="Garamond"/>
          <w:sz w:val="24"/>
        </w:rPr>
        <w:noBreakHyphen/>
      </w:r>
      <w:r w:rsidR="00B1396F" w:rsidRPr="00B907A3">
        <w:rPr>
          <w:rFonts w:ascii="Garamond" w:hAnsi="Garamond"/>
          <w:sz w:val="24"/>
        </w:rPr>
        <w:t>6</w:t>
      </w:r>
      <w:r w:rsidRPr="00B907A3">
        <w:rPr>
          <w:rFonts w:ascii="Garamond" w:hAnsi="Garamond"/>
          <w:sz w:val="24"/>
        </w:rPr>
        <w:t xml:space="preserve">: </w:t>
      </w:r>
      <w:r w:rsidR="005166EF" w:rsidRPr="00B907A3">
        <w:rPr>
          <w:rFonts w:ascii="Garamond" w:hAnsi="Garamond"/>
          <w:sz w:val="24"/>
        </w:rPr>
        <w:t>Sjelljet e këmbësorëve në aksidentet rrugore, 2021</w:t>
      </w:r>
      <w:r w:rsidR="004A2DE0">
        <w:rPr>
          <w:rFonts w:ascii="Garamond" w:hAnsi="Garamond"/>
          <w:sz w:val="24"/>
        </w:rPr>
        <w:t>–</w:t>
      </w:r>
      <w:r w:rsidR="005166EF" w:rsidRPr="00B907A3">
        <w:rPr>
          <w:rFonts w:ascii="Garamond" w:hAnsi="Garamond"/>
          <w:sz w:val="24"/>
        </w:rPr>
        <w:t>2024</w:t>
      </w:r>
      <w:bookmarkEnd w:id="37"/>
    </w:p>
    <w:p w14:paraId="50FD973D" w14:textId="2CA85BF0" w:rsidR="001276F4" w:rsidRPr="00B907A3" w:rsidRDefault="005166EF" w:rsidP="008C4E07">
      <w:pPr>
        <w:spacing w:after="0"/>
        <w:ind w:firstLine="284"/>
        <w:jc w:val="left"/>
        <w:rPr>
          <w:rFonts w:ascii="Garamond" w:eastAsia="Calibri" w:hAnsi="Garamond"/>
          <w:iCs/>
          <w:sz w:val="24"/>
          <w:lang w:eastAsia="en-US"/>
        </w:rPr>
      </w:pPr>
      <w:r w:rsidRPr="00B907A3">
        <w:rPr>
          <w:rFonts w:ascii="Garamond" w:hAnsi="Garamond"/>
          <w:sz w:val="24"/>
        </w:rPr>
        <w:t xml:space="preserve">(Burimi: Ministria e </w:t>
      </w:r>
      <w:r w:rsidR="0056619E" w:rsidRPr="00B907A3">
        <w:rPr>
          <w:rFonts w:ascii="Garamond" w:hAnsi="Garamond"/>
          <w:sz w:val="24"/>
        </w:rPr>
        <w:t xml:space="preserve">Punëve të </w:t>
      </w:r>
      <w:r w:rsidRPr="00B907A3">
        <w:rPr>
          <w:rFonts w:ascii="Garamond" w:hAnsi="Garamond"/>
          <w:sz w:val="24"/>
        </w:rPr>
        <w:t>Brendshme</w:t>
      </w:r>
      <w:r w:rsidR="000C1AD6" w:rsidRPr="00B907A3">
        <w:rPr>
          <w:rFonts w:ascii="Garamond" w:eastAsia="Calibri" w:hAnsi="Garamond"/>
          <w:iCs/>
          <w:sz w:val="24"/>
          <w:lang w:eastAsia="en-US"/>
        </w:rPr>
        <w:t>)</w:t>
      </w:r>
    </w:p>
    <w:p w14:paraId="1B89FF21" w14:textId="191B8D04" w:rsidR="00363E33" w:rsidRPr="00B907A3" w:rsidRDefault="00363E33" w:rsidP="008C4E07">
      <w:pPr>
        <w:spacing w:after="0"/>
        <w:ind w:firstLine="284"/>
        <w:jc w:val="center"/>
        <w:rPr>
          <w:rFonts w:ascii="Garamond" w:hAnsi="Garamond"/>
          <w:b/>
          <w:bCs/>
          <w:sz w:val="24"/>
          <w:lang w:eastAsia="sl-SI"/>
        </w:rPr>
      </w:pPr>
      <w:r w:rsidRPr="00B907A3">
        <w:rPr>
          <w:rFonts w:ascii="Garamond" w:hAnsi="Garamond"/>
          <w:noProof/>
          <w:sz w:val="24"/>
          <w:lang w:eastAsia="sq-AL"/>
        </w:rPr>
        <w:lastRenderedPageBreak/>
        <w:drawing>
          <wp:inline distT="0" distB="0" distL="0" distR="0" wp14:anchorId="775ADE46" wp14:editId="37EEE052">
            <wp:extent cx="4995081" cy="3207792"/>
            <wp:effectExtent l="0" t="0" r="0" b="0"/>
            <wp:docPr id="12" name="Grafikon 12">
              <a:extLst xmlns:a="http://schemas.openxmlformats.org/drawingml/2006/main">
                <a:ext uri="{FF2B5EF4-FFF2-40B4-BE49-F238E27FC236}">
                  <a16:creationId xmlns:a16="http://schemas.microsoft.com/office/drawing/2014/main" id="{1F8AA60E-057A-798D-77E7-F37921ACAC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33AF372" w14:textId="77777777" w:rsidR="00A65DEA" w:rsidRPr="00B907A3" w:rsidRDefault="00A65DEA" w:rsidP="008C4E07">
      <w:pPr>
        <w:spacing w:after="0"/>
        <w:ind w:firstLine="284"/>
        <w:jc w:val="left"/>
        <w:rPr>
          <w:rFonts w:ascii="Garamond" w:hAnsi="Garamond"/>
          <w:sz w:val="24"/>
        </w:rPr>
      </w:pPr>
    </w:p>
    <w:p w14:paraId="71457017" w14:textId="77777777" w:rsidR="00A021B5" w:rsidRDefault="00EB4FB7" w:rsidP="008C4E07">
      <w:pPr>
        <w:spacing w:after="0"/>
        <w:ind w:firstLine="284"/>
        <w:jc w:val="left"/>
        <w:rPr>
          <w:rFonts w:ascii="Garamond" w:hAnsi="Garamond"/>
          <w:i/>
          <w:iCs/>
          <w:sz w:val="24"/>
        </w:rPr>
      </w:pPr>
      <w:bookmarkStart w:id="38" w:name="_Toc208841002"/>
      <w:r w:rsidRPr="004A2DE0">
        <w:rPr>
          <w:rFonts w:ascii="Garamond" w:hAnsi="Garamond"/>
          <w:i/>
          <w:sz w:val="24"/>
        </w:rPr>
        <w:t>Figur</w:t>
      </w:r>
      <w:r w:rsidR="005166EF" w:rsidRPr="004A2DE0">
        <w:rPr>
          <w:rFonts w:ascii="Garamond" w:hAnsi="Garamond"/>
          <w:i/>
          <w:sz w:val="24"/>
        </w:rPr>
        <w:t>a</w:t>
      </w:r>
      <w:r w:rsidRPr="004A2DE0">
        <w:rPr>
          <w:rFonts w:ascii="Garamond" w:hAnsi="Garamond"/>
          <w:i/>
          <w:sz w:val="24"/>
        </w:rPr>
        <w:t xml:space="preserve"> </w:t>
      </w:r>
      <w:r w:rsidR="00B430D5" w:rsidRPr="004A2DE0">
        <w:rPr>
          <w:rFonts w:ascii="Garamond" w:hAnsi="Garamond"/>
          <w:i/>
          <w:sz w:val="24"/>
        </w:rPr>
        <w:fldChar w:fldCharType="begin"/>
      </w:r>
      <w:r w:rsidR="00B430D5" w:rsidRPr="004A2DE0">
        <w:rPr>
          <w:rFonts w:ascii="Garamond" w:hAnsi="Garamond"/>
          <w:i/>
          <w:sz w:val="24"/>
        </w:rPr>
        <w:instrText xml:space="preserve"> STYLEREF 1 \s </w:instrText>
      </w:r>
      <w:r w:rsidR="00B430D5" w:rsidRPr="004A2DE0">
        <w:rPr>
          <w:rFonts w:ascii="Garamond" w:hAnsi="Garamond"/>
          <w:i/>
          <w:sz w:val="24"/>
        </w:rPr>
        <w:fldChar w:fldCharType="separate"/>
      </w:r>
      <w:r w:rsidR="00F7597D" w:rsidRPr="004A2DE0">
        <w:rPr>
          <w:rFonts w:ascii="Garamond" w:hAnsi="Garamond"/>
          <w:i/>
          <w:sz w:val="24"/>
        </w:rPr>
        <w:t>3</w:t>
      </w:r>
      <w:r w:rsidR="00B430D5" w:rsidRPr="004A2DE0">
        <w:rPr>
          <w:rFonts w:ascii="Garamond" w:hAnsi="Garamond"/>
          <w:i/>
          <w:sz w:val="24"/>
        </w:rPr>
        <w:fldChar w:fldCharType="end"/>
      </w:r>
      <w:r w:rsidR="00B430D5" w:rsidRPr="004A2DE0">
        <w:rPr>
          <w:rFonts w:ascii="Garamond" w:hAnsi="Garamond"/>
          <w:i/>
          <w:sz w:val="24"/>
        </w:rPr>
        <w:noBreakHyphen/>
      </w:r>
      <w:r w:rsidR="00076D9E" w:rsidRPr="004A2DE0">
        <w:rPr>
          <w:rFonts w:ascii="Garamond" w:hAnsi="Garamond"/>
          <w:i/>
          <w:sz w:val="24"/>
        </w:rPr>
        <w:t>7</w:t>
      </w:r>
      <w:r w:rsidR="004A2DE0" w:rsidRPr="004A2DE0">
        <w:rPr>
          <w:rFonts w:ascii="Garamond" w:hAnsi="Garamond"/>
          <w:i/>
          <w:sz w:val="24"/>
        </w:rPr>
        <w:t>.</w:t>
      </w:r>
      <w:r w:rsidRPr="004A2DE0">
        <w:rPr>
          <w:rFonts w:ascii="Garamond" w:hAnsi="Garamond"/>
          <w:i/>
          <w:sz w:val="24"/>
        </w:rPr>
        <w:t xml:space="preserve"> </w:t>
      </w:r>
      <w:r w:rsidR="009A78DA" w:rsidRPr="004A2DE0">
        <w:rPr>
          <w:rFonts w:ascii="Garamond" w:hAnsi="Garamond"/>
          <w:i/>
          <w:iCs/>
          <w:sz w:val="24"/>
        </w:rPr>
        <w:t xml:space="preserve">Fatalitetet </w:t>
      </w:r>
      <w:r w:rsidR="005166EF" w:rsidRPr="004A2DE0">
        <w:rPr>
          <w:rFonts w:ascii="Garamond" w:hAnsi="Garamond"/>
          <w:i/>
          <w:iCs/>
          <w:sz w:val="24"/>
        </w:rPr>
        <w:t>e të moshuarve sipas llojit të përdoruesit të rrugës, 2021</w:t>
      </w:r>
      <w:r w:rsidR="004A2DE0" w:rsidRPr="004A2DE0">
        <w:rPr>
          <w:rFonts w:ascii="Garamond" w:hAnsi="Garamond"/>
          <w:i/>
          <w:sz w:val="24"/>
        </w:rPr>
        <w:t>–</w:t>
      </w:r>
      <w:r w:rsidR="005166EF" w:rsidRPr="004A2DE0">
        <w:rPr>
          <w:rFonts w:ascii="Garamond" w:hAnsi="Garamond"/>
          <w:i/>
          <w:iCs/>
          <w:sz w:val="24"/>
        </w:rPr>
        <w:t>2024</w:t>
      </w:r>
    </w:p>
    <w:p w14:paraId="43F2C3FE" w14:textId="0CECBE19" w:rsidR="001276F4" w:rsidRPr="00B907A3" w:rsidRDefault="00A45F7A" w:rsidP="008C4E07">
      <w:pPr>
        <w:spacing w:after="0"/>
        <w:ind w:firstLine="284"/>
        <w:jc w:val="left"/>
        <w:rPr>
          <w:rFonts w:ascii="Garamond" w:eastAsia="Calibri" w:hAnsi="Garamond"/>
          <w:iCs/>
          <w:sz w:val="24"/>
          <w:lang w:eastAsia="en-US"/>
        </w:rPr>
      </w:pPr>
      <w:r w:rsidRPr="00B907A3">
        <w:rPr>
          <w:rFonts w:ascii="Garamond" w:hAnsi="Garamond"/>
          <w:iCs/>
          <w:sz w:val="24"/>
        </w:rPr>
        <w:t>(</w:t>
      </w:r>
      <w:r w:rsidR="005166EF" w:rsidRPr="00B907A3">
        <w:rPr>
          <w:rFonts w:ascii="Garamond" w:hAnsi="Garamond"/>
          <w:sz w:val="24"/>
        </w:rPr>
        <w:t xml:space="preserve">Burimi: Ministria e </w:t>
      </w:r>
      <w:r w:rsidR="0056619E" w:rsidRPr="00B907A3">
        <w:rPr>
          <w:rFonts w:ascii="Garamond" w:hAnsi="Garamond"/>
          <w:sz w:val="24"/>
        </w:rPr>
        <w:t xml:space="preserve">Punëve të </w:t>
      </w:r>
      <w:r w:rsidR="005166EF" w:rsidRPr="00B907A3">
        <w:rPr>
          <w:rFonts w:ascii="Garamond" w:hAnsi="Garamond"/>
          <w:sz w:val="24"/>
        </w:rPr>
        <w:t>Brendshme</w:t>
      </w:r>
      <w:r w:rsidRPr="00B907A3">
        <w:rPr>
          <w:rFonts w:ascii="Garamond" w:eastAsia="Calibri" w:hAnsi="Garamond"/>
          <w:iCs/>
          <w:sz w:val="24"/>
          <w:lang w:eastAsia="en-US"/>
        </w:rPr>
        <w:t>)</w:t>
      </w:r>
      <w:bookmarkEnd w:id="38"/>
    </w:p>
    <w:p w14:paraId="525F5ADB" w14:textId="3909B1B2" w:rsidR="00363E33" w:rsidRPr="00B907A3" w:rsidRDefault="00363E33" w:rsidP="008C4E07">
      <w:pPr>
        <w:spacing w:after="0"/>
        <w:ind w:firstLine="284"/>
        <w:jc w:val="center"/>
        <w:rPr>
          <w:rFonts w:ascii="Garamond" w:hAnsi="Garamond"/>
          <w:sz w:val="24"/>
          <w:lang w:eastAsia="sl-SI"/>
        </w:rPr>
      </w:pPr>
      <w:r w:rsidRPr="00B907A3">
        <w:rPr>
          <w:rFonts w:ascii="Garamond" w:hAnsi="Garamond"/>
          <w:noProof/>
          <w:sz w:val="24"/>
          <w:lang w:eastAsia="sq-AL"/>
        </w:rPr>
        <w:drawing>
          <wp:inline distT="0" distB="0" distL="0" distR="0" wp14:anchorId="5B88860C" wp14:editId="200087E4">
            <wp:extent cx="5261212" cy="3364173"/>
            <wp:effectExtent l="0" t="0" r="15875" b="8255"/>
            <wp:docPr id="9" name="Grafikon 9">
              <a:extLst xmlns:a="http://schemas.openxmlformats.org/drawingml/2006/main">
                <a:ext uri="{FF2B5EF4-FFF2-40B4-BE49-F238E27FC236}">
                  <a16:creationId xmlns:a16="http://schemas.microsoft.com/office/drawing/2014/main" id="{B4E69CED-A844-EB9E-BFB4-520222602F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7E4FB56" w14:textId="085BF709" w:rsidR="005166EF" w:rsidRPr="00B907A3" w:rsidRDefault="005166EF" w:rsidP="008C4E07">
      <w:pPr>
        <w:spacing w:after="0"/>
        <w:ind w:firstLine="284"/>
        <w:rPr>
          <w:rFonts w:ascii="Garamond" w:hAnsi="Garamond"/>
          <w:sz w:val="24"/>
          <w:lang w:eastAsia="sl-SI"/>
        </w:rPr>
      </w:pPr>
      <w:r w:rsidRPr="00B907A3">
        <w:rPr>
          <w:rFonts w:ascii="Garamond" w:hAnsi="Garamond"/>
          <w:sz w:val="24"/>
          <w:lang w:eastAsia="sl-SI"/>
        </w:rPr>
        <w:t xml:space="preserve">Fëmijët e shkollës kanë nevojë për mbrojtje të synuar, veçanërisht në zonat e shkollave gjatë udhëtimeve të tyre të përditshme. Madhësia e tyre, gjykimi i kufizuar, mungesa e ndërgjegjësimit dhe impulsiviteti i bëjnë ata këmbësorë veçanërisht të </w:t>
      </w:r>
      <w:r w:rsidR="008521BA" w:rsidRPr="00B907A3">
        <w:rPr>
          <w:rFonts w:ascii="Garamond" w:hAnsi="Garamond"/>
          <w:sz w:val="24"/>
          <w:lang w:eastAsia="sl-SI"/>
        </w:rPr>
        <w:t>rrezikuar</w:t>
      </w:r>
      <w:r w:rsidRPr="00B907A3">
        <w:rPr>
          <w:rFonts w:ascii="Garamond" w:hAnsi="Garamond"/>
          <w:sz w:val="24"/>
          <w:lang w:eastAsia="sl-SI"/>
        </w:rPr>
        <w:t xml:space="preserve">. 37% e fëmijëve që kanë humbur jetën në aksidente rrugore janë këmbësorë. Siguria e tyre është kritike dhe mund të parandalohet lehtësisht përmes edukimit gjithëpërfshirës për fëmijët dhe </w:t>
      </w:r>
      <w:r w:rsidR="002D3DB2" w:rsidRPr="00B907A3">
        <w:rPr>
          <w:rFonts w:ascii="Garamond" w:hAnsi="Garamond"/>
          <w:sz w:val="24"/>
          <w:lang w:eastAsia="sl-SI"/>
        </w:rPr>
        <w:t>drejtuesit e mjeteve</w:t>
      </w:r>
      <w:r w:rsidRPr="00B907A3">
        <w:rPr>
          <w:rFonts w:ascii="Garamond" w:hAnsi="Garamond"/>
          <w:sz w:val="24"/>
          <w:lang w:eastAsia="sl-SI"/>
        </w:rPr>
        <w:t>, infrastrukturës së sigurt siç janë kalimet për këmbësorë dhe shpejtësia e reduktuar në zonat e shkollave, mbikëqyrjes nga të rriturit për fëmijët më të vegjël, sigurimit të</w:t>
      </w:r>
      <w:r w:rsidR="002D3DB2" w:rsidRPr="00B907A3">
        <w:rPr>
          <w:rFonts w:ascii="Garamond" w:hAnsi="Garamond"/>
          <w:sz w:val="24"/>
          <w:lang w:eastAsia="sl-SI"/>
        </w:rPr>
        <w:t xml:space="preserve"> vi</w:t>
      </w:r>
      <w:r w:rsidR="00525704" w:rsidRPr="00B907A3">
        <w:rPr>
          <w:rFonts w:ascii="Garamond" w:hAnsi="Garamond"/>
          <w:sz w:val="24"/>
          <w:lang w:eastAsia="sl-SI"/>
        </w:rPr>
        <w:t>z</w:t>
      </w:r>
      <w:r w:rsidR="002D3DB2" w:rsidRPr="00B907A3">
        <w:rPr>
          <w:rFonts w:ascii="Garamond" w:hAnsi="Garamond"/>
          <w:sz w:val="24"/>
          <w:lang w:eastAsia="sl-SI"/>
        </w:rPr>
        <w:t xml:space="preserve">ibilitetit </w:t>
      </w:r>
      <w:r w:rsidRPr="00B907A3">
        <w:rPr>
          <w:rFonts w:ascii="Garamond" w:hAnsi="Garamond"/>
          <w:sz w:val="24"/>
          <w:lang w:eastAsia="sl-SI"/>
        </w:rPr>
        <w:t xml:space="preserve">dhe adresimit të </w:t>
      </w:r>
      <w:r w:rsidR="004A2DE0" w:rsidRPr="00B907A3">
        <w:rPr>
          <w:rFonts w:ascii="Garamond" w:hAnsi="Garamond"/>
          <w:sz w:val="24"/>
          <w:lang w:eastAsia="sl-SI"/>
        </w:rPr>
        <w:t>shpërqendrimeve</w:t>
      </w:r>
      <w:r w:rsidRPr="00B907A3">
        <w:rPr>
          <w:rFonts w:ascii="Garamond" w:hAnsi="Garamond"/>
          <w:sz w:val="24"/>
          <w:lang w:eastAsia="sl-SI"/>
        </w:rPr>
        <w:t xml:space="preserve">. Krijimi i mjediseve të sigurta për ecje është një përgjegjësi e përbashkët e komunitetit që gjithashtu kontribuon në formimin e një sistemi transporti të shëndetshëm dhe aktiv në zonat urbane. Figura 3-10 është një shembull i udhëzimeve të </w:t>
      </w:r>
      <w:r w:rsidR="002D3DB2" w:rsidRPr="00B907A3">
        <w:rPr>
          <w:rFonts w:ascii="Garamond" w:hAnsi="Garamond"/>
          <w:sz w:val="24"/>
          <w:lang w:eastAsia="sl-SI"/>
        </w:rPr>
        <w:t xml:space="preserve">hartuara </w:t>
      </w:r>
      <w:r w:rsidRPr="00B907A3">
        <w:rPr>
          <w:rFonts w:ascii="Garamond" w:hAnsi="Garamond"/>
          <w:sz w:val="24"/>
          <w:lang w:eastAsia="sl-SI"/>
        </w:rPr>
        <w:t xml:space="preserve">dhe të zbatuara në Slloveni, të cilat u përgatitën më vonë nga </w:t>
      </w:r>
      <w:r w:rsidR="00A30F29" w:rsidRPr="00B907A3">
        <w:rPr>
          <w:rFonts w:ascii="Garamond" w:hAnsi="Garamond"/>
          <w:sz w:val="24"/>
          <w:lang w:eastAsia="sl-SI"/>
        </w:rPr>
        <w:t>TKT</w:t>
      </w:r>
      <w:r w:rsidRPr="00B907A3">
        <w:rPr>
          <w:rFonts w:ascii="Garamond" w:hAnsi="Garamond"/>
          <w:sz w:val="24"/>
          <w:lang w:eastAsia="sl-SI"/>
        </w:rPr>
        <w:t xml:space="preserve"> në disa gjuhë (përfshirë gjuhën shqipe) dhe u shpërndanë autoriteteve të të gjithë pjesëmarrësve rajonalë të </w:t>
      </w:r>
      <w:r w:rsidR="00A30F29" w:rsidRPr="00B907A3">
        <w:rPr>
          <w:rFonts w:ascii="Garamond" w:hAnsi="Garamond"/>
          <w:sz w:val="24"/>
          <w:lang w:eastAsia="sl-SI"/>
        </w:rPr>
        <w:t>TKT</w:t>
      </w:r>
      <w:r w:rsidRPr="00B907A3">
        <w:rPr>
          <w:rFonts w:ascii="Garamond" w:hAnsi="Garamond"/>
          <w:sz w:val="24"/>
          <w:lang w:eastAsia="sl-SI"/>
        </w:rPr>
        <w:t xml:space="preserve">. Kjo qasje mund </w:t>
      </w:r>
      <w:r w:rsidRPr="00B907A3">
        <w:rPr>
          <w:rFonts w:ascii="Garamond" w:hAnsi="Garamond"/>
          <w:sz w:val="24"/>
          <w:lang w:eastAsia="sl-SI"/>
        </w:rPr>
        <w:lastRenderedPageBreak/>
        <w:t xml:space="preserve">të ndiqet në nivel kombëtar dhe rajonal (duke zhvilluar udhëzime për sigurinë në shkollë edhe në nivel </w:t>
      </w:r>
      <w:r w:rsidR="002D3DB2" w:rsidRPr="00B907A3">
        <w:rPr>
          <w:rFonts w:ascii="Garamond" w:hAnsi="Garamond"/>
          <w:sz w:val="24"/>
          <w:lang w:eastAsia="sl-SI"/>
        </w:rPr>
        <w:t>bashkie</w:t>
      </w:r>
      <w:r w:rsidRPr="00B907A3">
        <w:rPr>
          <w:rFonts w:ascii="Garamond" w:hAnsi="Garamond"/>
          <w:sz w:val="24"/>
          <w:lang w:eastAsia="sl-SI"/>
        </w:rPr>
        <w:t>).</w:t>
      </w:r>
    </w:p>
    <w:p w14:paraId="2F1F2E5E" w14:textId="77777777" w:rsidR="004E6638" w:rsidRPr="00B907A3" w:rsidRDefault="004E6638" w:rsidP="008C4E07">
      <w:pPr>
        <w:spacing w:after="0"/>
        <w:ind w:firstLine="284"/>
        <w:rPr>
          <w:rFonts w:ascii="Garamond" w:hAnsi="Garamond"/>
          <w:sz w:val="24"/>
          <w:lang w:eastAsia="sl-SI"/>
        </w:rPr>
      </w:pPr>
    </w:p>
    <w:p w14:paraId="3289ADB2" w14:textId="4BB18FC0" w:rsidR="005166EF" w:rsidRPr="004A2DE0" w:rsidRDefault="00EB4FB7" w:rsidP="008C4E07">
      <w:pPr>
        <w:spacing w:after="0"/>
        <w:ind w:firstLine="284"/>
        <w:jc w:val="left"/>
        <w:rPr>
          <w:rFonts w:ascii="Garamond" w:hAnsi="Garamond"/>
          <w:i/>
          <w:iCs/>
          <w:sz w:val="24"/>
        </w:rPr>
      </w:pPr>
      <w:bookmarkStart w:id="39" w:name="_Toc208841003"/>
      <w:r w:rsidRPr="004A2DE0">
        <w:rPr>
          <w:rFonts w:ascii="Garamond" w:hAnsi="Garamond"/>
          <w:i/>
          <w:sz w:val="24"/>
        </w:rPr>
        <w:t>Figur</w:t>
      </w:r>
      <w:r w:rsidR="005166EF" w:rsidRPr="004A2DE0">
        <w:rPr>
          <w:rFonts w:ascii="Garamond" w:hAnsi="Garamond"/>
          <w:i/>
          <w:sz w:val="24"/>
        </w:rPr>
        <w:t>a</w:t>
      </w:r>
      <w:r w:rsidRPr="004A2DE0">
        <w:rPr>
          <w:rFonts w:ascii="Garamond" w:hAnsi="Garamond"/>
          <w:i/>
          <w:sz w:val="24"/>
        </w:rPr>
        <w:t xml:space="preserve"> </w:t>
      </w:r>
      <w:r w:rsidR="00B430D5" w:rsidRPr="004A2DE0">
        <w:rPr>
          <w:rFonts w:ascii="Garamond" w:hAnsi="Garamond"/>
          <w:i/>
          <w:sz w:val="24"/>
        </w:rPr>
        <w:fldChar w:fldCharType="begin"/>
      </w:r>
      <w:r w:rsidR="00B430D5" w:rsidRPr="004A2DE0">
        <w:rPr>
          <w:rFonts w:ascii="Garamond" w:hAnsi="Garamond"/>
          <w:i/>
          <w:sz w:val="24"/>
        </w:rPr>
        <w:instrText xml:space="preserve"> STYLEREF 1 \s </w:instrText>
      </w:r>
      <w:r w:rsidR="00B430D5" w:rsidRPr="004A2DE0">
        <w:rPr>
          <w:rFonts w:ascii="Garamond" w:hAnsi="Garamond"/>
          <w:i/>
          <w:sz w:val="24"/>
        </w:rPr>
        <w:fldChar w:fldCharType="separate"/>
      </w:r>
      <w:r w:rsidR="00F7597D" w:rsidRPr="004A2DE0">
        <w:rPr>
          <w:rFonts w:ascii="Garamond" w:hAnsi="Garamond"/>
          <w:i/>
          <w:sz w:val="24"/>
        </w:rPr>
        <w:t>3</w:t>
      </w:r>
      <w:r w:rsidR="00B430D5" w:rsidRPr="004A2DE0">
        <w:rPr>
          <w:rFonts w:ascii="Garamond" w:hAnsi="Garamond"/>
          <w:i/>
          <w:sz w:val="24"/>
        </w:rPr>
        <w:fldChar w:fldCharType="end"/>
      </w:r>
      <w:r w:rsidR="00B430D5" w:rsidRPr="004A2DE0">
        <w:rPr>
          <w:rFonts w:ascii="Garamond" w:hAnsi="Garamond"/>
          <w:i/>
          <w:sz w:val="24"/>
        </w:rPr>
        <w:noBreakHyphen/>
      </w:r>
      <w:r w:rsidR="00076D9E" w:rsidRPr="004A2DE0">
        <w:rPr>
          <w:rFonts w:ascii="Garamond" w:hAnsi="Garamond"/>
          <w:i/>
          <w:sz w:val="24"/>
        </w:rPr>
        <w:t>8</w:t>
      </w:r>
      <w:r w:rsidR="004A2DE0" w:rsidRPr="004A2DE0">
        <w:rPr>
          <w:rFonts w:ascii="Garamond" w:hAnsi="Garamond"/>
          <w:i/>
          <w:sz w:val="24"/>
        </w:rPr>
        <w:t>.</w:t>
      </w:r>
      <w:r w:rsidRPr="004A2DE0">
        <w:rPr>
          <w:rFonts w:ascii="Garamond" w:hAnsi="Garamond"/>
          <w:i/>
          <w:sz w:val="24"/>
        </w:rPr>
        <w:t xml:space="preserve"> </w:t>
      </w:r>
      <w:r w:rsidR="00F63BCC" w:rsidRPr="004A2DE0">
        <w:rPr>
          <w:rFonts w:ascii="Garamond" w:hAnsi="Garamond"/>
          <w:i/>
          <w:sz w:val="24"/>
        </w:rPr>
        <w:t>Fatalitetet</w:t>
      </w:r>
      <w:r w:rsidR="005166EF" w:rsidRPr="004A2DE0">
        <w:rPr>
          <w:rFonts w:ascii="Garamond" w:hAnsi="Garamond"/>
          <w:i/>
          <w:iCs/>
          <w:sz w:val="24"/>
        </w:rPr>
        <w:t xml:space="preserve"> e fëmijëve sipas llojit të përdoruesit të rrugës, 2021</w:t>
      </w:r>
      <w:r w:rsidR="004A2DE0" w:rsidRPr="004A2DE0">
        <w:rPr>
          <w:rFonts w:ascii="Garamond" w:hAnsi="Garamond"/>
          <w:i/>
          <w:sz w:val="24"/>
        </w:rPr>
        <w:t>–</w:t>
      </w:r>
      <w:r w:rsidR="005166EF" w:rsidRPr="004A2DE0">
        <w:rPr>
          <w:rFonts w:ascii="Garamond" w:hAnsi="Garamond"/>
          <w:i/>
          <w:iCs/>
          <w:sz w:val="24"/>
        </w:rPr>
        <w:t>2024</w:t>
      </w:r>
      <w:bookmarkEnd w:id="39"/>
    </w:p>
    <w:p w14:paraId="7C562D5A" w14:textId="66D95C5B" w:rsidR="00363E33" w:rsidRPr="00B907A3" w:rsidRDefault="005166EF" w:rsidP="008C4E07">
      <w:pPr>
        <w:spacing w:after="0"/>
        <w:ind w:firstLine="284"/>
        <w:jc w:val="left"/>
        <w:rPr>
          <w:rFonts w:ascii="Garamond" w:hAnsi="Garamond"/>
          <w:sz w:val="24"/>
          <w:lang w:eastAsia="en-GB"/>
        </w:rPr>
      </w:pPr>
      <w:r w:rsidRPr="00B907A3">
        <w:rPr>
          <w:rFonts w:ascii="Garamond" w:hAnsi="Garamond"/>
          <w:iCs/>
          <w:sz w:val="24"/>
        </w:rPr>
        <w:t>(Burimi: Ministria e Brendshme</w:t>
      </w:r>
      <w:r w:rsidR="00622526" w:rsidRPr="00B907A3">
        <w:rPr>
          <w:rFonts w:ascii="Garamond" w:eastAsia="Calibri" w:hAnsi="Garamond"/>
          <w:iCs/>
          <w:sz w:val="24"/>
          <w:lang w:eastAsia="en-US"/>
        </w:rPr>
        <w:t>)</w:t>
      </w:r>
    </w:p>
    <w:p w14:paraId="1116BF0C" w14:textId="77777777" w:rsidR="00363E33" w:rsidRPr="00B907A3" w:rsidRDefault="00363E33" w:rsidP="008C4E07">
      <w:pPr>
        <w:spacing w:after="0"/>
        <w:ind w:firstLine="284"/>
        <w:jc w:val="center"/>
        <w:rPr>
          <w:rFonts w:ascii="Garamond" w:hAnsi="Garamond"/>
          <w:sz w:val="24"/>
          <w:lang w:eastAsia="sl-SI"/>
        </w:rPr>
      </w:pPr>
      <w:r w:rsidRPr="00B907A3">
        <w:rPr>
          <w:rFonts w:ascii="Garamond" w:hAnsi="Garamond"/>
          <w:noProof/>
          <w:sz w:val="24"/>
          <w:lang w:eastAsia="sq-AL"/>
        </w:rPr>
        <w:drawing>
          <wp:inline distT="0" distB="0" distL="0" distR="0" wp14:anchorId="3ECDFE57" wp14:editId="2EDCB497">
            <wp:extent cx="5213445" cy="3309582"/>
            <wp:effectExtent l="0" t="0" r="6350" b="5715"/>
            <wp:docPr id="16" name="Grafikon 16">
              <a:extLst xmlns:a="http://schemas.openxmlformats.org/drawingml/2006/main">
                <a:ext uri="{FF2B5EF4-FFF2-40B4-BE49-F238E27FC236}">
                  <a16:creationId xmlns:a16="http://schemas.microsoft.com/office/drawing/2014/main" id="{BE642B27-699E-90F4-7071-9ADBC2830C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4E8A73A" w14:textId="0C9BBA55" w:rsidR="004A2DE0" w:rsidRDefault="00AF29EC" w:rsidP="008C4E07">
      <w:pPr>
        <w:pStyle w:val="NormalWeb"/>
        <w:spacing w:line="240" w:lineRule="auto"/>
        <w:ind w:firstLine="284"/>
        <w:rPr>
          <w:rFonts w:ascii="Garamond" w:hAnsi="Garamond"/>
          <w:sz w:val="24"/>
          <w:lang w:val="sq-AL"/>
        </w:rPr>
      </w:pPr>
      <w:bookmarkStart w:id="40" w:name="_Toc208841004"/>
      <w:r w:rsidRPr="004A2DE0">
        <w:rPr>
          <w:rFonts w:ascii="Garamond" w:hAnsi="Garamond"/>
          <w:i/>
          <w:sz w:val="24"/>
          <w:lang w:val="sq-AL"/>
        </w:rPr>
        <w:t xml:space="preserve">Figura </w:t>
      </w:r>
      <w:r w:rsidRPr="004A2DE0">
        <w:rPr>
          <w:rFonts w:ascii="Garamond" w:hAnsi="Garamond"/>
          <w:i/>
          <w:sz w:val="24"/>
          <w:lang w:val="sq-AL"/>
        </w:rPr>
        <w:fldChar w:fldCharType="begin"/>
      </w:r>
      <w:r w:rsidRPr="004A2DE0">
        <w:rPr>
          <w:rFonts w:ascii="Garamond" w:hAnsi="Garamond"/>
          <w:i/>
          <w:sz w:val="24"/>
          <w:lang w:val="sq-AL"/>
        </w:rPr>
        <w:instrText xml:space="preserve"> STYLEREF 1 \s </w:instrText>
      </w:r>
      <w:r w:rsidRPr="004A2DE0">
        <w:rPr>
          <w:rFonts w:ascii="Garamond" w:hAnsi="Garamond"/>
          <w:i/>
          <w:sz w:val="24"/>
          <w:lang w:val="sq-AL"/>
        </w:rPr>
        <w:fldChar w:fldCharType="separate"/>
      </w:r>
      <w:r w:rsidRPr="004A2DE0">
        <w:rPr>
          <w:rFonts w:ascii="Garamond" w:hAnsi="Garamond"/>
          <w:i/>
          <w:sz w:val="24"/>
          <w:lang w:val="sq-AL"/>
        </w:rPr>
        <w:t>3</w:t>
      </w:r>
      <w:r w:rsidRPr="004A2DE0">
        <w:rPr>
          <w:rFonts w:ascii="Garamond" w:hAnsi="Garamond"/>
          <w:i/>
          <w:sz w:val="24"/>
          <w:lang w:val="sq-AL"/>
        </w:rPr>
        <w:fldChar w:fldCharType="end"/>
      </w:r>
      <w:r w:rsidRPr="004A2DE0">
        <w:rPr>
          <w:rFonts w:ascii="Garamond" w:hAnsi="Garamond"/>
          <w:i/>
          <w:sz w:val="24"/>
          <w:lang w:val="sq-AL"/>
        </w:rPr>
        <w:noBreakHyphen/>
      </w:r>
      <w:r w:rsidR="00076D9E" w:rsidRPr="004A2DE0">
        <w:rPr>
          <w:rFonts w:ascii="Garamond" w:hAnsi="Garamond"/>
          <w:i/>
          <w:sz w:val="24"/>
          <w:lang w:val="sq-AL"/>
        </w:rPr>
        <w:t>9</w:t>
      </w:r>
      <w:r w:rsidR="004A2DE0" w:rsidRPr="004A2DE0">
        <w:rPr>
          <w:rFonts w:ascii="Garamond" w:hAnsi="Garamond"/>
          <w:i/>
          <w:sz w:val="24"/>
          <w:lang w:val="sq-AL"/>
        </w:rPr>
        <w:t>.</w:t>
      </w:r>
      <w:r w:rsidR="005166EF" w:rsidRPr="004A2DE0">
        <w:rPr>
          <w:rFonts w:ascii="Garamond" w:hAnsi="Garamond"/>
          <w:i/>
          <w:sz w:val="24"/>
          <w:lang w:val="sq-AL"/>
        </w:rPr>
        <w:t xml:space="preserve"> Udhëzime për </w:t>
      </w:r>
      <w:r w:rsidR="007951BD" w:rsidRPr="004A2DE0">
        <w:rPr>
          <w:rFonts w:ascii="Garamond" w:hAnsi="Garamond"/>
          <w:i/>
          <w:sz w:val="24"/>
          <w:lang w:val="sq-AL"/>
        </w:rPr>
        <w:t>“</w:t>
      </w:r>
      <w:r w:rsidR="005166EF" w:rsidRPr="004A2DE0">
        <w:rPr>
          <w:rFonts w:ascii="Garamond" w:hAnsi="Garamond"/>
          <w:i/>
          <w:sz w:val="24"/>
          <w:lang w:val="sq-AL"/>
        </w:rPr>
        <w:t xml:space="preserve">Më të Sigurt </w:t>
      </w:r>
      <w:r w:rsidR="007B6E31" w:rsidRPr="004A2DE0">
        <w:rPr>
          <w:rFonts w:ascii="Garamond" w:hAnsi="Garamond"/>
          <w:i/>
          <w:sz w:val="24"/>
          <w:lang w:val="sq-AL"/>
        </w:rPr>
        <w:t xml:space="preserve">për </w:t>
      </w:r>
      <w:r w:rsidR="005166EF" w:rsidRPr="004A2DE0">
        <w:rPr>
          <w:rFonts w:ascii="Garamond" w:hAnsi="Garamond"/>
          <w:i/>
          <w:sz w:val="24"/>
          <w:lang w:val="sq-AL"/>
        </w:rPr>
        <w:t>në Shkollë</w:t>
      </w:r>
      <w:r w:rsidR="007951BD" w:rsidRPr="004A2DE0">
        <w:rPr>
          <w:rFonts w:ascii="Garamond" w:hAnsi="Garamond"/>
          <w:i/>
          <w:sz w:val="24"/>
          <w:lang w:val="sq-AL"/>
        </w:rPr>
        <w:t>”</w:t>
      </w:r>
      <w:r w:rsidR="005166EF" w:rsidRPr="004A2DE0">
        <w:rPr>
          <w:rFonts w:ascii="Garamond" w:hAnsi="Garamond"/>
          <w:i/>
          <w:sz w:val="24"/>
          <w:lang w:val="sq-AL"/>
        </w:rPr>
        <w:t xml:space="preserve"> për të rritur sigurinë rrugore në afërsi të institucioneve arsimore, p.sh., shkollave</w:t>
      </w:r>
    </w:p>
    <w:p w14:paraId="30ABF1D2" w14:textId="27871977" w:rsidR="00363E33" w:rsidRPr="00B907A3" w:rsidRDefault="005166EF" w:rsidP="008C4E07">
      <w:pPr>
        <w:pStyle w:val="NormalWeb"/>
        <w:spacing w:line="240" w:lineRule="auto"/>
        <w:ind w:firstLine="284"/>
        <w:rPr>
          <w:rFonts w:ascii="Garamond" w:hAnsi="Garamond"/>
          <w:sz w:val="24"/>
          <w:lang w:val="sq-AL" w:eastAsia="sl-SI"/>
        </w:rPr>
      </w:pPr>
      <w:r w:rsidRPr="00B907A3">
        <w:rPr>
          <w:rFonts w:ascii="Garamond" w:hAnsi="Garamond"/>
          <w:sz w:val="24"/>
          <w:lang w:val="sq-AL"/>
        </w:rPr>
        <w:t>(Burimi: Sekretariati i Përhershëm i Komunitetit të Transportit</w:t>
      </w:r>
      <w:r w:rsidR="00622526" w:rsidRPr="00B907A3">
        <w:rPr>
          <w:rFonts w:ascii="Garamond" w:eastAsia="Calibri" w:hAnsi="Garamond"/>
          <w:iCs/>
          <w:sz w:val="24"/>
          <w:lang w:val="sq-AL" w:eastAsia="en-US"/>
        </w:rPr>
        <w:t>)</w:t>
      </w:r>
      <w:bookmarkEnd w:id="40"/>
    </w:p>
    <w:p w14:paraId="4F68E38C" w14:textId="77777777" w:rsidR="00363E33" w:rsidRPr="00B907A3" w:rsidRDefault="00363E33" w:rsidP="008C4E07">
      <w:pPr>
        <w:pStyle w:val="NormalWeb"/>
        <w:spacing w:line="240" w:lineRule="auto"/>
        <w:jc w:val="center"/>
        <w:rPr>
          <w:rFonts w:ascii="Garamond" w:hAnsi="Garamond"/>
          <w:sz w:val="24"/>
          <w:lang w:val="sq-AL" w:eastAsia="sl-SI"/>
        </w:rPr>
      </w:pPr>
      <w:r w:rsidRPr="00B907A3">
        <w:rPr>
          <w:rFonts w:ascii="Garamond" w:hAnsi="Garamond"/>
          <w:noProof/>
          <w:sz w:val="24"/>
          <w:lang w:val="sq-AL" w:eastAsia="sq-AL"/>
        </w:rPr>
        <w:drawing>
          <wp:inline distT="0" distB="0" distL="0" distR="0" wp14:anchorId="2E2CB21C" wp14:editId="63AEBCCA">
            <wp:extent cx="2680138" cy="1462424"/>
            <wp:effectExtent l="133350" t="114300" r="139700" b="156845"/>
            <wp:docPr id="10" name="Slika 10" descr="https://www.transport-community.org/wp-content/uploads/2024/04/DSC_2866-sca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transport-community.org/wp-content/uploads/2024/04/DSC_2866-scaled.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14594" r="2686" b="5773"/>
                    <a:stretch/>
                  </pic:blipFill>
                  <pic:spPr bwMode="auto">
                    <a:xfrm>
                      <a:off x="0" y="0"/>
                      <a:ext cx="2782320" cy="15181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14:paraId="05EE5F09" w14:textId="77777777" w:rsidR="00363E33" w:rsidRPr="00B907A3" w:rsidRDefault="00363E33" w:rsidP="008C4E07">
      <w:pPr>
        <w:pStyle w:val="NormalWeb"/>
        <w:spacing w:line="240" w:lineRule="auto"/>
        <w:ind w:firstLine="284"/>
        <w:jc w:val="both"/>
        <w:rPr>
          <w:rFonts w:ascii="Garamond" w:hAnsi="Garamond"/>
          <w:sz w:val="24"/>
          <w:lang w:val="sq-AL" w:eastAsia="sl-SI"/>
        </w:rPr>
      </w:pPr>
    </w:p>
    <w:p w14:paraId="24C08256" w14:textId="4FE5B4EF" w:rsidR="00363E33" w:rsidRPr="00B907A3" w:rsidRDefault="00A03CA0" w:rsidP="008C4E07">
      <w:pPr>
        <w:pStyle w:val="NormalWeb"/>
        <w:shd w:val="clear" w:color="auto" w:fill="E2EFD9" w:themeFill="accent6" w:themeFillTint="33"/>
        <w:spacing w:line="240" w:lineRule="auto"/>
        <w:ind w:firstLine="284"/>
        <w:jc w:val="both"/>
        <w:rPr>
          <w:rFonts w:ascii="Garamond" w:hAnsi="Garamond"/>
          <w:b/>
          <w:i/>
          <w:sz w:val="24"/>
          <w:lang w:val="sq-AL" w:eastAsia="sl-SI"/>
        </w:rPr>
      </w:pPr>
      <w:r w:rsidRPr="00B907A3">
        <w:rPr>
          <w:rFonts w:ascii="Garamond" w:hAnsi="Garamond"/>
          <w:b/>
          <w:i/>
          <w:sz w:val="24"/>
          <w:lang w:val="sq-AL"/>
        </w:rPr>
        <w:t xml:space="preserve">- </w:t>
      </w:r>
      <w:r w:rsidR="005166EF" w:rsidRPr="00B907A3">
        <w:rPr>
          <w:rFonts w:ascii="Garamond" w:hAnsi="Garamond"/>
          <w:b/>
          <w:i/>
          <w:sz w:val="24"/>
          <w:lang w:val="sq-AL"/>
        </w:rPr>
        <w:t xml:space="preserve">Përmirësimi i sigurisë </w:t>
      </w:r>
      <w:r w:rsidR="009620ED" w:rsidRPr="00B907A3">
        <w:rPr>
          <w:rFonts w:ascii="Garamond" w:hAnsi="Garamond"/>
          <w:b/>
          <w:i/>
          <w:sz w:val="24"/>
          <w:lang w:val="sq-AL"/>
        </w:rPr>
        <w:t>p</w:t>
      </w:r>
      <w:r w:rsidR="005166EF" w:rsidRPr="00B907A3">
        <w:rPr>
          <w:rFonts w:ascii="Garamond" w:hAnsi="Garamond"/>
          <w:b/>
          <w:i/>
          <w:sz w:val="24"/>
          <w:lang w:val="sq-AL"/>
        </w:rPr>
        <w:t>ë</w:t>
      </w:r>
      <w:r w:rsidR="009620ED" w:rsidRPr="00B907A3">
        <w:rPr>
          <w:rFonts w:ascii="Garamond" w:hAnsi="Garamond"/>
          <w:b/>
          <w:i/>
          <w:sz w:val="24"/>
          <w:lang w:val="sq-AL"/>
        </w:rPr>
        <w:t>r</w:t>
      </w:r>
      <w:r w:rsidR="005166EF" w:rsidRPr="00B907A3">
        <w:rPr>
          <w:rFonts w:ascii="Garamond" w:hAnsi="Garamond"/>
          <w:b/>
          <w:i/>
          <w:sz w:val="24"/>
          <w:lang w:val="sq-AL"/>
        </w:rPr>
        <w:t xml:space="preserve"> këmbësorë</w:t>
      </w:r>
      <w:r w:rsidR="009620ED" w:rsidRPr="00B907A3">
        <w:rPr>
          <w:rFonts w:ascii="Garamond" w:hAnsi="Garamond"/>
          <w:b/>
          <w:i/>
          <w:sz w:val="24"/>
          <w:lang w:val="sq-AL"/>
        </w:rPr>
        <w:t>t</w:t>
      </w:r>
      <w:r w:rsidR="005166EF" w:rsidRPr="00B907A3">
        <w:rPr>
          <w:rFonts w:ascii="Garamond" w:hAnsi="Garamond"/>
          <w:b/>
          <w:i/>
          <w:sz w:val="24"/>
          <w:lang w:val="sq-AL"/>
        </w:rPr>
        <w:t xml:space="preserve"> në Shqipëri do të kërkojë përpjekje të koordinuara në planifikimin urban, zhvillimin e infrastrukturës dhe edukimin publik për të promovuar sjellje të sigurta si tek</w:t>
      </w:r>
      <w:r w:rsidR="004E6638" w:rsidRPr="00B907A3">
        <w:rPr>
          <w:rFonts w:ascii="Garamond" w:hAnsi="Garamond"/>
          <w:b/>
          <w:i/>
          <w:sz w:val="24"/>
          <w:lang w:val="sq-AL"/>
        </w:rPr>
        <w:t xml:space="preserve"> drejtuesit e mjeteve </w:t>
      </w:r>
      <w:r w:rsidR="005166EF" w:rsidRPr="00B907A3">
        <w:rPr>
          <w:rFonts w:ascii="Garamond" w:hAnsi="Garamond"/>
          <w:b/>
          <w:i/>
          <w:sz w:val="24"/>
          <w:lang w:val="sq-AL"/>
        </w:rPr>
        <w:t>ashtu edhe tek këmbësorët. Këto aktivitete do të pasohen nga zbatim gjithëpërfshirës, inteligjent dhe i bazuar në të dhëna.</w:t>
      </w:r>
    </w:p>
    <w:p w14:paraId="0854DB36" w14:textId="31A02F82" w:rsidR="00363E33" w:rsidRPr="00B907A3" w:rsidRDefault="00A03CA0"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t xml:space="preserve">3.2.1.2 </w:t>
      </w:r>
      <w:r w:rsidR="005166EF" w:rsidRPr="00B907A3">
        <w:rPr>
          <w:rFonts w:ascii="Garamond" w:hAnsi="Garamond"/>
          <w:color w:val="auto"/>
          <w:szCs w:val="24"/>
          <w:lang w:val="sq-AL"/>
        </w:rPr>
        <w:t>Çiklistët</w:t>
      </w:r>
    </w:p>
    <w:p w14:paraId="3A6A6269" w14:textId="6101D289" w:rsidR="00363E33" w:rsidRPr="00B907A3" w:rsidRDefault="00275179" w:rsidP="008C4E07">
      <w:pPr>
        <w:spacing w:after="0"/>
        <w:ind w:firstLine="284"/>
        <w:rPr>
          <w:rFonts w:ascii="Garamond" w:hAnsi="Garamond"/>
          <w:sz w:val="24"/>
          <w:lang w:eastAsia="sl-SI"/>
        </w:rPr>
      </w:pPr>
      <w:r w:rsidRPr="00B907A3">
        <w:rPr>
          <w:rFonts w:ascii="Garamond" w:hAnsi="Garamond"/>
          <w:sz w:val="24"/>
          <w:lang w:eastAsia="sl-SI"/>
        </w:rPr>
        <w:t xml:space="preserve">Çiklizmi është në rritje në të gjithë Evropën falë politikës së BE-së që çon në investime të mëdha në infrastrukturën e çiklizmit dhe promovimin e </w:t>
      </w:r>
      <w:r w:rsidR="004E6638" w:rsidRPr="00B907A3">
        <w:rPr>
          <w:rFonts w:ascii="Garamond" w:hAnsi="Garamond"/>
          <w:sz w:val="24"/>
          <w:lang w:eastAsia="sl-SI"/>
        </w:rPr>
        <w:t>mobilitetit t</w:t>
      </w:r>
      <w:r w:rsidRPr="00B907A3">
        <w:rPr>
          <w:rFonts w:ascii="Garamond" w:hAnsi="Garamond"/>
          <w:sz w:val="24"/>
          <w:lang w:eastAsia="sl-SI"/>
        </w:rPr>
        <w:t>ë qëndruesh</w:t>
      </w:r>
      <w:r w:rsidR="004E6638" w:rsidRPr="00B907A3">
        <w:rPr>
          <w:rFonts w:ascii="Garamond" w:hAnsi="Garamond"/>
          <w:sz w:val="24"/>
        </w:rPr>
        <w:t xml:space="preserve">ëm </w:t>
      </w:r>
      <w:r w:rsidRPr="00B907A3">
        <w:rPr>
          <w:rFonts w:ascii="Garamond" w:hAnsi="Garamond"/>
          <w:sz w:val="24"/>
          <w:lang w:eastAsia="sl-SI"/>
        </w:rPr>
        <w:t xml:space="preserve">dhe masave që lidhen me shëndetin. Ai gjithashtu përbën një pjesë të ofertës turistike të qyteteve, rajoneve dhe qendrave turistike. </w:t>
      </w:r>
      <w:r w:rsidR="00460164" w:rsidRPr="00B907A3">
        <w:rPr>
          <w:rFonts w:ascii="Garamond" w:hAnsi="Garamond"/>
          <w:sz w:val="24"/>
          <w:lang w:eastAsia="sl-SI"/>
        </w:rPr>
        <w:t>N</w:t>
      </w:r>
      <w:r w:rsidRPr="00B907A3">
        <w:rPr>
          <w:rFonts w:ascii="Garamond" w:hAnsi="Garamond"/>
          <w:sz w:val="24"/>
          <w:lang w:eastAsia="sl-SI"/>
        </w:rPr>
        <w:t>umër çiklistësh rritet, veçanërisht kur moti është i mirë. Çiklizmi në zonat urbane të mbingarkuara ka shumë përparësi: zvogëlon mbingarkesën e trafikut dhe është i qëndrueshëm dhe miqësor ndaj mjedisit. Shqipëria po promovon çiklizmin për arsye mjedisore, turizëm dhe</w:t>
      </w:r>
      <w:r w:rsidR="004E6638" w:rsidRPr="00B907A3">
        <w:rPr>
          <w:rFonts w:ascii="Garamond" w:hAnsi="Garamond"/>
          <w:sz w:val="24"/>
          <w:lang w:eastAsia="sl-SI"/>
        </w:rPr>
        <w:t xml:space="preserve"> mobilitet </w:t>
      </w:r>
      <w:r w:rsidRPr="00B907A3">
        <w:rPr>
          <w:rFonts w:ascii="Garamond" w:hAnsi="Garamond"/>
          <w:sz w:val="24"/>
          <w:lang w:eastAsia="sl-SI"/>
        </w:rPr>
        <w:t>të qëndrues</w:t>
      </w:r>
      <w:r w:rsidR="004E6638" w:rsidRPr="00B907A3">
        <w:rPr>
          <w:rFonts w:ascii="Garamond" w:hAnsi="Garamond"/>
          <w:sz w:val="24"/>
        </w:rPr>
        <w:t>hëm</w:t>
      </w:r>
      <w:r w:rsidRPr="00B907A3">
        <w:rPr>
          <w:rFonts w:ascii="Garamond" w:hAnsi="Garamond"/>
          <w:sz w:val="24"/>
          <w:lang w:eastAsia="sl-SI"/>
        </w:rPr>
        <w:t>, dhe numri i çiklistëve pritet të rritet. Kjo do të përbëjë një sfidë të madhe për autoritetet për të siguruar zhvillimin e infrastrukturës të sigurt dhe miqësore për çiklistët, duke kontribuar në krijimin e sistemeve të transportit urban dhe ndërurban të sigurta për çiklistët</w:t>
      </w:r>
      <w:r w:rsidR="00363E33" w:rsidRPr="00B907A3">
        <w:rPr>
          <w:rFonts w:ascii="Garamond" w:hAnsi="Garamond"/>
          <w:sz w:val="24"/>
          <w:lang w:eastAsia="sl-SI"/>
        </w:rPr>
        <w:t>.</w:t>
      </w:r>
    </w:p>
    <w:p w14:paraId="1E4E2E0A" w14:textId="64B1C8C9" w:rsidR="00363E33" w:rsidRPr="00B907A3" w:rsidRDefault="00275179" w:rsidP="008C4E07">
      <w:pPr>
        <w:spacing w:after="0"/>
        <w:ind w:firstLine="284"/>
        <w:rPr>
          <w:rFonts w:ascii="Garamond" w:hAnsi="Garamond"/>
          <w:sz w:val="24"/>
          <w:lang w:eastAsia="da-DK"/>
        </w:rPr>
      </w:pPr>
      <w:r w:rsidRPr="00B907A3">
        <w:rPr>
          <w:rFonts w:ascii="Garamond" w:hAnsi="Garamond"/>
          <w:sz w:val="24"/>
          <w:lang w:eastAsia="da-DK"/>
        </w:rPr>
        <w:lastRenderedPageBreak/>
        <w:t xml:space="preserve">Çiklistët në Shqipëri janë një grup me rrezik të lartë për sa i përket sigurisë rrugore, kryesisht për shkak të statusit të tyre si përdorues të rrugës të </w:t>
      </w:r>
      <w:r w:rsidR="008141E3" w:rsidRPr="00B907A3">
        <w:rPr>
          <w:rFonts w:ascii="Garamond" w:hAnsi="Garamond"/>
          <w:sz w:val="24"/>
          <w:lang w:eastAsia="da-DK"/>
        </w:rPr>
        <w:t>rrezikuar</w:t>
      </w:r>
      <w:r w:rsidRPr="00B907A3">
        <w:rPr>
          <w:rFonts w:ascii="Garamond" w:hAnsi="Garamond"/>
          <w:sz w:val="24"/>
          <w:lang w:eastAsia="da-DK"/>
        </w:rPr>
        <w:t xml:space="preserve"> të cilëve u mungon mbrojtja fizike e ofruar nga automjetet, mungesa e </w:t>
      </w:r>
      <w:r w:rsidR="004A2DE0" w:rsidRPr="00B907A3">
        <w:rPr>
          <w:rFonts w:ascii="Garamond" w:hAnsi="Garamond"/>
          <w:sz w:val="24"/>
          <w:lang w:eastAsia="da-DK"/>
        </w:rPr>
        <w:t>rrugëve</w:t>
      </w:r>
      <w:r w:rsidRPr="00B907A3">
        <w:rPr>
          <w:rFonts w:ascii="Garamond" w:hAnsi="Garamond"/>
          <w:sz w:val="24"/>
          <w:lang w:eastAsia="da-DK"/>
        </w:rPr>
        <w:t xml:space="preserve"> të sigurta</w:t>
      </w:r>
      <w:r w:rsidR="004E6638" w:rsidRPr="00B907A3">
        <w:rPr>
          <w:rFonts w:ascii="Garamond" w:hAnsi="Garamond"/>
          <w:sz w:val="24"/>
          <w:lang w:eastAsia="da-DK"/>
        </w:rPr>
        <w:t xml:space="preserve">, </w:t>
      </w:r>
      <w:r w:rsidR="004A2DE0" w:rsidRPr="00B907A3">
        <w:rPr>
          <w:rFonts w:ascii="Garamond" w:hAnsi="Garamond"/>
          <w:sz w:val="24"/>
          <w:lang w:eastAsia="da-DK"/>
        </w:rPr>
        <w:t>siç</w:t>
      </w:r>
      <w:r w:rsidR="004E6638" w:rsidRPr="00B907A3">
        <w:rPr>
          <w:rFonts w:ascii="Garamond" w:hAnsi="Garamond"/>
          <w:sz w:val="24"/>
          <w:lang w:eastAsia="da-DK"/>
        </w:rPr>
        <w:t xml:space="preserve"> jan</w:t>
      </w:r>
      <w:r w:rsidR="004E6638" w:rsidRPr="00B907A3">
        <w:rPr>
          <w:rFonts w:ascii="Garamond" w:hAnsi="Garamond"/>
          <w:sz w:val="24"/>
        </w:rPr>
        <w:t>ë kors</w:t>
      </w:r>
      <w:r w:rsidR="004A2DE0">
        <w:rPr>
          <w:rFonts w:ascii="Garamond" w:hAnsi="Garamond"/>
          <w:sz w:val="24"/>
        </w:rPr>
        <w:t>it</w:t>
      </w:r>
      <w:r w:rsidR="004E6638" w:rsidRPr="00B907A3">
        <w:rPr>
          <w:rFonts w:ascii="Garamond" w:hAnsi="Garamond"/>
          <w:sz w:val="24"/>
        </w:rPr>
        <w:t xml:space="preserve">ë e dedikuara </w:t>
      </w:r>
      <w:r w:rsidRPr="00B907A3">
        <w:rPr>
          <w:rFonts w:ascii="Garamond" w:hAnsi="Garamond"/>
          <w:sz w:val="24"/>
          <w:lang w:eastAsia="da-DK"/>
        </w:rPr>
        <w:t xml:space="preserve">për çiklizëm, përplasjet e mundshme me </w:t>
      </w:r>
      <w:r w:rsidR="00830371" w:rsidRPr="00B907A3">
        <w:rPr>
          <w:rFonts w:ascii="Garamond" w:hAnsi="Garamond"/>
          <w:sz w:val="24"/>
          <w:lang w:eastAsia="da-DK"/>
        </w:rPr>
        <w:t>drejtuesit</w:t>
      </w:r>
      <w:r w:rsidRPr="00B907A3">
        <w:rPr>
          <w:rFonts w:ascii="Garamond" w:hAnsi="Garamond"/>
          <w:sz w:val="24"/>
          <w:lang w:eastAsia="da-DK"/>
        </w:rPr>
        <w:t xml:space="preserve"> dhe këmbësorët për shkak të rrugëve të projektuara në mënyrë të pamjaftueshme dhe automjeteve që hyjnë në </w:t>
      </w:r>
      <w:r w:rsidR="004A2DE0" w:rsidRPr="00B907A3">
        <w:rPr>
          <w:rFonts w:ascii="Garamond" w:hAnsi="Garamond"/>
          <w:sz w:val="24"/>
          <w:lang w:eastAsia="da-DK"/>
        </w:rPr>
        <w:t>rrugët</w:t>
      </w:r>
      <w:r w:rsidRPr="00B907A3">
        <w:rPr>
          <w:rFonts w:ascii="Garamond" w:hAnsi="Garamond"/>
          <w:sz w:val="24"/>
          <w:lang w:eastAsia="da-DK"/>
        </w:rPr>
        <w:t xml:space="preserve"> </w:t>
      </w:r>
      <w:r w:rsidR="00502782" w:rsidRPr="00B907A3">
        <w:rPr>
          <w:rFonts w:ascii="Garamond" w:hAnsi="Garamond"/>
          <w:sz w:val="24"/>
          <w:lang w:eastAsia="da-DK"/>
        </w:rPr>
        <w:t xml:space="preserve">ekzistuese të biçikletave në mënyrë të përsëritur dhe problematike. </w:t>
      </w:r>
      <w:r w:rsidRPr="00B907A3">
        <w:rPr>
          <w:rFonts w:ascii="Garamond" w:hAnsi="Garamond"/>
          <w:sz w:val="24"/>
          <w:lang w:eastAsia="da-DK"/>
        </w:rPr>
        <w:t xml:space="preserve">Rrugët e projektuara në mënyrë të pamjaftueshme për çiklizëm paraqesin rreziqe për sigurinë dhe kufizojnë potencialin e çiklizmit si një mënyrë transporti. Këto rrugë shpesh nuk kanë infrastrukturë të dedikuar, siç janë korsitë e biçikletave ose </w:t>
      </w:r>
      <w:r w:rsidR="00086BF8" w:rsidRPr="00B907A3">
        <w:rPr>
          <w:rFonts w:ascii="Garamond" w:hAnsi="Garamond"/>
          <w:sz w:val="24"/>
          <w:lang w:eastAsia="da-DK"/>
        </w:rPr>
        <w:t>korsitë</w:t>
      </w:r>
      <w:r w:rsidRPr="00B907A3">
        <w:rPr>
          <w:rFonts w:ascii="Garamond" w:hAnsi="Garamond"/>
          <w:sz w:val="24"/>
          <w:lang w:eastAsia="da-DK"/>
        </w:rPr>
        <w:t xml:space="preserve"> e mbrojtura, duke i detyruar çiklistët të ndajnë hapësirën me automjetet motorike, duke rritur rrezikun e përplasjeve. Si rezultat, ata janë në r</w:t>
      </w:r>
      <w:r w:rsidR="008A60F0" w:rsidRPr="00B907A3">
        <w:rPr>
          <w:rFonts w:ascii="Garamond" w:hAnsi="Garamond"/>
          <w:sz w:val="24"/>
          <w:lang w:eastAsia="da-DK"/>
        </w:rPr>
        <w:t xml:space="preserve">isk </w:t>
      </w:r>
      <w:r w:rsidRPr="00B907A3">
        <w:rPr>
          <w:rFonts w:ascii="Garamond" w:hAnsi="Garamond"/>
          <w:sz w:val="24"/>
          <w:lang w:eastAsia="da-DK"/>
        </w:rPr>
        <w:t xml:space="preserve">dukshëm më të lartë për lëndime serioze ose vdekje në rast të një përplasjeje dhe, si rezultat, të dhënat e disponueshme aktualisht tregojnë një rritje të konsiderueshme të aksidenteve </w:t>
      </w:r>
      <w:r w:rsidR="008A60F0" w:rsidRPr="00B907A3">
        <w:rPr>
          <w:rFonts w:ascii="Garamond" w:hAnsi="Garamond"/>
          <w:sz w:val="24"/>
          <w:lang w:eastAsia="da-DK"/>
        </w:rPr>
        <w:t>t</w:t>
      </w:r>
      <w:r w:rsidR="008A60F0" w:rsidRPr="00B907A3">
        <w:rPr>
          <w:rFonts w:ascii="Garamond" w:hAnsi="Garamond"/>
          <w:sz w:val="24"/>
        </w:rPr>
        <w:t xml:space="preserve">ë rënda </w:t>
      </w:r>
      <w:r w:rsidRPr="00B907A3">
        <w:rPr>
          <w:rFonts w:ascii="Garamond" w:hAnsi="Garamond"/>
          <w:sz w:val="24"/>
          <w:lang w:eastAsia="da-DK"/>
        </w:rPr>
        <w:t xml:space="preserve">që përfshijnë çiklistët. Ata përballen me </w:t>
      </w:r>
      <w:r w:rsidR="008A60F0" w:rsidRPr="00B907A3">
        <w:rPr>
          <w:rFonts w:ascii="Garamond" w:hAnsi="Garamond"/>
          <w:sz w:val="24"/>
          <w:lang w:eastAsia="da-DK"/>
        </w:rPr>
        <w:t xml:space="preserve">risqe </w:t>
      </w:r>
      <w:r w:rsidRPr="00B907A3">
        <w:rPr>
          <w:rFonts w:ascii="Garamond" w:hAnsi="Garamond"/>
          <w:sz w:val="24"/>
          <w:lang w:eastAsia="da-DK"/>
        </w:rPr>
        <w:t xml:space="preserve">të larta për sigurinë rrugore për shkak të mungesës së mbrojtjes, infrastrukturës së pamjaftueshme të çiklizmit, sjelljeve të pasigurta të </w:t>
      </w:r>
      <w:r w:rsidR="00367294" w:rsidRPr="00B907A3">
        <w:rPr>
          <w:rFonts w:ascii="Garamond" w:hAnsi="Garamond"/>
          <w:sz w:val="24"/>
          <w:lang w:eastAsia="da-DK"/>
        </w:rPr>
        <w:t>drejtuesve</w:t>
      </w:r>
      <w:r w:rsidRPr="00B907A3">
        <w:rPr>
          <w:rFonts w:ascii="Garamond" w:hAnsi="Garamond"/>
          <w:sz w:val="24"/>
          <w:lang w:eastAsia="da-DK"/>
        </w:rPr>
        <w:t xml:space="preserve">, përdorimit </w:t>
      </w:r>
      <w:r w:rsidR="00086BF8" w:rsidRPr="00B907A3">
        <w:rPr>
          <w:rFonts w:ascii="Garamond" w:hAnsi="Garamond"/>
          <w:sz w:val="24"/>
          <w:lang w:eastAsia="da-DK"/>
        </w:rPr>
        <w:t>jo t</w:t>
      </w:r>
      <w:r w:rsidR="00887CC6" w:rsidRPr="00B907A3">
        <w:rPr>
          <w:rFonts w:ascii="Garamond" w:hAnsi="Garamond"/>
          <w:sz w:val="24"/>
          <w:lang w:eastAsia="da-DK"/>
        </w:rPr>
        <w:t>ë</w:t>
      </w:r>
      <w:r w:rsidR="00086BF8" w:rsidRPr="00B907A3">
        <w:rPr>
          <w:rFonts w:ascii="Garamond" w:hAnsi="Garamond"/>
          <w:sz w:val="24"/>
          <w:lang w:eastAsia="da-DK"/>
        </w:rPr>
        <w:t xml:space="preserve"> rregullt</w:t>
      </w:r>
      <w:r w:rsidRPr="00B907A3">
        <w:rPr>
          <w:rFonts w:ascii="Garamond" w:hAnsi="Garamond"/>
          <w:sz w:val="24"/>
          <w:lang w:eastAsia="da-DK"/>
        </w:rPr>
        <w:t xml:space="preserve"> të </w:t>
      </w:r>
      <w:r w:rsidR="008A60F0" w:rsidRPr="00B907A3">
        <w:rPr>
          <w:rFonts w:ascii="Garamond" w:hAnsi="Garamond"/>
          <w:sz w:val="24"/>
          <w:lang w:eastAsia="da-DK"/>
        </w:rPr>
        <w:t>kokores</w:t>
      </w:r>
      <w:r w:rsidRPr="00B907A3">
        <w:rPr>
          <w:rFonts w:ascii="Garamond" w:hAnsi="Garamond"/>
          <w:sz w:val="24"/>
          <w:lang w:eastAsia="da-DK"/>
        </w:rPr>
        <w:t xml:space="preserve">, ndërgjegjësimit të kufizuar për sigurinë </w:t>
      </w:r>
      <w:r w:rsidR="008A60F0" w:rsidRPr="00B907A3">
        <w:rPr>
          <w:rFonts w:ascii="Garamond" w:hAnsi="Garamond"/>
          <w:sz w:val="24"/>
          <w:lang w:eastAsia="da-DK"/>
        </w:rPr>
        <w:t>q</w:t>
      </w:r>
      <w:r w:rsidR="008A60F0" w:rsidRPr="00B907A3">
        <w:rPr>
          <w:rFonts w:ascii="Garamond" w:hAnsi="Garamond"/>
          <w:sz w:val="24"/>
        </w:rPr>
        <w:t xml:space="preserve">ë materializohen </w:t>
      </w:r>
      <w:r w:rsidR="008A60F0" w:rsidRPr="00B907A3">
        <w:rPr>
          <w:rFonts w:ascii="Garamond" w:hAnsi="Garamond"/>
          <w:sz w:val="24"/>
          <w:lang w:eastAsia="da-DK"/>
        </w:rPr>
        <w:t>n</w:t>
      </w:r>
      <w:r w:rsidR="008A60F0" w:rsidRPr="00B907A3">
        <w:rPr>
          <w:rFonts w:ascii="Garamond" w:hAnsi="Garamond"/>
          <w:sz w:val="24"/>
        </w:rPr>
        <w:t xml:space="preserve">ë </w:t>
      </w:r>
      <w:r w:rsidR="008A60F0" w:rsidRPr="00B907A3">
        <w:rPr>
          <w:rFonts w:ascii="Garamond" w:hAnsi="Garamond"/>
          <w:sz w:val="24"/>
          <w:lang w:eastAsia="da-DK"/>
        </w:rPr>
        <w:t>nj</w:t>
      </w:r>
      <w:r w:rsidR="008A60F0" w:rsidRPr="00B907A3">
        <w:rPr>
          <w:rFonts w:ascii="Garamond" w:hAnsi="Garamond"/>
          <w:sz w:val="24"/>
        </w:rPr>
        <w:t xml:space="preserve">ë </w:t>
      </w:r>
      <w:r w:rsidRPr="00B907A3">
        <w:rPr>
          <w:rFonts w:ascii="Garamond" w:hAnsi="Garamond"/>
          <w:sz w:val="24"/>
          <w:lang w:eastAsia="da-DK"/>
        </w:rPr>
        <w:t>num</w:t>
      </w:r>
      <w:r w:rsidR="00086BF8" w:rsidRPr="00B907A3">
        <w:rPr>
          <w:rFonts w:ascii="Garamond" w:hAnsi="Garamond"/>
          <w:sz w:val="24"/>
          <w:lang w:eastAsia="da-DK"/>
        </w:rPr>
        <w:t>ër</w:t>
      </w:r>
      <w:r w:rsidRPr="00B907A3">
        <w:rPr>
          <w:rFonts w:ascii="Garamond" w:hAnsi="Garamond"/>
          <w:sz w:val="24"/>
          <w:lang w:eastAsia="da-DK"/>
        </w:rPr>
        <w:t xml:space="preserve"> të lartë aksidentesh fatale dhe </w:t>
      </w:r>
      <w:r w:rsidR="008A60F0" w:rsidRPr="00B907A3">
        <w:rPr>
          <w:rFonts w:ascii="Garamond" w:hAnsi="Garamond"/>
          <w:sz w:val="24"/>
          <w:lang w:eastAsia="da-DK"/>
        </w:rPr>
        <w:t>t</w:t>
      </w:r>
      <w:r w:rsidR="008A60F0" w:rsidRPr="00B907A3">
        <w:rPr>
          <w:rFonts w:ascii="Garamond" w:hAnsi="Garamond"/>
          <w:sz w:val="24"/>
        </w:rPr>
        <w:t>ë rënda</w:t>
      </w:r>
      <w:r w:rsidR="00363E33" w:rsidRPr="00B907A3">
        <w:rPr>
          <w:rFonts w:ascii="Garamond" w:hAnsi="Garamond"/>
          <w:sz w:val="24"/>
          <w:lang w:eastAsia="da-DK"/>
        </w:rPr>
        <w:t>.</w:t>
      </w:r>
    </w:p>
    <w:p w14:paraId="3848EB95" w14:textId="4C404780" w:rsidR="00363E33" w:rsidRPr="00B907A3" w:rsidRDefault="00275179" w:rsidP="008C4E07">
      <w:pPr>
        <w:spacing w:after="0"/>
        <w:ind w:firstLine="284"/>
        <w:rPr>
          <w:rFonts w:ascii="Garamond" w:hAnsi="Garamond"/>
          <w:sz w:val="24"/>
          <w:lang w:eastAsia="sl-SI"/>
        </w:rPr>
      </w:pPr>
      <w:r w:rsidRPr="00B907A3">
        <w:rPr>
          <w:rFonts w:ascii="Garamond" w:hAnsi="Garamond"/>
          <w:sz w:val="24"/>
          <w:lang w:eastAsia="sl-SI"/>
        </w:rPr>
        <w:t xml:space="preserve">Disa </w:t>
      </w:r>
      <w:r w:rsidR="008A60F0" w:rsidRPr="00B907A3">
        <w:rPr>
          <w:rFonts w:ascii="Garamond" w:hAnsi="Garamond"/>
          <w:sz w:val="24"/>
          <w:lang w:eastAsia="sl-SI"/>
        </w:rPr>
        <w:t xml:space="preserve">praktika </w:t>
      </w:r>
      <w:r w:rsidR="008A1D48" w:rsidRPr="00B907A3">
        <w:rPr>
          <w:rFonts w:ascii="Garamond" w:hAnsi="Garamond"/>
          <w:sz w:val="24"/>
          <w:lang w:eastAsia="sl-SI"/>
        </w:rPr>
        <w:t xml:space="preserve">jo të </w:t>
      </w:r>
      <w:r w:rsidRPr="00B907A3">
        <w:rPr>
          <w:rFonts w:ascii="Garamond" w:hAnsi="Garamond"/>
          <w:sz w:val="24"/>
          <w:lang w:eastAsia="sl-SI"/>
        </w:rPr>
        <w:t xml:space="preserve">sigurta nga çiklistët rrisin </w:t>
      </w:r>
      <w:r w:rsidR="008A60F0" w:rsidRPr="00B907A3">
        <w:rPr>
          <w:rFonts w:ascii="Garamond" w:hAnsi="Garamond"/>
          <w:sz w:val="24"/>
          <w:lang w:eastAsia="sl-SI"/>
        </w:rPr>
        <w:t xml:space="preserve">riskun e </w:t>
      </w:r>
      <w:r w:rsidRPr="00B907A3">
        <w:rPr>
          <w:rFonts w:ascii="Garamond" w:hAnsi="Garamond"/>
          <w:sz w:val="24"/>
          <w:lang w:eastAsia="sl-SI"/>
        </w:rPr>
        <w:t xml:space="preserve">tyre për aksidente. Këto përfshijnë shpërfilljen e ligjeve të trafikut, </w:t>
      </w:r>
      <w:r w:rsidR="008A60F0" w:rsidRPr="00B907A3">
        <w:rPr>
          <w:rFonts w:ascii="Garamond" w:hAnsi="Garamond"/>
          <w:sz w:val="24"/>
          <w:lang w:eastAsia="sl-SI"/>
        </w:rPr>
        <w:t>kalimin me biçiklet</w:t>
      </w:r>
      <w:r w:rsidR="008A60F0" w:rsidRPr="00B907A3">
        <w:rPr>
          <w:rFonts w:ascii="Garamond" w:hAnsi="Garamond"/>
          <w:sz w:val="24"/>
        </w:rPr>
        <w:t xml:space="preserve">ë </w:t>
      </w:r>
      <w:r w:rsidRPr="00B907A3">
        <w:rPr>
          <w:rFonts w:ascii="Garamond" w:hAnsi="Garamond"/>
          <w:sz w:val="24"/>
          <w:lang w:eastAsia="sl-SI"/>
        </w:rPr>
        <w:t xml:space="preserve">në trotuare, </w:t>
      </w:r>
      <w:r w:rsidR="008A60F0" w:rsidRPr="00B907A3">
        <w:rPr>
          <w:rFonts w:ascii="Garamond" w:hAnsi="Garamond"/>
          <w:sz w:val="24"/>
          <w:lang w:eastAsia="sl-SI"/>
        </w:rPr>
        <w:t xml:space="preserve">manovrat </w:t>
      </w:r>
      <w:r w:rsidRPr="00B907A3">
        <w:rPr>
          <w:rFonts w:ascii="Garamond" w:hAnsi="Garamond"/>
          <w:sz w:val="24"/>
          <w:lang w:eastAsia="sl-SI"/>
        </w:rPr>
        <w:t xml:space="preserve">e papritura në </w:t>
      </w:r>
      <w:r w:rsidR="008A60F0" w:rsidRPr="00B907A3">
        <w:rPr>
          <w:rFonts w:ascii="Garamond" w:hAnsi="Garamond"/>
          <w:sz w:val="24"/>
          <w:lang w:eastAsia="sl-SI"/>
        </w:rPr>
        <w:t>qarkullim</w:t>
      </w:r>
      <w:r w:rsidRPr="00B907A3">
        <w:rPr>
          <w:rFonts w:ascii="Garamond" w:hAnsi="Garamond"/>
          <w:sz w:val="24"/>
          <w:lang w:eastAsia="sl-SI"/>
        </w:rPr>
        <w:t xml:space="preserve">, </w:t>
      </w:r>
      <w:r w:rsidR="008A60F0" w:rsidRPr="00B907A3">
        <w:rPr>
          <w:rFonts w:ascii="Garamond" w:hAnsi="Garamond"/>
          <w:sz w:val="24"/>
          <w:lang w:eastAsia="sl-SI"/>
        </w:rPr>
        <w:t xml:space="preserve">ecjen me biçikletë në </w:t>
      </w:r>
      <w:r w:rsidRPr="00B907A3">
        <w:rPr>
          <w:rFonts w:ascii="Garamond" w:hAnsi="Garamond"/>
          <w:sz w:val="24"/>
          <w:lang w:eastAsia="sl-SI"/>
        </w:rPr>
        <w:t xml:space="preserve">drejtimin e gabuar, </w:t>
      </w:r>
      <w:r w:rsidR="008A60F0" w:rsidRPr="00B907A3">
        <w:rPr>
          <w:rFonts w:ascii="Garamond" w:hAnsi="Garamond"/>
          <w:sz w:val="24"/>
          <w:lang w:eastAsia="sl-SI"/>
        </w:rPr>
        <w:t xml:space="preserve">visibilitetin </w:t>
      </w:r>
      <w:r w:rsidRPr="00B907A3">
        <w:rPr>
          <w:rFonts w:ascii="Garamond" w:hAnsi="Garamond"/>
          <w:sz w:val="24"/>
          <w:lang w:eastAsia="sl-SI"/>
        </w:rPr>
        <w:t xml:space="preserve">e dobët për shkak të mungesës së dritave ose veshjeve të </w:t>
      </w:r>
      <w:r w:rsidR="008A60F0" w:rsidRPr="00B907A3">
        <w:rPr>
          <w:rFonts w:ascii="Garamond" w:hAnsi="Garamond"/>
          <w:sz w:val="24"/>
          <w:lang w:eastAsia="sl-SI"/>
        </w:rPr>
        <w:t xml:space="preserve">tyre të </w:t>
      </w:r>
      <w:r w:rsidRPr="00B907A3">
        <w:rPr>
          <w:rFonts w:ascii="Garamond" w:hAnsi="Garamond"/>
          <w:sz w:val="24"/>
          <w:lang w:eastAsia="sl-SI"/>
        </w:rPr>
        <w:t xml:space="preserve">errëta, mungesën e vëmendjes, mospërdorimin e korsive të disponueshme të biçikletave dhe problemin mbizotërues të mosmbajtjes së </w:t>
      </w:r>
      <w:r w:rsidR="008A60F0" w:rsidRPr="00B907A3">
        <w:rPr>
          <w:rFonts w:ascii="Garamond" w:hAnsi="Garamond"/>
          <w:sz w:val="24"/>
          <w:lang w:eastAsia="sl-SI"/>
        </w:rPr>
        <w:t>kokoreve</w:t>
      </w:r>
      <w:r w:rsidRPr="00B907A3">
        <w:rPr>
          <w:rFonts w:ascii="Garamond" w:hAnsi="Garamond"/>
          <w:sz w:val="24"/>
          <w:lang w:eastAsia="sl-SI"/>
        </w:rPr>
        <w:t xml:space="preserve">, gjë që përkeqëson rezultatet e lëndimeve. Gabimet më të zakonshme të bëra nga çiklistët janë injorimi i </w:t>
      </w:r>
      <w:r w:rsidR="008A60F0" w:rsidRPr="00B907A3">
        <w:rPr>
          <w:rFonts w:ascii="Garamond" w:hAnsi="Garamond"/>
          <w:sz w:val="24"/>
          <w:lang w:eastAsia="sl-SI"/>
        </w:rPr>
        <w:t xml:space="preserve">sinjalistikës </w:t>
      </w:r>
      <w:r w:rsidRPr="00B907A3">
        <w:rPr>
          <w:rFonts w:ascii="Garamond" w:hAnsi="Garamond"/>
          <w:sz w:val="24"/>
          <w:lang w:eastAsia="sl-SI"/>
        </w:rPr>
        <w:t xml:space="preserve">dhe </w:t>
      </w:r>
      <w:r w:rsidR="008A60F0" w:rsidRPr="00B907A3">
        <w:rPr>
          <w:rFonts w:ascii="Garamond" w:hAnsi="Garamond"/>
          <w:sz w:val="24"/>
          <w:lang w:eastAsia="sl-SI"/>
        </w:rPr>
        <w:t>semaforëve</w:t>
      </w:r>
      <w:r w:rsidRPr="00B907A3">
        <w:rPr>
          <w:rFonts w:ascii="Garamond" w:hAnsi="Garamond"/>
          <w:sz w:val="24"/>
          <w:lang w:eastAsia="sl-SI"/>
        </w:rPr>
        <w:t>, ecja nëpër</w:t>
      </w:r>
      <w:r w:rsidR="008A60F0" w:rsidRPr="00B907A3">
        <w:rPr>
          <w:rFonts w:ascii="Garamond" w:hAnsi="Garamond"/>
          <w:sz w:val="24"/>
          <w:lang w:eastAsia="sl-SI"/>
        </w:rPr>
        <w:t xml:space="preserve"> rrugë makine</w:t>
      </w:r>
      <w:r w:rsidRPr="00B907A3">
        <w:rPr>
          <w:rFonts w:ascii="Garamond" w:hAnsi="Garamond"/>
          <w:sz w:val="24"/>
          <w:lang w:eastAsia="sl-SI"/>
        </w:rPr>
        <w:t xml:space="preserve"> ose </w:t>
      </w:r>
      <w:r w:rsidR="008A60F0" w:rsidRPr="00B907A3">
        <w:rPr>
          <w:rFonts w:ascii="Garamond" w:hAnsi="Garamond"/>
          <w:sz w:val="24"/>
          <w:lang w:eastAsia="sl-SI"/>
        </w:rPr>
        <w:t xml:space="preserve">ecja </w:t>
      </w:r>
      <w:r w:rsidRPr="00B907A3">
        <w:rPr>
          <w:rFonts w:ascii="Garamond" w:hAnsi="Garamond"/>
          <w:sz w:val="24"/>
          <w:lang w:eastAsia="sl-SI"/>
        </w:rPr>
        <w:t xml:space="preserve">kundër rrjedhës së </w:t>
      </w:r>
      <w:r w:rsidR="008A60F0" w:rsidRPr="00B907A3">
        <w:rPr>
          <w:rFonts w:ascii="Garamond" w:hAnsi="Garamond"/>
          <w:sz w:val="24"/>
          <w:lang w:eastAsia="sl-SI"/>
        </w:rPr>
        <w:t>qarkullimit</w:t>
      </w:r>
      <w:r w:rsidRPr="00B907A3">
        <w:rPr>
          <w:rFonts w:ascii="Garamond" w:hAnsi="Garamond"/>
          <w:sz w:val="24"/>
          <w:lang w:eastAsia="sl-SI"/>
        </w:rPr>
        <w:t>. Këto veprime rrisin mundësinë e një përplasjeje. Në mungesë të infrastrukturës së duhur, çiklistët dhe veçanërisht biçikletat elektrike, ndonjëherë përdorin trotuaret, duke krijuar fërkime dhe r</w:t>
      </w:r>
      <w:r w:rsidR="008A60F0" w:rsidRPr="00B907A3">
        <w:rPr>
          <w:rFonts w:ascii="Garamond" w:hAnsi="Garamond"/>
          <w:sz w:val="24"/>
          <w:lang w:eastAsia="sl-SI"/>
        </w:rPr>
        <w:t xml:space="preserve">isk </w:t>
      </w:r>
      <w:r w:rsidRPr="00B907A3">
        <w:rPr>
          <w:rFonts w:ascii="Garamond" w:hAnsi="Garamond"/>
          <w:sz w:val="24"/>
          <w:lang w:eastAsia="sl-SI"/>
        </w:rPr>
        <w:t>potencial për këmbësorët</w:t>
      </w:r>
      <w:r w:rsidR="00363E33" w:rsidRPr="00B907A3">
        <w:rPr>
          <w:rFonts w:ascii="Garamond" w:hAnsi="Garamond"/>
          <w:sz w:val="24"/>
          <w:lang w:eastAsia="sl-SI"/>
        </w:rPr>
        <w:t>.</w:t>
      </w:r>
    </w:p>
    <w:p w14:paraId="60828493" w14:textId="4605993A" w:rsidR="00363E33" w:rsidRPr="00B907A3" w:rsidRDefault="00275179"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 xml:space="preserve">Ngjashëm me çiklistët, përdoruesit e skuterëve elektrikë konsiderohen një grup i </w:t>
      </w:r>
      <w:r w:rsidR="008A1D48" w:rsidRPr="00B907A3">
        <w:rPr>
          <w:rFonts w:ascii="Garamond" w:hAnsi="Garamond"/>
          <w:sz w:val="24"/>
          <w:lang w:val="sq-AL" w:eastAsia="sl-SI"/>
        </w:rPr>
        <w:t>rrezikuar</w:t>
      </w:r>
      <w:r w:rsidRPr="00B907A3">
        <w:rPr>
          <w:rFonts w:ascii="Garamond" w:hAnsi="Garamond"/>
          <w:sz w:val="24"/>
          <w:lang w:val="sq-AL" w:eastAsia="sl-SI"/>
        </w:rPr>
        <w:t xml:space="preserve"> i përdoruesve të rrugës për shkak të </w:t>
      </w:r>
      <w:r w:rsidR="00823FCD" w:rsidRPr="00B907A3">
        <w:rPr>
          <w:rFonts w:ascii="Garamond" w:hAnsi="Garamond"/>
          <w:sz w:val="24"/>
          <w:lang w:val="sq-AL" w:eastAsia="sl-SI"/>
        </w:rPr>
        <w:t xml:space="preserve">risqeve </w:t>
      </w:r>
      <w:r w:rsidRPr="00B907A3">
        <w:rPr>
          <w:rFonts w:ascii="Garamond" w:hAnsi="Garamond"/>
          <w:sz w:val="24"/>
          <w:lang w:val="sq-AL" w:eastAsia="sl-SI"/>
        </w:rPr>
        <w:t>të shumta me të cilat përballen në një mjedis të dominuar nga automjetet motorike</w:t>
      </w:r>
      <w:r w:rsidR="00823FCD" w:rsidRPr="00B907A3">
        <w:rPr>
          <w:rFonts w:ascii="Garamond" w:hAnsi="Garamond"/>
          <w:sz w:val="24"/>
          <w:lang w:val="sq-AL" w:eastAsia="sl-SI"/>
        </w:rPr>
        <w:t xml:space="preserve">, por edhe si </w:t>
      </w:r>
      <w:r w:rsidR="005C1DD9" w:rsidRPr="00B907A3">
        <w:rPr>
          <w:rFonts w:ascii="Garamond" w:hAnsi="Garamond"/>
          <w:sz w:val="24"/>
          <w:lang w:val="sq-AL" w:eastAsia="sl-SI"/>
        </w:rPr>
        <w:t>një</w:t>
      </w:r>
      <w:r w:rsidR="00823FCD" w:rsidRPr="00B907A3">
        <w:rPr>
          <w:rFonts w:ascii="Garamond" w:hAnsi="Garamond"/>
          <w:sz w:val="24"/>
          <w:lang w:val="sq-AL" w:eastAsia="sl-SI"/>
        </w:rPr>
        <w:t xml:space="preserve"> faktor risku i shtuar për këmbësorët, për shkak të shpejtësisë së tyre dhe </w:t>
      </w:r>
      <w:r w:rsidR="00A021B5" w:rsidRPr="00B907A3">
        <w:rPr>
          <w:rFonts w:ascii="Garamond" w:hAnsi="Garamond"/>
          <w:sz w:val="24"/>
          <w:lang w:val="sq-AL" w:eastAsia="sl-SI"/>
        </w:rPr>
        <w:t>dëgjueshmërisë</w:t>
      </w:r>
      <w:r w:rsidR="00823FCD" w:rsidRPr="00B907A3">
        <w:rPr>
          <w:rFonts w:ascii="Garamond" w:hAnsi="Garamond"/>
          <w:sz w:val="24"/>
          <w:lang w:val="sq-AL" w:eastAsia="sl-SI"/>
        </w:rPr>
        <w:t xml:space="preserve"> së ulët dhe manovrave të paparashikueshme në rrugë</w:t>
      </w:r>
      <w:r w:rsidRPr="00B907A3">
        <w:rPr>
          <w:rFonts w:ascii="Garamond" w:hAnsi="Garamond"/>
          <w:sz w:val="24"/>
          <w:lang w:val="sq-AL" w:eastAsia="sl-SI"/>
        </w:rPr>
        <w:t>. Përdorimi i skuterëve elektrikë po rritet me shpejtësi, duke sjellë me vete sfida të konsiderueshme sigurie. K</w:t>
      </w:r>
      <w:r w:rsidR="00823FCD" w:rsidRPr="00B907A3">
        <w:rPr>
          <w:rFonts w:ascii="Garamond" w:hAnsi="Garamond"/>
          <w:sz w:val="24"/>
          <w:lang w:val="sq-AL" w:eastAsia="sl-SI"/>
        </w:rPr>
        <w:t xml:space="preserve">uadri rregullator aktual </w:t>
      </w:r>
      <w:r w:rsidRPr="00B907A3">
        <w:rPr>
          <w:rFonts w:ascii="Garamond" w:hAnsi="Garamond"/>
          <w:sz w:val="24"/>
          <w:lang w:val="sq-AL" w:eastAsia="sl-SI"/>
        </w:rPr>
        <w:t xml:space="preserve">është ende në zhvillim e sipër, </w:t>
      </w:r>
      <w:r w:rsidR="00823FCD" w:rsidRPr="00B907A3">
        <w:rPr>
          <w:rFonts w:ascii="Garamond" w:hAnsi="Garamond"/>
          <w:sz w:val="24"/>
          <w:lang w:val="sq-AL" w:eastAsia="sl-SI"/>
        </w:rPr>
        <w:t xml:space="preserve">ndërsa </w:t>
      </w:r>
      <w:r w:rsidRPr="00B907A3">
        <w:rPr>
          <w:rFonts w:ascii="Garamond" w:hAnsi="Garamond"/>
          <w:sz w:val="24"/>
          <w:lang w:val="sq-AL" w:eastAsia="sl-SI"/>
        </w:rPr>
        <w:t xml:space="preserve">skuterët elektrikë </w:t>
      </w:r>
      <w:r w:rsidR="00823FCD" w:rsidRPr="00B907A3">
        <w:rPr>
          <w:rFonts w:ascii="Garamond" w:hAnsi="Garamond"/>
          <w:sz w:val="24"/>
          <w:lang w:val="sq-AL" w:eastAsia="sl-SI"/>
        </w:rPr>
        <w:t xml:space="preserve">janë </w:t>
      </w:r>
      <w:r w:rsidRPr="00B907A3">
        <w:rPr>
          <w:rFonts w:ascii="Garamond" w:hAnsi="Garamond"/>
          <w:sz w:val="24"/>
          <w:lang w:val="sq-AL" w:eastAsia="sl-SI"/>
        </w:rPr>
        <w:t xml:space="preserve">kryesisht </w:t>
      </w:r>
      <w:r w:rsidR="00823FCD" w:rsidRPr="00B907A3">
        <w:rPr>
          <w:rFonts w:ascii="Garamond" w:hAnsi="Garamond"/>
          <w:sz w:val="24"/>
          <w:lang w:val="sq-AL" w:eastAsia="sl-SI"/>
        </w:rPr>
        <w:t xml:space="preserve">subjekt i rregullave për </w:t>
      </w:r>
      <w:r w:rsidRPr="00B907A3">
        <w:rPr>
          <w:rFonts w:ascii="Garamond" w:hAnsi="Garamond"/>
          <w:sz w:val="24"/>
          <w:lang w:val="sq-AL" w:eastAsia="sl-SI"/>
        </w:rPr>
        <w:t>biçikleta</w:t>
      </w:r>
      <w:r w:rsidR="00823FCD" w:rsidRPr="00B907A3">
        <w:rPr>
          <w:rFonts w:ascii="Garamond" w:hAnsi="Garamond"/>
          <w:sz w:val="24"/>
          <w:lang w:val="sq-AL" w:eastAsia="sl-SI"/>
        </w:rPr>
        <w:t>t</w:t>
      </w:r>
      <w:r w:rsidRPr="00B907A3">
        <w:rPr>
          <w:rFonts w:ascii="Garamond" w:hAnsi="Garamond"/>
          <w:sz w:val="24"/>
          <w:lang w:val="sq-AL" w:eastAsia="sl-SI"/>
        </w:rPr>
        <w:t>. Mungesa e rregull</w:t>
      </w:r>
      <w:r w:rsidR="00823FCD" w:rsidRPr="00B907A3">
        <w:rPr>
          <w:rFonts w:ascii="Garamond" w:hAnsi="Garamond"/>
          <w:sz w:val="24"/>
          <w:lang w:val="sq-AL" w:eastAsia="sl-SI"/>
        </w:rPr>
        <w:t xml:space="preserve">ave </w:t>
      </w:r>
      <w:r w:rsidRPr="00B907A3">
        <w:rPr>
          <w:rFonts w:ascii="Garamond" w:hAnsi="Garamond"/>
          <w:sz w:val="24"/>
          <w:lang w:val="sq-AL" w:eastAsia="sl-SI"/>
        </w:rPr>
        <w:t>specifike</w:t>
      </w:r>
      <w:r w:rsidR="00823FCD" w:rsidRPr="00B907A3">
        <w:rPr>
          <w:rFonts w:ascii="Garamond" w:hAnsi="Garamond"/>
          <w:sz w:val="24"/>
          <w:lang w:val="sq-AL" w:eastAsia="sl-SI"/>
        </w:rPr>
        <w:t xml:space="preserve"> lidhur me to</w:t>
      </w:r>
      <w:r w:rsidRPr="00B907A3">
        <w:rPr>
          <w:rFonts w:ascii="Garamond" w:hAnsi="Garamond"/>
          <w:sz w:val="24"/>
          <w:lang w:val="sq-AL" w:eastAsia="sl-SI"/>
        </w:rPr>
        <w:t>, e shoqëruar me sjelljet e rrezikshme të përdoruesve, përfshirjen e të miturve dhe rritjen e shkallës së aksidenteve, nxjerrin në pah nevojën urgjente për përgatitjen e legjislacionit më të qartë, zbatimin më të rreptë dhe fushatat gjithëpërfshirëse të ndërgjegjësimit për sigurinë për të siguruar integrimin e sigurt të skuterëve elektrikë në peizazhin e transportit shqiptar</w:t>
      </w:r>
      <w:r w:rsidR="00363E33" w:rsidRPr="00B907A3">
        <w:rPr>
          <w:rFonts w:ascii="Garamond" w:hAnsi="Garamond"/>
          <w:sz w:val="24"/>
          <w:lang w:val="sq-AL" w:eastAsia="sl-SI"/>
        </w:rPr>
        <w:t xml:space="preserve">. </w:t>
      </w:r>
    </w:p>
    <w:p w14:paraId="0A24E641" w14:textId="4961659D" w:rsidR="00363E33" w:rsidRPr="00B907A3" w:rsidRDefault="00275179"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 xml:space="preserve">Përdoruesit e skuterëve elektrikë në Shqipëri shkaktojnë aksidente duke injoruar </w:t>
      </w:r>
      <w:r w:rsidR="008B315E" w:rsidRPr="00B907A3">
        <w:rPr>
          <w:rFonts w:ascii="Garamond" w:hAnsi="Garamond"/>
          <w:sz w:val="24"/>
          <w:lang w:val="sq-AL" w:eastAsia="sl-SI"/>
        </w:rPr>
        <w:t>rregullat e qarkullimit rrugor</w:t>
      </w:r>
      <w:r w:rsidRPr="00B907A3">
        <w:rPr>
          <w:rFonts w:ascii="Garamond" w:hAnsi="Garamond"/>
          <w:sz w:val="24"/>
          <w:lang w:val="sq-AL" w:eastAsia="sl-SI"/>
        </w:rPr>
        <w:t xml:space="preserve">, duke kaluar </w:t>
      </w:r>
      <w:r w:rsidR="008B315E" w:rsidRPr="00B907A3">
        <w:rPr>
          <w:rFonts w:ascii="Garamond" w:hAnsi="Garamond"/>
          <w:sz w:val="24"/>
          <w:lang w:val="sq-AL" w:eastAsia="sl-SI"/>
        </w:rPr>
        <w:t xml:space="preserve">semaforin me të </w:t>
      </w:r>
      <w:r w:rsidRPr="00B907A3">
        <w:rPr>
          <w:rFonts w:ascii="Garamond" w:hAnsi="Garamond"/>
          <w:sz w:val="24"/>
          <w:lang w:val="sq-AL" w:eastAsia="sl-SI"/>
        </w:rPr>
        <w:t xml:space="preserve">kuqe, duke </w:t>
      </w:r>
      <w:r w:rsidR="0056504D" w:rsidRPr="00B907A3">
        <w:rPr>
          <w:rFonts w:ascii="Garamond" w:hAnsi="Garamond"/>
          <w:sz w:val="24"/>
          <w:lang w:val="sq-AL" w:eastAsia="sl-SI"/>
        </w:rPr>
        <w:t xml:space="preserve">ecur në drejtim </w:t>
      </w:r>
      <w:r w:rsidRPr="00B907A3">
        <w:rPr>
          <w:rFonts w:ascii="Garamond" w:hAnsi="Garamond"/>
          <w:sz w:val="24"/>
          <w:lang w:val="sq-AL" w:eastAsia="sl-SI"/>
        </w:rPr>
        <w:t>kundër</w:t>
      </w:r>
      <w:r w:rsidR="0056504D" w:rsidRPr="00B907A3">
        <w:rPr>
          <w:rFonts w:ascii="Garamond" w:hAnsi="Garamond"/>
          <w:sz w:val="24"/>
          <w:lang w:val="sq-AL" w:eastAsia="sl-SI"/>
        </w:rPr>
        <w:t>t</w:t>
      </w:r>
      <w:r w:rsidRPr="00B907A3">
        <w:rPr>
          <w:rFonts w:ascii="Garamond" w:hAnsi="Garamond"/>
          <w:sz w:val="24"/>
          <w:lang w:val="sq-AL" w:eastAsia="sl-SI"/>
        </w:rPr>
        <w:t>, duke përdorur trotuaret, duke bërë manovra të pamatura, duke shpërqendruar vëmendjen (p.sh., telefonat celularë), duke transportuar pasagjerë shtesë dhe duke pasur shikueshmëri të dobët për shkak të mungesës së dritave ose veshjeve të errëta. Aksidentet rrugore që përfshijnë skuterët elektrikë shpesh rezultojnë në lëndime serioze, më të krahasueshme me aksidentet që përfshijnë motoçikletat. Këto përfshijnë lëndime kërcënuese për jetën. Lëndimet në kokë janë deri tani lëndimet më të zakonshme në përplasjet me skuterët elektrikë</w:t>
      </w:r>
      <w:r w:rsidR="00363E33" w:rsidRPr="00B907A3">
        <w:rPr>
          <w:rFonts w:ascii="Garamond" w:hAnsi="Garamond"/>
          <w:sz w:val="24"/>
          <w:lang w:val="sq-AL" w:eastAsia="sl-SI"/>
        </w:rPr>
        <w:t>.</w:t>
      </w:r>
    </w:p>
    <w:p w14:paraId="44A1FFD7" w14:textId="0D765136" w:rsidR="00363E33" w:rsidRPr="00B907A3" w:rsidRDefault="00A03CA0" w:rsidP="008C4E07">
      <w:pPr>
        <w:pStyle w:val="ListParagraph"/>
        <w:shd w:val="clear" w:color="auto" w:fill="E2EFD9" w:themeFill="accent6" w:themeFillTint="33"/>
        <w:ind w:left="0" w:firstLine="284"/>
        <w:rPr>
          <w:rFonts w:ascii="Garamond" w:hAnsi="Garamond"/>
          <w:b/>
          <w:i/>
          <w:sz w:val="24"/>
          <w:lang w:eastAsia="sl-SI"/>
        </w:rPr>
      </w:pPr>
      <w:r w:rsidRPr="00B907A3">
        <w:rPr>
          <w:rFonts w:ascii="Garamond" w:hAnsi="Garamond"/>
          <w:b/>
          <w:i/>
          <w:sz w:val="24"/>
          <w:lang w:eastAsia="sl-SI"/>
        </w:rPr>
        <w:t xml:space="preserve">- </w:t>
      </w:r>
      <w:r w:rsidR="00275179" w:rsidRPr="00B907A3">
        <w:rPr>
          <w:rFonts w:ascii="Garamond" w:hAnsi="Garamond"/>
          <w:b/>
          <w:i/>
          <w:sz w:val="24"/>
          <w:lang w:eastAsia="sl-SI"/>
        </w:rPr>
        <w:t xml:space="preserve">Përmirësimi i sigurisë së çiklizmit në Shqipëri do të kërkojë </w:t>
      </w:r>
      <w:r w:rsidR="0053781E" w:rsidRPr="00B907A3">
        <w:rPr>
          <w:rFonts w:ascii="Garamond" w:hAnsi="Garamond"/>
          <w:b/>
          <w:i/>
          <w:sz w:val="24"/>
          <w:lang w:eastAsia="sl-SI"/>
        </w:rPr>
        <w:t xml:space="preserve">mendim strategjik dhe </w:t>
      </w:r>
      <w:r w:rsidR="00275179" w:rsidRPr="00B907A3">
        <w:rPr>
          <w:rFonts w:ascii="Garamond" w:hAnsi="Garamond"/>
          <w:b/>
          <w:i/>
          <w:sz w:val="24"/>
          <w:lang w:eastAsia="sl-SI"/>
        </w:rPr>
        <w:t>investime të koordinuara në infrastrukturë, edukim publik, ndjekjen e trendeve më të fundit në legjislacionin për skuterët elektrikë</w:t>
      </w:r>
      <w:r w:rsidR="0053781E" w:rsidRPr="00B907A3">
        <w:rPr>
          <w:rFonts w:ascii="Garamond" w:hAnsi="Garamond"/>
          <w:b/>
          <w:i/>
          <w:sz w:val="24"/>
          <w:lang w:eastAsia="sl-SI"/>
        </w:rPr>
        <w:t xml:space="preserve"> në përputhje me ga</w:t>
      </w:r>
      <w:r w:rsidR="005C1DD9">
        <w:rPr>
          <w:rFonts w:ascii="Garamond" w:hAnsi="Garamond"/>
          <w:b/>
          <w:i/>
          <w:sz w:val="24"/>
          <w:lang w:eastAsia="sl-SI"/>
        </w:rPr>
        <w:t>t</w:t>
      </w:r>
      <w:r w:rsidR="0053781E" w:rsidRPr="00B907A3">
        <w:rPr>
          <w:rFonts w:ascii="Garamond" w:hAnsi="Garamond"/>
          <w:b/>
          <w:i/>
          <w:sz w:val="24"/>
          <w:lang w:eastAsia="sl-SI"/>
        </w:rPr>
        <w:t>ishmërinë e Shqipërisë për t</w:t>
      </w:r>
      <w:r w:rsidR="00DB76F6">
        <w:rPr>
          <w:rFonts w:ascii="Garamond" w:hAnsi="Garamond"/>
          <w:b/>
          <w:i/>
          <w:sz w:val="24"/>
          <w:lang w:eastAsia="sl-SI"/>
        </w:rPr>
        <w:t>’</w:t>
      </w:r>
      <w:r w:rsidR="0053781E" w:rsidRPr="00B907A3">
        <w:rPr>
          <w:rFonts w:ascii="Garamond" w:hAnsi="Garamond"/>
          <w:b/>
          <w:i/>
          <w:sz w:val="24"/>
          <w:lang w:eastAsia="sl-SI"/>
        </w:rPr>
        <w:t xml:space="preserve">i akomoduar ato plotësisht pa kufizime, </w:t>
      </w:r>
      <w:r w:rsidR="00275179" w:rsidRPr="00B907A3">
        <w:rPr>
          <w:rFonts w:ascii="Garamond" w:hAnsi="Garamond"/>
          <w:b/>
          <w:i/>
          <w:sz w:val="24"/>
          <w:lang w:eastAsia="sl-SI"/>
        </w:rPr>
        <w:t xml:space="preserve">dhe politikat që integrojnë çiklizmin në strategjitë më të gjera të planifikimit urban. Përveç kësaj, të gjitha masat duhet të mbështeten nga zbatimi gjithëpërfshirës i rregullave të </w:t>
      </w:r>
      <w:r w:rsidR="0056504D" w:rsidRPr="00B907A3">
        <w:rPr>
          <w:rFonts w:ascii="Garamond" w:hAnsi="Garamond"/>
          <w:b/>
          <w:i/>
          <w:sz w:val="24"/>
          <w:lang w:eastAsia="sl-SI"/>
        </w:rPr>
        <w:t>qarkullimit rrugor</w:t>
      </w:r>
      <w:r w:rsidR="00363E33" w:rsidRPr="00B907A3">
        <w:rPr>
          <w:rFonts w:ascii="Garamond" w:hAnsi="Garamond"/>
          <w:b/>
          <w:i/>
          <w:sz w:val="24"/>
          <w:lang w:eastAsia="sl-SI"/>
        </w:rPr>
        <w:t>.</w:t>
      </w:r>
    </w:p>
    <w:p w14:paraId="2EE03B2B" w14:textId="3F51C998" w:rsidR="00363E33" w:rsidRPr="00B907A3" w:rsidRDefault="00A03CA0"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t xml:space="preserve">3.2.1.3 </w:t>
      </w:r>
      <w:r w:rsidR="00275179" w:rsidRPr="00B907A3">
        <w:rPr>
          <w:rFonts w:ascii="Garamond" w:hAnsi="Garamond"/>
          <w:color w:val="auto"/>
          <w:szCs w:val="24"/>
          <w:lang w:val="sq-AL"/>
        </w:rPr>
        <w:t>Motoçiklistët</w:t>
      </w:r>
    </w:p>
    <w:p w14:paraId="6B4A9E5C" w14:textId="78BF3620" w:rsidR="00363E33" w:rsidRPr="00B907A3" w:rsidRDefault="00275179" w:rsidP="008C4E07">
      <w:pPr>
        <w:spacing w:after="0"/>
        <w:ind w:firstLine="284"/>
        <w:rPr>
          <w:rFonts w:ascii="Garamond" w:hAnsi="Garamond"/>
          <w:sz w:val="24"/>
          <w:lang w:eastAsia="sl-SI"/>
        </w:rPr>
      </w:pPr>
      <w:r w:rsidRPr="00B907A3">
        <w:rPr>
          <w:rFonts w:ascii="Garamond" w:hAnsi="Garamond"/>
          <w:sz w:val="24"/>
        </w:rPr>
        <w:t>Motoçiklistët konsiderohen një grup përdoruesish të rrugës me r</w:t>
      </w:r>
      <w:r w:rsidR="00F940AF" w:rsidRPr="00B907A3">
        <w:rPr>
          <w:rFonts w:ascii="Garamond" w:hAnsi="Garamond"/>
          <w:sz w:val="24"/>
        </w:rPr>
        <w:t xml:space="preserve">isk </w:t>
      </w:r>
      <w:r w:rsidRPr="00B907A3">
        <w:rPr>
          <w:rFonts w:ascii="Garamond" w:hAnsi="Garamond"/>
          <w:sz w:val="24"/>
        </w:rPr>
        <w:t xml:space="preserve">të lartë sepse u mungon mbrojtja fizike, gjë që i bën ata më të prekshëm ndaj lëndimeve serioze ose vdekjes në aksidente. Në Shqipëri, ky rrezik përkeqësohet nga përdorimi i ulët i </w:t>
      </w:r>
      <w:r w:rsidR="002028DC" w:rsidRPr="00B907A3">
        <w:rPr>
          <w:rFonts w:ascii="Garamond" w:hAnsi="Garamond"/>
          <w:sz w:val="24"/>
        </w:rPr>
        <w:t>helmetës</w:t>
      </w:r>
      <w:r w:rsidRPr="00B907A3">
        <w:rPr>
          <w:rFonts w:ascii="Garamond" w:hAnsi="Garamond"/>
          <w:sz w:val="24"/>
        </w:rPr>
        <w:t xml:space="preserve">, shpejtësia, infrastruktura e dobët rrugore dhe zbatimi </w:t>
      </w:r>
      <w:r w:rsidRPr="00B907A3">
        <w:rPr>
          <w:rFonts w:ascii="Garamond" w:hAnsi="Garamond"/>
          <w:sz w:val="24"/>
        </w:rPr>
        <w:lastRenderedPageBreak/>
        <w:t xml:space="preserve">i </w:t>
      </w:r>
      <w:r w:rsidR="00F940AF" w:rsidRPr="00B907A3">
        <w:rPr>
          <w:rFonts w:ascii="Garamond" w:hAnsi="Garamond"/>
          <w:sz w:val="24"/>
        </w:rPr>
        <w:t>pamjaftuesh</w:t>
      </w:r>
      <w:r w:rsidR="00F940AF" w:rsidRPr="00B907A3">
        <w:rPr>
          <w:rFonts w:ascii="Garamond" w:hAnsi="Garamond"/>
          <w:sz w:val="24"/>
          <w:lang w:eastAsia="sl-SI"/>
        </w:rPr>
        <w:t>ëm</w:t>
      </w:r>
      <w:r w:rsidR="00F940AF" w:rsidRPr="00B907A3">
        <w:rPr>
          <w:rFonts w:ascii="Garamond" w:hAnsi="Garamond"/>
          <w:b/>
          <w:i/>
          <w:sz w:val="24"/>
          <w:lang w:eastAsia="sl-SI"/>
        </w:rPr>
        <w:t xml:space="preserve"> </w:t>
      </w:r>
      <w:r w:rsidRPr="00B907A3">
        <w:rPr>
          <w:rFonts w:ascii="Garamond" w:hAnsi="Garamond"/>
          <w:sz w:val="24"/>
        </w:rPr>
        <w:t xml:space="preserve">i </w:t>
      </w:r>
      <w:r w:rsidR="00F940AF" w:rsidRPr="00B907A3">
        <w:rPr>
          <w:rFonts w:ascii="Garamond" w:hAnsi="Garamond"/>
          <w:sz w:val="24"/>
        </w:rPr>
        <w:t xml:space="preserve">rregullave </w:t>
      </w:r>
      <w:r w:rsidRPr="00B907A3">
        <w:rPr>
          <w:rFonts w:ascii="Garamond" w:hAnsi="Garamond"/>
          <w:sz w:val="24"/>
        </w:rPr>
        <w:t xml:space="preserve">të sigurisë. Ata </w:t>
      </w:r>
      <w:r w:rsidR="003127FE" w:rsidRPr="00B907A3">
        <w:rPr>
          <w:rFonts w:ascii="Garamond" w:hAnsi="Garamond"/>
          <w:sz w:val="24"/>
        </w:rPr>
        <w:t>kan</w:t>
      </w:r>
      <w:r w:rsidRPr="00B907A3">
        <w:rPr>
          <w:rFonts w:ascii="Garamond" w:hAnsi="Garamond"/>
          <w:sz w:val="24"/>
        </w:rPr>
        <w:t>ë</w:t>
      </w:r>
      <w:r w:rsidR="003127FE" w:rsidRPr="00B907A3">
        <w:rPr>
          <w:rFonts w:ascii="Garamond" w:hAnsi="Garamond"/>
          <w:sz w:val="24"/>
        </w:rPr>
        <w:t xml:space="preserve"> </w:t>
      </w:r>
      <w:r w:rsidRPr="00B907A3">
        <w:rPr>
          <w:rFonts w:ascii="Garamond" w:hAnsi="Garamond"/>
          <w:sz w:val="24"/>
        </w:rPr>
        <w:t xml:space="preserve">gjithashtu </w:t>
      </w:r>
      <w:r w:rsidR="003127FE" w:rsidRPr="00B907A3">
        <w:rPr>
          <w:rFonts w:ascii="Garamond" w:hAnsi="Garamond"/>
          <w:sz w:val="24"/>
        </w:rPr>
        <w:t>p</w:t>
      </w:r>
      <w:r w:rsidRPr="00B907A3">
        <w:rPr>
          <w:rFonts w:ascii="Garamond" w:hAnsi="Garamond"/>
          <w:sz w:val="24"/>
        </w:rPr>
        <w:t>ë</w:t>
      </w:r>
      <w:r w:rsidR="003127FE" w:rsidRPr="00B907A3">
        <w:rPr>
          <w:rFonts w:ascii="Garamond" w:hAnsi="Garamond"/>
          <w:sz w:val="24"/>
        </w:rPr>
        <w:t>rqindje më të madhe</w:t>
      </w:r>
      <w:r w:rsidR="00887CC6">
        <w:rPr>
          <w:rFonts w:ascii="Garamond" w:hAnsi="Garamond"/>
          <w:sz w:val="24"/>
        </w:rPr>
        <w:t xml:space="preserve"> </w:t>
      </w:r>
      <w:r w:rsidR="003127FE" w:rsidRPr="00B907A3">
        <w:rPr>
          <w:rFonts w:ascii="Garamond" w:hAnsi="Garamond"/>
          <w:sz w:val="24"/>
        </w:rPr>
        <w:t xml:space="preserve">se normalja </w:t>
      </w:r>
      <w:r w:rsidRPr="00B907A3">
        <w:rPr>
          <w:rFonts w:ascii="Garamond" w:hAnsi="Garamond"/>
          <w:sz w:val="24"/>
        </w:rPr>
        <w:t xml:space="preserve">në </w:t>
      </w:r>
      <w:r w:rsidR="003127FE" w:rsidRPr="00B907A3">
        <w:rPr>
          <w:rFonts w:ascii="Garamond" w:hAnsi="Garamond"/>
          <w:sz w:val="24"/>
        </w:rPr>
        <w:t xml:space="preserve">numrin e </w:t>
      </w:r>
      <w:r w:rsidRPr="00B907A3">
        <w:rPr>
          <w:rFonts w:ascii="Garamond" w:hAnsi="Garamond"/>
          <w:sz w:val="24"/>
        </w:rPr>
        <w:t xml:space="preserve">aksidenteve </w:t>
      </w:r>
      <w:r w:rsidR="003127FE" w:rsidRPr="00B907A3">
        <w:rPr>
          <w:rFonts w:ascii="Garamond" w:hAnsi="Garamond"/>
          <w:sz w:val="24"/>
        </w:rPr>
        <w:t>me pasojë vdekjen</w:t>
      </w:r>
      <w:r w:rsidRPr="00B907A3">
        <w:rPr>
          <w:rFonts w:ascii="Garamond" w:hAnsi="Garamond"/>
          <w:sz w:val="24"/>
        </w:rPr>
        <w:t xml:space="preserve">, veçanërisht </w:t>
      </w:r>
      <w:r w:rsidR="005C1DD9">
        <w:rPr>
          <w:rFonts w:ascii="Garamond" w:hAnsi="Garamond"/>
          <w:sz w:val="24"/>
        </w:rPr>
        <w:t>në r</w:t>
      </w:r>
      <w:r w:rsidR="003127FE" w:rsidRPr="00B907A3">
        <w:rPr>
          <w:rFonts w:ascii="Garamond" w:hAnsi="Garamond"/>
          <w:sz w:val="24"/>
        </w:rPr>
        <w:t xml:space="preserve">adhët e drejtuesve të rinj </w:t>
      </w:r>
      <w:r w:rsidRPr="00B907A3">
        <w:rPr>
          <w:rFonts w:ascii="Garamond" w:hAnsi="Garamond"/>
          <w:sz w:val="24"/>
        </w:rPr>
        <w:t>dhe pa përvojë</w:t>
      </w:r>
      <w:r w:rsidR="003127FE" w:rsidRPr="00B907A3">
        <w:rPr>
          <w:rFonts w:ascii="Garamond" w:hAnsi="Garamond"/>
          <w:sz w:val="24"/>
        </w:rPr>
        <w:t xml:space="preserve"> të motoçikletave</w:t>
      </w:r>
      <w:r w:rsidRPr="00B907A3">
        <w:rPr>
          <w:rFonts w:ascii="Garamond" w:hAnsi="Garamond"/>
          <w:sz w:val="24"/>
        </w:rPr>
        <w:t xml:space="preserve">. Numri i motoçikletave të regjistruara është rritur gjithashtu ndjeshëm në dekadën e fundit. Këta faktorë të kombinuar e bëjnë motoçiklizmin një nga mënyrat më të rrezikshme të </w:t>
      </w:r>
      <w:r w:rsidR="003127FE" w:rsidRPr="00B907A3">
        <w:rPr>
          <w:rFonts w:ascii="Garamond" w:hAnsi="Garamond"/>
          <w:sz w:val="24"/>
        </w:rPr>
        <w:t>lëvizjes</w:t>
      </w:r>
      <w:r w:rsidRPr="00B907A3">
        <w:rPr>
          <w:rFonts w:ascii="Garamond" w:hAnsi="Garamond"/>
          <w:sz w:val="24"/>
        </w:rPr>
        <w:t xml:space="preserve">. Motoçiklistët renditen menjëherë pas këmbësorëve për sa i përket përfshirjes në aksidente rrugore </w:t>
      </w:r>
      <w:r w:rsidR="003127FE" w:rsidRPr="00B907A3">
        <w:rPr>
          <w:rFonts w:ascii="Garamond" w:hAnsi="Garamond"/>
          <w:sz w:val="24"/>
        </w:rPr>
        <w:t xml:space="preserve">me pasojë vdekjen </w:t>
      </w:r>
      <w:r w:rsidRPr="00B907A3">
        <w:rPr>
          <w:rFonts w:ascii="Garamond" w:hAnsi="Garamond"/>
          <w:sz w:val="24"/>
        </w:rPr>
        <w:t xml:space="preserve">dhe të rënda. Kjo pasqyron ekspozimin e tyre </w:t>
      </w:r>
      <w:r w:rsidRPr="00B907A3">
        <w:rPr>
          <w:rFonts w:ascii="Garamond" w:hAnsi="Garamond"/>
          <w:sz w:val="24"/>
          <w:lang w:eastAsia="sl-SI"/>
        </w:rPr>
        <w:t xml:space="preserve">ndaj </w:t>
      </w:r>
      <w:r w:rsidR="003127FE" w:rsidRPr="00B907A3">
        <w:rPr>
          <w:rFonts w:ascii="Garamond" w:hAnsi="Garamond"/>
          <w:sz w:val="24"/>
          <w:lang w:eastAsia="sl-SI"/>
        </w:rPr>
        <w:t xml:space="preserve">riskut </w:t>
      </w:r>
      <w:r w:rsidRPr="00B907A3">
        <w:rPr>
          <w:rFonts w:ascii="Garamond" w:hAnsi="Garamond"/>
          <w:sz w:val="24"/>
          <w:lang w:eastAsia="sl-SI"/>
        </w:rPr>
        <w:t>dhe mungesë</w:t>
      </w:r>
      <w:r w:rsidR="003127FE" w:rsidRPr="00B907A3">
        <w:rPr>
          <w:rFonts w:ascii="Garamond" w:hAnsi="Garamond"/>
          <w:sz w:val="24"/>
          <w:lang w:eastAsia="sl-SI"/>
        </w:rPr>
        <w:t xml:space="preserve">n e </w:t>
      </w:r>
      <w:r w:rsidRPr="00B907A3">
        <w:rPr>
          <w:rFonts w:ascii="Garamond" w:hAnsi="Garamond"/>
          <w:sz w:val="24"/>
          <w:lang w:eastAsia="sl-SI"/>
        </w:rPr>
        <w:t xml:space="preserve">mbrojtjes që kanë krahasuar me pasagjerët e automjeteve. Motoçiklistët janë një grup shumë i ekspozuar në </w:t>
      </w:r>
      <w:r w:rsidR="003127FE" w:rsidRPr="00B907A3">
        <w:rPr>
          <w:rFonts w:ascii="Garamond" w:hAnsi="Garamond"/>
          <w:sz w:val="24"/>
          <w:lang w:eastAsia="sl-SI"/>
        </w:rPr>
        <w:t xml:space="preserve">qarkullimin </w:t>
      </w:r>
      <w:r w:rsidRPr="00B907A3">
        <w:rPr>
          <w:rFonts w:ascii="Garamond" w:hAnsi="Garamond"/>
          <w:sz w:val="24"/>
          <w:lang w:eastAsia="sl-SI"/>
        </w:rPr>
        <w:t xml:space="preserve">rrugor, pasi pjesa e tyre </w:t>
      </w:r>
      <w:r w:rsidR="005C69B0" w:rsidRPr="00B907A3">
        <w:rPr>
          <w:rFonts w:ascii="Garamond" w:hAnsi="Garamond"/>
          <w:sz w:val="24"/>
          <w:lang w:eastAsia="sl-SI"/>
        </w:rPr>
        <w:t>në</w:t>
      </w:r>
      <w:r w:rsidRPr="00B907A3">
        <w:rPr>
          <w:rFonts w:ascii="Garamond" w:hAnsi="Garamond"/>
          <w:sz w:val="24"/>
          <w:lang w:eastAsia="sl-SI"/>
        </w:rPr>
        <w:t xml:space="preserve"> </w:t>
      </w:r>
      <w:r w:rsidR="005C69B0" w:rsidRPr="00B907A3">
        <w:rPr>
          <w:rFonts w:ascii="Garamond" w:hAnsi="Garamond"/>
          <w:sz w:val="24"/>
          <w:lang w:eastAsia="sl-SI"/>
        </w:rPr>
        <w:t>fatalitete</w:t>
      </w:r>
      <w:r w:rsidRPr="00B907A3">
        <w:rPr>
          <w:rFonts w:ascii="Garamond" w:hAnsi="Garamond"/>
          <w:sz w:val="24"/>
          <w:lang w:eastAsia="sl-SI"/>
        </w:rPr>
        <w:t xml:space="preserve"> dhe lëndime është në rritje. Në periudhën 2021</w:t>
      </w:r>
      <w:r w:rsidR="00D121E9">
        <w:rPr>
          <w:rFonts w:ascii="Garamond" w:hAnsi="Garamond"/>
          <w:sz w:val="24"/>
        </w:rPr>
        <w:t>–</w:t>
      </w:r>
      <w:r w:rsidRPr="00B907A3">
        <w:rPr>
          <w:rFonts w:ascii="Garamond" w:hAnsi="Garamond"/>
          <w:sz w:val="24"/>
          <w:lang w:eastAsia="sl-SI"/>
        </w:rPr>
        <w:t xml:space="preserve">2024, motoçiklistët përbënin 13% të të gjitha </w:t>
      </w:r>
      <w:r w:rsidR="008C2CD8" w:rsidRPr="00B907A3">
        <w:rPr>
          <w:rFonts w:ascii="Garamond" w:hAnsi="Garamond"/>
          <w:sz w:val="24"/>
          <w:lang w:eastAsia="sl-SI"/>
        </w:rPr>
        <w:t>fataliteteve</w:t>
      </w:r>
      <w:r w:rsidRPr="00B907A3">
        <w:rPr>
          <w:rFonts w:ascii="Garamond" w:hAnsi="Garamond"/>
          <w:sz w:val="24"/>
          <w:lang w:eastAsia="sl-SI"/>
        </w:rPr>
        <w:t>, siç paraqitet në Figurën 3-11, dhe 16% të të gjitha lëndimeve në rrugët e Shqipërisë</w:t>
      </w:r>
      <w:r w:rsidR="00363E33" w:rsidRPr="00B907A3">
        <w:rPr>
          <w:rFonts w:ascii="Garamond" w:hAnsi="Garamond"/>
          <w:sz w:val="24"/>
          <w:lang w:eastAsia="sl-SI"/>
        </w:rPr>
        <w:t>.</w:t>
      </w:r>
    </w:p>
    <w:p w14:paraId="2B2D8A20" w14:textId="6DF427D1" w:rsidR="00275179" w:rsidRPr="005C1DD9" w:rsidRDefault="00EB4FB7" w:rsidP="008C4E07">
      <w:pPr>
        <w:spacing w:after="0"/>
        <w:ind w:firstLine="284"/>
        <w:jc w:val="left"/>
        <w:rPr>
          <w:rFonts w:ascii="Garamond" w:hAnsi="Garamond"/>
          <w:i/>
          <w:iCs/>
          <w:sz w:val="24"/>
        </w:rPr>
      </w:pPr>
      <w:bookmarkStart w:id="41" w:name="_Toc208841005"/>
      <w:r w:rsidRPr="005C1DD9">
        <w:rPr>
          <w:rFonts w:ascii="Garamond" w:hAnsi="Garamond"/>
          <w:i/>
          <w:sz w:val="24"/>
        </w:rPr>
        <w:t>Figur</w:t>
      </w:r>
      <w:r w:rsidR="00275179" w:rsidRPr="005C1DD9">
        <w:rPr>
          <w:rFonts w:ascii="Garamond" w:hAnsi="Garamond"/>
          <w:i/>
          <w:sz w:val="24"/>
        </w:rPr>
        <w:t>a</w:t>
      </w:r>
      <w:r w:rsidRPr="005C1DD9">
        <w:rPr>
          <w:rFonts w:ascii="Garamond" w:hAnsi="Garamond"/>
          <w:i/>
          <w:sz w:val="24"/>
        </w:rPr>
        <w:t xml:space="preserve"> </w:t>
      </w:r>
      <w:r w:rsidR="00B430D5" w:rsidRPr="005C1DD9">
        <w:rPr>
          <w:rFonts w:ascii="Garamond" w:hAnsi="Garamond"/>
          <w:i/>
          <w:sz w:val="24"/>
        </w:rPr>
        <w:fldChar w:fldCharType="begin"/>
      </w:r>
      <w:r w:rsidR="00B430D5" w:rsidRPr="005C1DD9">
        <w:rPr>
          <w:rFonts w:ascii="Garamond" w:hAnsi="Garamond"/>
          <w:i/>
          <w:sz w:val="24"/>
        </w:rPr>
        <w:instrText xml:space="preserve"> STYLEREF 1 \s </w:instrText>
      </w:r>
      <w:r w:rsidR="00B430D5" w:rsidRPr="005C1DD9">
        <w:rPr>
          <w:rFonts w:ascii="Garamond" w:hAnsi="Garamond"/>
          <w:i/>
          <w:sz w:val="24"/>
        </w:rPr>
        <w:fldChar w:fldCharType="separate"/>
      </w:r>
      <w:r w:rsidR="00000896" w:rsidRPr="005C1DD9">
        <w:rPr>
          <w:rFonts w:ascii="Garamond" w:hAnsi="Garamond"/>
          <w:i/>
          <w:sz w:val="24"/>
        </w:rPr>
        <w:t>3</w:t>
      </w:r>
      <w:r w:rsidR="00B430D5" w:rsidRPr="005C1DD9">
        <w:rPr>
          <w:rFonts w:ascii="Garamond" w:hAnsi="Garamond"/>
          <w:i/>
          <w:sz w:val="24"/>
        </w:rPr>
        <w:fldChar w:fldCharType="end"/>
      </w:r>
      <w:r w:rsidR="00B430D5" w:rsidRPr="005C1DD9">
        <w:rPr>
          <w:rFonts w:ascii="Garamond" w:hAnsi="Garamond"/>
          <w:i/>
          <w:sz w:val="24"/>
        </w:rPr>
        <w:noBreakHyphen/>
      </w:r>
      <w:r w:rsidR="00862CC9" w:rsidRPr="005C1DD9">
        <w:rPr>
          <w:rFonts w:ascii="Garamond" w:hAnsi="Garamond"/>
          <w:i/>
          <w:sz w:val="24"/>
        </w:rPr>
        <w:t>10</w:t>
      </w:r>
      <w:r w:rsidR="005C1DD9" w:rsidRPr="005C1DD9">
        <w:rPr>
          <w:rFonts w:ascii="Garamond" w:hAnsi="Garamond"/>
          <w:i/>
          <w:sz w:val="24"/>
        </w:rPr>
        <w:t>.</w:t>
      </w:r>
      <w:r w:rsidRPr="005C1DD9">
        <w:rPr>
          <w:rFonts w:ascii="Garamond" w:hAnsi="Garamond"/>
          <w:i/>
          <w:sz w:val="24"/>
        </w:rPr>
        <w:t xml:space="preserve"> </w:t>
      </w:r>
      <w:r w:rsidR="008C2CD8" w:rsidRPr="005C1DD9">
        <w:rPr>
          <w:rFonts w:ascii="Garamond" w:hAnsi="Garamond"/>
          <w:i/>
          <w:iCs/>
          <w:sz w:val="24"/>
        </w:rPr>
        <w:t>Fatalitetet</w:t>
      </w:r>
      <w:r w:rsidR="00275179" w:rsidRPr="005C1DD9">
        <w:rPr>
          <w:rFonts w:ascii="Garamond" w:hAnsi="Garamond"/>
          <w:i/>
          <w:iCs/>
          <w:sz w:val="24"/>
        </w:rPr>
        <w:t xml:space="preserve"> e përdoruesve të rrugës, përfshirë shkallën e vdekshmërisë për motoçiklistët, 2021</w:t>
      </w:r>
      <w:r w:rsidR="005C1DD9" w:rsidRPr="005C1DD9">
        <w:rPr>
          <w:rFonts w:ascii="Garamond" w:hAnsi="Garamond"/>
          <w:i/>
          <w:sz w:val="24"/>
        </w:rPr>
        <w:t>–</w:t>
      </w:r>
      <w:r w:rsidR="00275179" w:rsidRPr="005C1DD9">
        <w:rPr>
          <w:rFonts w:ascii="Garamond" w:hAnsi="Garamond"/>
          <w:i/>
          <w:iCs/>
          <w:sz w:val="24"/>
        </w:rPr>
        <w:t>2024</w:t>
      </w:r>
      <w:bookmarkEnd w:id="41"/>
    </w:p>
    <w:p w14:paraId="28AA230A" w14:textId="6A86E760" w:rsidR="00363E33" w:rsidRPr="00B907A3" w:rsidRDefault="00275179" w:rsidP="008C4E07">
      <w:pPr>
        <w:spacing w:after="0"/>
        <w:ind w:firstLine="284"/>
        <w:jc w:val="left"/>
        <w:rPr>
          <w:rFonts w:ascii="Garamond" w:hAnsi="Garamond"/>
          <w:sz w:val="24"/>
          <w:lang w:eastAsia="en-GB"/>
        </w:rPr>
      </w:pPr>
      <w:r w:rsidRPr="00B907A3">
        <w:rPr>
          <w:rFonts w:ascii="Garamond" w:hAnsi="Garamond"/>
          <w:iCs/>
          <w:sz w:val="24"/>
        </w:rPr>
        <w:t xml:space="preserve">(Burimi: Ministria e </w:t>
      </w:r>
      <w:r w:rsidR="000477AD" w:rsidRPr="00B907A3">
        <w:rPr>
          <w:rFonts w:ascii="Garamond" w:hAnsi="Garamond"/>
          <w:iCs/>
          <w:sz w:val="24"/>
        </w:rPr>
        <w:t xml:space="preserve">Punëve të </w:t>
      </w:r>
      <w:r w:rsidRPr="00B907A3">
        <w:rPr>
          <w:rFonts w:ascii="Garamond" w:hAnsi="Garamond"/>
          <w:iCs/>
          <w:sz w:val="24"/>
        </w:rPr>
        <w:t>Brendshme)</w:t>
      </w:r>
    </w:p>
    <w:p w14:paraId="220EF49A" w14:textId="77777777" w:rsidR="00363E33" w:rsidRPr="00B907A3" w:rsidRDefault="00363E33" w:rsidP="008C4E07">
      <w:pPr>
        <w:spacing w:after="0"/>
        <w:ind w:firstLine="284"/>
        <w:jc w:val="center"/>
        <w:rPr>
          <w:rFonts w:ascii="Garamond" w:hAnsi="Garamond"/>
          <w:sz w:val="24"/>
        </w:rPr>
      </w:pPr>
      <w:r w:rsidRPr="00B907A3">
        <w:rPr>
          <w:rFonts w:ascii="Garamond" w:hAnsi="Garamond"/>
          <w:noProof/>
          <w:sz w:val="24"/>
          <w:shd w:val="clear" w:color="auto" w:fill="FFFFFF" w:themeFill="background1"/>
          <w:lang w:eastAsia="sq-AL"/>
        </w:rPr>
        <w:drawing>
          <wp:inline distT="0" distB="0" distL="0" distR="0" wp14:anchorId="040FFF38" wp14:editId="13C81C62">
            <wp:extent cx="5145206" cy="3282514"/>
            <wp:effectExtent l="0" t="0" r="0" b="0"/>
            <wp:docPr id="11" name="Grafikon 11">
              <a:extLst xmlns:a="http://schemas.openxmlformats.org/drawingml/2006/main">
                <a:ext uri="{FF2B5EF4-FFF2-40B4-BE49-F238E27FC236}">
                  <a16:creationId xmlns:a16="http://schemas.microsoft.com/office/drawing/2014/main" id="{1AC0AB41-2EA9-9773-BDBB-5360B92AEB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2CA73BD" w14:textId="48F681F7" w:rsidR="00363E33" w:rsidRPr="00B907A3" w:rsidRDefault="00275179" w:rsidP="008C4E07">
      <w:pPr>
        <w:autoSpaceDE w:val="0"/>
        <w:autoSpaceDN w:val="0"/>
        <w:adjustRightInd w:val="0"/>
        <w:spacing w:after="0"/>
        <w:ind w:firstLine="284"/>
        <w:rPr>
          <w:rFonts w:ascii="Garamond" w:hAnsi="Garamond"/>
          <w:sz w:val="24"/>
        </w:rPr>
      </w:pPr>
      <w:r w:rsidRPr="00B907A3">
        <w:rPr>
          <w:rFonts w:ascii="Garamond" w:hAnsi="Garamond"/>
          <w:sz w:val="24"/>
          <w:lang w:eastAsia="sl-SI"/>
        </w:rPr>
        <w:t xml:space="preserve">Rritja e </w:t>
      </w:r>
      <w:r w:rsidR="003127FE" w:rsidRPr="00B907A3">
        <w:rPr>
          <w:rFonts w:ascii="Garamond" w:hAnsi="Garamond"/>
          <w:sz w:val="24"/>
          <w:lang w:eastAsia="sl-SI"/>
        </w:rPr>
        <w:t>respektimit t</w:t>
      </w:r>
      <w:r w:rsidR="003127FE" w:rsidRPr="00B907A3">
        <w:rPr>
          <w:rFonts w:ascii="Garamond" w:hAnsi="Garamond"/>
          <w:sz w:val="24"/>
        </w:rPr>
        <w:t xml:space="preserve">ë detyrimit për të vendosur </w:t>
      </w:r>
      <w:r w:rsidR="00F118AB" w:rsidRPr="00B907A3">
        <w:rPr>
          <w:rFonts w:ascii="Garamond" w:hAnsi="Garamond"/>
          <w:sz w:val="24"/>
        </w:rPr>
        <w:t>helmetën</w:t>
      </w:r>
      <w:r w:rsidR="003127FE" w:rsidRPr="00B907A3">
        <w:rPr>
          <w:rFonts w:ascii="Garamond" w:hAnsi="Garamond"/>
          <w:sz w:val="24"/>
        </w:rPr>
        <w:t xml:space="preserve"> </w:t>
      </w:r>
      <w:r w:rsidRPr="00B907A3">
        <w:rPr>
          <w:rFonts w:ascii="Garamond" w:hAnsi="Garamond"/>
          <w:sz w:val="24"/>
          <w:lang w:eastAsia="sl-SI"/>
        </w:rPr>
        <w:t xml:space="preserve">do të zvogëlonte ndjeshëm </w:t>
      </w:r>
      <w:r w:rsidR="00F118AB" w:rsidRPr="00B907A3">
        <w:rPr>
          <w:rFonts w:ascii="Garamond" w:hAnsi="Garamond"/>
          <w:sz w:val="24"/>
          <w:lang w:eastAsia="sl-SI"/>
        </w:rPr>
        <w:t>fatalitetet</w:t>
      </w:r>
      <w:r w:rsidRPr="00B907A3">
        <w:rPr>
          <w:rFonts w:ascii="Garamond" w:hAnsi="Garamond"/>
          <w:sz w:val="24"/>
          <w:lang w:eastAsia="sl-SI"/>
        </w:rPr>
        <w:t xml:space="preserve"> dhe </w:t>
      </w:r>
      <w:r w:rsidR="00C7129C" w:rsidRPr="00B907A3">
        <w:rPr>
          <w:rFonts w:ascii="Garamond" w:hAnsi="Garamond"/>
          <w:sz w:val="24"/>
          <w:lang w:eastAsia="sl-SI"/>
        </w:rPr>
        <w:t xml:space="preserve">lëndimet me </w:t>
      </w:r>
      <w:r w:rsidR="005C1DD9" w:rsidRPr="00B907A3">
        <w:rPr>
          <w:rFonts w:ascii="Garamond" w:hAnsi="Garamond"/>
          <w:sz w:val="24"/>
          <w:lang w:eastAsia="sl-SI"/>
        </w:rPr>
        <w:t>paaftësime</w:t>
      </w:r>
      <w:r w:rsidR="003127FE" w:rsidRPr="00B907A3">
        <w:rPr>
          <w:rFonts w:ascii="Garamond" w:hAnsi="Garamond"/>
          <w:sz w:val="24"/>
          <w:lang w:eastAsia="sl-SI"/>
        </w:rPr>
        <w:t xml:space="preserve"> </w:t>
      </w:r>
      <w:r w:rsidRPr="00B907A3">
        <w:rPr>
          <w:rFonts w:ascii="Garamond" w:hAnsi="Garamond"/>
          <w:sz w:val="24"/>
          <w:lang w:eastAsia="sl-SI"/>
        </w:rPr>
        <w:t>afatgjat</w:t>
      </w:r>
      <w:r w:rsidR="00A84309" w:rsidRPr="00B907A3">
        <w:rPr>
          <w:rFonts w:ascii="Garamond" w:hAnsi="Garamond"/>
          <w:sz w:val="24"/>
          <w:lang w:eastAsia="sl-SI"/>
        </w:rPr>
        <w:t>a</w:t>
      </w:r>
      <w:r w:rsidRPr="00B907A3">
        <w:rPr>
          <w:rFonts w:ascii="Garamond" w:hAnsi="Garamond"/>
          <w:sz w:val="24"/>
          <w:lang w:eastAsia="sl-SI"/>
        </w:rPr>
        <w:t>. Motoçiklistët shpesh përfshihen në udhëtime me shpejtësi të lartë dhe mund të manovrojnë shpejt, gjë që i bën ata më të vështirë për</w:t>
      </w:r>
      <w:r w:rsidR="00887CC6">
        <w:rPr>
          <w:rFonts w:ascii="Garamond" w:hAnsi="Garamond"/>
          <w:sz w:val="24"/>
          <w:lang w:eastAsia="sl-SI"/>
        </w:rPr>
        <w:t xml:space="preserve"> </w:t>
      </w:r>
      <w:r w:rsidR="00DB76F6">
        <w:rPr>
          <w:rFonts w:ascii="Garamond" w:hAnsi="Garamond"/>
          <w:sz w:val="24"/>
          <w:lang w:eastAsia="sl-SI"/>
        </w:rPr>
        <w:t>t’u</w:t>
      </w:r>
      <w:r w:rsidR="00887CC6">
        <w:rPr>
          <w:rFonts w:ascii="Garamond" w:hAnsi="Garamond"/>
          <w:sz w:val="24"/>
          <w:lang w:eastAsia="sl-SI"/>
        </w:rPr>
        <w:t xml:space="preserve"> </w:t>
      </w:r>
      <w:r w:rsidRPr="00B907A3">
        <w:rPr>
          <w:rFonts w:ascii="Garamond" w:hAnsi="Garamond"/>
          <w:sz w:val="24"/>
          <w:lang w:eastAsia="sl-SI"/>
        </w:rPr>
        <w:t xml:space="preserve">parashikuar dhe shmangur nga përdoruesit e tjerë të rrugës. Ata shpesh anashkalohen ose tejkalohen nga shoferët e tjerë. Shpejtësia është një nga faktorët kryesorë të </w:t>
      </w:r>
      <w:r w:rsidR="003127FE" w:rsidRPr="00B907A3">
        <w:rPr>
          <w:rFonts w:ascii="Garamond" w:hAnsi="Garamond"/>
          <w:sz w:val="24"/>
          <w:lang w:eastAsia="sl-SI"/>
        </w:rPr>
        <w:t xml:space="preserve">riskut </w:t>
      </w:r>
      <w:r w:rsidRPr="00B907A3">
        <w:rPr>
          <w:rFonts w:ascii="Garamond" w:hAnsi="Garamond"/>
          <w:sz w:val="24"/>
          <w:lang w:eastAsia="sl-SI"/>
        </w:rPr>
        <w:t xml:space="preserve">të sjelljes që kontribuon në aksidentet që përfshijnë motoçiklistët. </w:t>
      </w:r>
      <w:r w:rsidR="00785203" w:rsidRPr="00B907A3">
        <w:rPr>
          <w:rFonts w:ascii="Garamond" w:hAnsi="Garamond"/>
          <w:sz w:val="24"/>
          <w:lang w:eastAsia="sl-SI"/>
        </w:rPr>
        <w:t>S</w:t>
      </w:r>
      <w:r w:rsidRPr="00B907A3">
        <w:rPr>
          <w:rFonts w:ascii="Garamond" w:hAnsi="Garamond"/>
          <w:sz w:val="24"/>
          <w:lang w:eastAsia="sl-SI"/>
        </w:rPr>
        <w:t>injalistika rrugore shpesh projektohe</w:t>
      </w:r>
      <w:r w:rsidR="00785203" w:rsidRPr="00B907A3">
        <w:rPr>
          <w:rFonts w:ascii="Garamond" w:hAnsi="Garamond"/>
          <w:sz w:val="24"/>
          <w:lang w:eastAsia="sl-SI"/>
        </w:rPr>
        <w:t>t</w:t>
      </w:r>
      <w:r w:rsidRPr="00B907A3">
        <w:rPr>
          <w:rFonts w:ascii="Garamond" w:hAnsi="Garamond"/>
          <w:sz w:val="24"/>
          <w:lang w:eastAsia="sl-SI"/>
        </w:rPr>
        <w:t xml:space="preserve"> duke pasur parasysh makinat dhe jo </w:t>
      </w:r>
      <w:r w:rsidR="00437E74" w:rsidRPr="00B907A3">
        <w:rPr>
          <w:rFonts w:ascii="Garamond" w:hAnsi="Garamond"/>
          <w:sz w:val="24"/>
          <w:lang w:eastAsia="sl-SI"/>
        </w:rPr>
        <w:t>moto</w:t>
      </w:r>
      <w:r w:rsidRPr="00B907A3">
        <w:rPr>
          <w:rFonts w:ascii="Garamond" w:hAnsi="Garamond"/>
          <w:sz w:val="24"/>
          <w:lang w:eastAsia="sl-SI"/>
        </w:rPr>
        <w:t>mjetet. Përveç kësaj, manovrimi në trafikun e dendur urban mund</w:t>
      </w:r>
      <w:r w:rsidR="00887CC6">
        <w:rPr>
          <w:rFonts w:ascii="Garamond" w:hAnsi="Garamond"/>
          <w:sz w:val="24"/>
          <w:lang w:eastAsia="sl-SI"/>
        </w:rPr>
        <w:t xml:space="preserve"> </w:t>
      </w:r>
      <w:r w:rsidR="007951BD">
        <w:rPr>
          <w:rFonts w:ascii="Garamond" w:hAnsi="Garamond"/>
          <w:sz w:val="24"/>
          <w:lang w:eastAsia="sl-SI"/>
        </w:rPr>
        <w:t>t’i</w:t>
      </w:r>
      <w:r w:rsidR="00887CC6">
        <w:rPr>
          <w:rFonts w:ascii="Garamond" w:hAnsi="Garamond"/>
          <w:sz w:val="24"/>
          <w:lang w:eastAsia="sl-SI"/>
        </w:rPr>
        <w:t xml:space="preserve"> </w:t>
      </w:r>
      <w:r w:rsidRPr="00B907A3">
        <w:rPr>
          <w:rFonts w:ascii="Garamond" w:hAnsi="Garamond"/>
          <w:sz w:val="24"/>
          <w:lang w:eastAsia="sl-SI"/>
        </w:rPr>
        <w:t>bëjë motoçikletat më pak të dukshme dhe, për këtë arsye, më të prekshme</w:t>
      </w:r>
      <w:r w:rsidR="00E4542D" w:rsidRPr="00B907A3">
        <w:rPr>
          <w:rFonts w:ascii="Garamond" w:hAnsi="Garamond"/>
          <w:sz w:val="24"/>
        </w:rPr>
        <w:t>.</w:t>
      </w:r>
    </w:p>
    <w:p w14:paraId="1BC6F18E" w14:textId="2258DF7A" w:rsidR="00363E33" w:rsidRPr="00B907A3" w:rsidRDefault="00A03CA0" w:rsidP="008C4E07">
      <w:pPr>
        <w:pStyle w:val="NormalWeb"/>
        <w:shd w:val="clear" w:color="auto" w:fill="E2EFD9" w:themeFill="accent6" w:themeFillTint="33"/>
        <w:spacing w:line="240" w:lineRule="auto"/>
        <w:ind w:firstLine="284"/>
        <w:jc w:val="both"/>
        <w:rPr>
          <w:rFonts w:ascii="Garamond" w:hAnsi="Garamond"/>
          <w:b/>
          <w:i/>
          <w:sz w:val="24"/>
          <w:lang w:val="sq-AL" w:eastAsia="sl-SI"/>
        </w:rPr>
      </w:pPr>
      <w:r w:rsidRPr="00B907A3">
        <w:rPr>
          <w:rFonts w:ascii="Garamond" w:hAnsi="Garamond"/>
          <w:b/>
          <w:i/>
          <w:sz w:val="24"/>
          <w:lang w:val="sq-AL" w:eastAsia="sl-SI"/>
        </w:rPr>
        <w:t xml:space="preserve">- </w:t>
      </w:r>
      <w:r w:rsidR="00275179" w:rsidRPr="00B907A3">
        <w:rPr>
          <w:rFonts w:ascii="Garamond" w:hAnsi="Garamond"/>
          <w:b/>
          <w:i/>
          <w:sz w:val="24"/>
          <w:lang w:val="sq-AL" w:eastAsia="sl-SI"/>
        </w:rPr>
        <w:t>Duke pasur parasysh mundësinë e rritjes së vazhdueshme të përdorimit të motoçikletave, është thelbësore</w:t>
      </w:r>
      <w:r w:rsidR="00887CC6">
        <w:rPr>
          <w:rFonts w:ascii="Garamond" w:hAnsi="Garamond"/>
          <w:b/>
          <w:i/>
          <w:sz w:val="24"/>
          <w:lang w:val="sq-AL" w:eastAsia="sl-SI"/>
        </w:rPr>
        <w:t xml:space="preserve"> </w:t>
      </w:r>
      <w:r w:rsidR="007951BD">
        <w:rPr>
          <w:rFonts w:ascii="Garamond" w:hAnsi="Garamond"/>
          <w:b/>
          <w:i/>
          <w:sz w:val="24"/>
          <w:lang w:val="sq-AL" w:eastAsia="sl-SI"/>
        </w:rPr>
        <w:t>t’i</w:t>
      </w:r>
      <w:r w:rsidR="00887CC6">
        <w:rPr>
          <w:rFonts w:ascii="Garamond" w:hAnsi="Garamond"/>
          <w:b/>
          <w:i/>
          <w:sz w:val="24"/>
          <w:lang w:val="sq-AL" w:eastAsia="sl-SI"/>
        </w:rPr>
        <w:t xml:space="preserve"> </w:t>
      </w:r>
      <w:r w:rsidR="00275179" w:rsidRPr="00B907A3">
        <w:rPr>
          <w:rFonts w:ascii="Garamond" w:hAnsi="Garamond"/>
          <w:b/>
          <w:i/>
          <w:sz w:val="24"/>
          <w:lang w:val="sq-AL" w:eastAsia="sl-SI"/>
        </w:rPr>
        <w:t xml:space="preserve">jepet përparësi përshtatjes së infrastrukturës, edukimit të </w:t>
      </w:r>
      <w:r w:rsidR="00654CBD" w:rsidRPr="00B907A3">
        <w:rPr>
          <w:rFonts w:ascii="Garamond" w:hAnsi="Garamond"/>
          <w:b/>
          <w:i/>
          <w:sz w:val="24"/>
          <w:lang w:val="sq-AL" w:eastAsia="sl-SI"/>
        </w:rPr>
        <w:t>selektuar</w:t>
      </w:r>
      <w:r w:rsidR="00275179" w:rsidRPr="00B907A3">
        <w:rPr>
          <w:rFonts w:ascii="Garamond" w:hAnsi="Garamond"/>
          <w:b/>
          <w:i/>
          <w:sz w:val="24"/>
          <w:lang w:val="sq-AL" w:eastAsia="sl-SI"/>
        </w:rPr>
        <w:t xml:space="preserve">, zbatimit më të rreptë të rregullave të sigurisë në </w:t>
      </w:r>
      <w:r w:rsidR="00133164" w:rsidRPr="00B907A3">
        <w:rPr>
          <w:rFonts w:ascii="Garamond" w:hAnsi="Garamond"/>
          <w:b/>
          <w:i/>
          <w:sz w:val="24"/>
          <w:lang w:val="sq-AL" w:eastAsia="sl-SI"/>
        </w:rPr>
        <w:t xml:space="preserve">qarkullim </w:t>
      </w:r>
      <w:r w:rsidR="00275179" w:rsidRPr="00B907A3">
        <w:rPr>
          <w:rFonts w:ascii="Garamond" w:hAnsi="Garamond"/>
          <w:b/>
          <w:i/>
          <w:sz w:val="24"/>
          <w:lang w:val="sq-AL" w:eastAsia="sl-SI"/>
        </w:rPr>
        <w:t>dhe, ndoshta, mbështetjes financiare për pajisjet e sigurisë për të mbrojtur motoçiklistët</w:t>
      </w:r>
      <w:r w:rsidR="005D21CC" w:rsidRPr="00B907A3">
        <w:rPr>
          <w:rFonts w:ascii="Garamond" w:hAnsi="Garamond"/>
          <w:b/>
          <w:i/>
          <w:sz w:val="24"/>
          <w:lang w:val="sq-AL" w:eastAsia="sl-SI"/>
        </w:rPr>
        <w:t>.</w:t>
      </w:r>
    </w:p>
    <w:p w14:paraId="2598B0F5" w14:textId="0779E2DC" w:rsidR="006B3C51" w:rsidRPr="00B907A3" w:rsidRDefault="00A03CA0"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t xml:space="preserve">3.2.1.4 </w:t>
      </w:r>
      <w:r w:rsidR="00133164" w:rsidRPr="00B907A3">
        <w:rPr>
          <w:rFonts w:ascii="Garamond" w:hAnsi="Garamond"/>
          <w:color w:val="auto"/>
          <w:szCs w:val="24"/>
          <w:lang w:val="sq-AL"/>
        </w:rPr>
        <w:t>Drejtuesit e mjeteve dhe</w:t>
      </w:r>
      <w:r w:rsidR="00887CC6">
        <w:rPr>
          <w:rFonts w:ascii="Garamond" w:hAnsi="Garamond"/>
          <w:color w:val="auto"/>
          <w:szCs w:val="24"/>
          <w:lang w:val="sq-AL"/>
        </w:rPr>
        <w:t xml:space="preserve"> </w:t>
      </w:r>
      <w:r w:rsidR="006B3C51" w:rsidRPr="00B907A3">
        <w:rPr>
          <w:rFonts w:ascii="Garamond" w:hAnsi="Garamond"/>
          <w:color w:val="auto"/>
          <w:szCs w:val="24"/>
          <w:lang w:val="sq-AL"/>
        </w:rPr>
        <w:t>pasagjerët</w:t>
      </w:r>
    </w:p>
    <w:p w14:paraId="5E189351" w14:textId="024C18DF" w:rsidR="0059360A" w:rsidRPr="00B907A3" w:rsidRDefault="00133164" w:rsidP="008C4E07">
      <w:pPr>
        <w:spacing w:after="0"/>
        <w:ind w:firstLine="284"/>
        <w:rPr>
          <w:rFonts w:ascii="Garamond" w:hAnsi="Garamond"/>
          <w:sz w:val="24"/>
          <w:lang w:eastAsia="sl-SI"/>
        </w:rPr>
      </w:pPr>
      <w:r w:rsidRPr="00B907A3">
        <w:rPr>
          <w:rFonts w:ascii="Garamond" w:hAnsi="Garamond"/>
          <w:sz w:val="24"/>
          <w:lang w:eastAsia="sl-SI"/>
        </w:rPr>
        <w:t xml:space="preserve">Drejtuesit e mjeteve </w:t>
      </w:r>
      <w:r w:rsidR="006B3C51" w:rsidRPr="00B907A3">
        <w:rPr>
          <w:rFonts w:ascii="Garamond" w:hAnsi="Garamond"/>
          <w:sz w:val="24"/>
          <w:lang w:eastAsia="sl-SI"/>
        </w:rPr>
        <w:t xml:space="preserve">dhe pasagjerët konsiderohen një grup me </w:t>
      </w:r>
      <w:r w:rsidRPr="00B907A3">
        <w:rPr>
          <w:rFonts w:ascii="Garamond" w:hAnsi="Garamond"/>
          <w:sz w:val="24"/>
          <w:lang w:eastAsia="sl-SI"/>
        </w:rPr>
        <w:t xml:space="preserve">risk </w:t>
      </w:r>
      <w:r w:rsidR="006B3C51" w:rsidRPr="00B907A3">
        <w:rPr>
          <w:rFonts w:ascii="Garamond" w:hAnsi="Garamond"/>
          <w:sz w:val="24"/>
          <w:lang w:eastAsia="sl-SI"/>
        </w:rPr>
        <w:t>të lartë për sigurinë rrugore në Shqipëri, për shkak të përfshirjes së lartë në aksidente rrugore, shpesh të shkaktuara nga tejkalimi i shpejtësisë, drejtimi agresiv, drejtimi nën efektin e alkoolit dhe gabime të tjera njerëzore. Përdorimi i kufizuar i rripit të sigurimit, veçanërisht nga pasagjerët në sediljet e pasme, rrit ndjeshëm r</w:t>
      </w:r>
      <w:r w:rsidRPr="00B907A3">
        <w:rPr>
          <w:rFonts w:ascii="Garamond" w:hAnsi="Garamond"/>
          <w:sz w:val="24"/>
          <w:lang w:eastAsia="sl-SI"/>
        </w:rPr>
        <w:t xml:space="preserve">iskun </w:t>
      </w:r>
      <w:r w:rsidR="006B3C51" w:rsidRPr="00B907A3">
        <w:rPr>
          <w:rFonts w:ascii="Garamond" w:hAnsi="Garamond"/>
          <w:sz w:val="24"/>
          <w:lang w:eastAsia="sl-SI"/>
        </w:rPr>
        <w:t xml:space="preserve">për lëndime të rënda apo vdekje. Edhe pse më të mbrojtur se përdoruesit e pambrojtur të rrugës, </w:t>
      </w:r>
      <w:r w:rsidR="003B0A45" w:rsidRPr="00B907A3">
        <w:rPr>
          <w:rFonts w:ascii="Garamond" w:hAnsi="Garamond"/>
          <w:sz w:val="24"/>
          <w:lang w:eastAsia="sl-SI"/>
        </w:rPr>
        <w:t xml:space="preserve">drejtuesit e mjeteve </w:t>
      </w:r>
      <w:r w:rsidR="006B3C51" w:rsidRPr="00B907A3">
        <w:rPr>
          <w:rFonts w:ascii="Garamond" w:hAnsi="Garamond"/>
          <w:sz w:val="24"/>
          <w:lang w:eastAsia="sl-SI"/>
        </w:rPr>
        <w:t xml:space="preserve">dhe pasagjerët mbeten në </w:t>
      </w:r>
      <w:r w:rsidR="003B0A45" w:rsidRPr="00B907A3">
        <w:rPr>
          <w:rFonts w:ascii="Garamond" w:hAnsi="Garamond"/>
          <w:sz w:val="24"/>
          <w:lang w:eastAsia="sl-SI"/>
        </w:rPr>
        <w:t xml:space="preserve">risk </w:t>
      </w:r>
      <w:r w:rsidR="006B3C51" w:rsidRPr="00B907A3">
        <w:rPr>
          <w:rFonts w:ascii="Garamond" w:hAnsi="Garamond"/>
          <w:sz w:val="24"/>
          <w:lang w:eastAsia="sl-SI"/>
        </w:rPr>
        <w:t>të konsiderueshëm, veçanërisht kur neglizhohen masat e sigurisë ose kur automjetet nuk janë të pajisura me element</w:t>
      </w:r>
      <w:r w:rsidR="00D121E9">
        <w:rPr>
          <w:rFonts w:ascii="Garamond" w:hAnsi="Garamond"/>
          <w:sz w:val="24"/>
          <w:lang w:eastAsia="sl-SI"/>
        </w:rPr>
        <w:t>et e nevojsh</w:t>
      </w:r>
      <w:r w:rsidR="006B3C51" w:rsidRPr="00B907A3">
        <w:rPr>
          <w:rFonts w:ascii="Garamond" w:hAnsi="Garamond"/>
          <w:sz w:val="24"/>
          <w:lang w:eastAsia="sl-SI"/>
        </w:rPr>
        <w:t>m</w:t>
      </w:r>
      <w:r w:rsidR="00D121E9">
        <w:rPr>
          <w:rFonts w:ascii="Garamond" w:hAnsi="Garamond"/>
          <w:sz w:val="24"/>
          <w:lang w:eastAsia="sl-SI"/>
        </w:rPr>
        <w:t>e</w:t>
      </w:r>
      <w:r w:rsidR="006B3C51" w:rsidRPr="00B907A3">
        <w:rPr>
          <w:rFonts w:ascii="Garamond" w:hAnsi="Garamond"/>
          <w:sz w:val="24"/>
          <w:lang w:eastAsia="sl-SI"/>
        </w:rPr>
        <w:t xml:space="preserve"> të sigurisë. </w:t>
      </w:r>
    </w:p>
    <w:p w14:paraId="333D35D9" w14:textId="7385676B" w:rsidR="0059360A" w:rsidRPr="00B907A3" w:rsidRDefault="00275179" w:rsidP="008C4E07">
      <w:pPr>
        <w:spacing w:after="0"/>
        <w:ind w:firstLine="284"/>
        <w:rPr>
          <w:rFonts w:ascii="Garamond" w:hAnsi="Garamond"/>
          <w:sz w:val="24"/>
          <w:lang w:eastAsia="sl-SI"/>
        </w:rPr>
      </w:pPr>
      <w:r w:rsidRPr="00B907A3">
        <w:rPr>
          <w:rFonts w:ascii="Garamond" w:hAnsi="Garamond"/>
          <w:sz w:val="24"/>
          <w:lang w:eastAsia="sl-SI"/>
        </w:rPr>
        <w:lastRenderedPageBreak/>
        <w:t xml:space="preserve">Bazuar në vlerësimet e sigurisë rrugore për Shqipërinë, </w:t>
      </w:r>
      <w:r w:rsidR="003B0A45" w:rsidRPr="00B907A3">
        <w:rPr>
          <w:rFonts w:ascii="Garamond" w:hAnsi="Garamond"/>
          <w:sz w:val="24"/>
          <w:lang w:eastAsia="sl-SI"/>
        </w:rPr>
        <w:t xml:space="preserve">drejtuesit e mjeteve </w:t>
      </w:r>
      <w:r w:rsidRPr="00B907A3">
        <w:rPr>
          <w:rFonts w:ascii="Garamond" w:hAnsi="Garamond"/>
          <w:sz w:val="24"/>
          <w:lang w:eastAsia="sl-SI"/>
        </w:rPr>
        <w:t>janë një grup i konsiderueshëm r</w:t>
      </w:r>
      <w:r w:rsidR="003B0A45" w:rsidRPr="00B907A3">
        <w:rPr>
          <w:rFonts w:ascii="Garamond" w:hAnsi="Garamond"/>
          <w:sz w:val="24"/>
          <w:lang w:eastAsia="sl-SI"/>
        </w:rPr>
        <w:t>isku</w:t>
      </w:r>
      <w:r w:rsidRPr="00B907A3">
        <w:rPr>
          <w:rFonts w:ascii="Garamond" w:hAnsi="Garamond"/>
          <w:sz w:val="24"/>
          <w:lang w:eastAsia="sl-SI"/>
        </w:rPr>
        <w:t xml:space="preserve">, kryesisht për shkak të përhapjes së sjelljes së pasigurt dhe një kulture relativisht të ulët të sigurisë rrugore që rezulton nga motorizimi i përhapur dhe i shpejtë. Shpejtësia identifikohet si një kontribues i madh në </w:t>
      </w:r>
      <w:r w:rsidR="0070653C" w:rsidRPr="00B907A3">
        <w:rPr>
          <w:rFonts w:ascii="Garamond" w:hAnsi="Garamond"/>
          <w:sz w:val="24"/>
          <w:lang w:eastAsia="sl-SI"/>
        </w:rPr>
        <w:t>fatalitete</w:t>
      </w:r>
      <w:r w:rsidRPr="00B907A3">
        <w:rPr>
          <w:rFonts w:ascii="Garamond" w:hAnsi="Garamond"/>
          <w:sz w:val="24"/>
          <w:lang w:eastAsia="sl-SI"/>
        </w:rPr>
        <w:t xml:space="preserve">, së bashku me taktikat agresive të drejtimit, të tilla si parakalimet e papërshtatshme dhe ndryshimet e papritura të korsisë. Drejtimi i mjetit nën ndikimin e alkoolit ose drogës mbetet një problem akut. Përveç kësaj, mungesa e përvojës, veçanërisht midis </w:t>
      </w:r>
      <w:r w:rsidR="005C1DD9" w:rsidRPr="00B907A3">
        <w:rPr>
          <w:rFonts w:ascii="Garamond" w:hAnsi="Garamond"/>
          <w:sz w:val="24"/>
          <w:lang w:eastAsia="sl-SI"/>
        </w:rPr>
        <w:t>drejtuesve</w:t>
      </w:r>
      <w:r w:rsidR="009A08F2" w:rsidRPr="00B907A3">
        <w:rPr>
          <w:rFonts w:ascii="Garamond" w:hAnsi="Garamond"/>
          <w:sz w:val="24"/>
          <w:lang w:eastAsia="sl-SI"/>
        </w:rPr>
        <w:t xml:space="preserve"> të rinj</w:t>
      </w:r>
      <w:r w:rsidRPr="00B907A3">
        <w:rPr>
          <w:rFonts w:ascii="Garamond" w:hAnsi="Garamond"/>
          <w:sz w:val="24"/>
          <w:lang w:eastAsia="sl-SI"/>
        </w:rPr>
        <w:t xml:space="preserve">, e kombinuar me shpërqendrimet dhe mospërdorimin e shpeshtë të rripave të sigurimit, rrit rrezikun për </w:t>
      </w:r>
      <w:r w:rsidR="008774A9" w:rsidRPr="00B907A3">
        <w:rPr>
          <w:rFonts w:ascii="Garamond" w:hAnsi="Garamond"/>
          <w:sz w:val="24"/>
          <w:lang w:eastAsia="sl-SI"/>
        </w:rPr>
        <w:t>drejtuesi</w:t>
      </w:r>
      <w:r w:rsidRPr="00B907A3">
        <w:rPr>
          <w:rFonts w:ascii="Garamond" w:hAnsi="Garamond"/>
          <w:sz w:val="24"/>
          <w:lang w:eastAsia="sl-SI"/>
        </w:rPr>
        <w:t xml:space="preserve">t dhe pasagjerët në rrugët shqiptare. </w:t>
      </w:r>
      <w:r w:rsidR="0028594D" w:rsidRPr="00B907A3">
        <w:rPr>
          <w:rFonts w:ascii="Garamond" w:hAnsi="Garamond"/>
          <w:sz w:val="24"/>
          <w:lang w:eastAsia="sl-SI"/>
        </w:rPr>
        <w:t xml:space="preserve">Drejtuesit </w:t>
      </w:r>
      <w:r w:rsidRPr="00B907A3">
        <w:rPr>
          <w:rFonts w:ascii="Garamond" w:hAnsi="Garamond"/>
          <w:sz w:val="24"/>
          <w:lang w:eastAsia="sl-SI"/>
        </w:rPr>
        <w:t xml:space="preserve">e rinj (të identifikuar si një grup </w:t>
      </w:r>
      <w:r w:rsidR="0028594D" w:rsidRPr="00B907A3">
        <w:rPr>
          <w:rFonts w:ascii="Garamond" w:hAnsi="Garamond"/>
          <w:sz w:val="24"/>
          <w:lang w:eastAsia="sl-SI"/>
        </w:rPr>
        <w:t>me risk</w:t>
      </w:r>
      <w:r w:rsidRPr="00B907A3">
        <w:rPr>
          <w:rFonts w:ascii="Garamond" w:hAnsi="Garamond"/>
          <w:sz w:val="24"/>
          <w:lang w:eastAsia="sl-SI"/>
        </w:rPr>
        <w:t xml:space="preserve">) shpesh përfshihen në më shumë aksidente për shkak të mungesës së përvojës dhe një prirjeje më të madhe për të </w:t>
      </w:r>
      <w:r w:rsidR="0028594D" w:rsidRPr="00B907A3">
        <w:rPr>
          <w:rFonts w:ascii="Garamond" w:hAnsi="Garamond"/>
          <w:sz w:val="24"/>
          <w:lang w:eastAsia="sl-SI"/>
        </w:rPr>
        <w:t>rrezikuar</w:t>
      </w:r>
      <w:r w:rsidRPr="00B907A3">
        <w:rPr>
          <w:rFonts w:ascii="Garamond" w:hAnsi="Garamond"/>
          <w:sz w:val="24"/>
          <w:lang w:eastAsia="sl-SI"/>
        </w:rPr>
        <w:t xml:space="preserve">. </w:t>
      </w:r>
      <w:r w:rsidR="0028594D" w:rsidRPr="00B907A3">
        <w:rPr>
          <w:rFonts w:ascii="Garamond" w:hAnsi="Garamond"/>
          <w:sz w:val="24"/>
          <w:lang w:eastAsia="sl-SI"/>
        </w:rPr>
        <w:t xml:space="preserve">Drejtuesit më në moshë </w:t>
      </w:r>
      <w:r w:rsidRPr="00B907A3">
        <w:rPr>
          <w:rFonts w:ascii="Garamond" w:hAnsi="Garamond"/>
          <w:sz w:val="24"/>
          <w:lang w:eastAsia="sl-SI"/>
        </w:rPr>
        <w:t xml:space="preserve">mund të jenë më të prekshëm për shkak të rënies fizike ose </w:t>
      </w:r>
      <w:r w:rsidR="0028594D" w:rsidRPr="00B907A3">
        <w:rPr>
          <w:rFonts w:ascii="Garamond" w:hAnsi="Garamond"/>
          <w:sz w:val="24"/>
          <w:lang w:eastAsia="sl-SI"/>
        </w:rPr>
        <w:t xml:space="preserve">konjitive </w:t>
      </w:r>
      <w:r w:rsidRPr="00B907A3">
        <w:rPr>
          <w:rFonts w:ascii="Garamond" w:hAnsi="Garamond"/>
          <w:sz w:val="24"/>
          <w:lang w:eastAsia="sl-SI"/>
        </w:rPr>
        <w:t>që lidhet me moshën. K</w:t>
      </w:r>
      <w:r w:rsidR="0028594D" w:rsidRPr="00B907A3">
        <w:rPr>
          <w:rFonts w:ascii="Garamond" w:hAnsi="Garamond"/>
          <w:sz w:val="24"/>
          <w:lang w:eastAsia="sl-SI"/>
        </w:rPr>
        <w:t>jo</w:t>
      </w:r>
      <w:r w:rsidRPr="00B907A3">
        <w:rPr>
          <w:rFonts w:ascii="Garamond" w:hAnsi="Garamond"/>
          <w:sz w:val="24"/>
          <w:lang w:eastAsia="sl-SI"/>
        </w:rPr>
        <w:t xml:space="preserve"> është një çështje gjithnjë e më e rëndësishme, ndërsa numri i </w:t>
      </w:r>
      <w:r w:rsidR="0028594D" w:rsidRPr="00B907A3">
        <w:rPr>
          <w:rFonts w:ascii="Garamond" w:hAnsi="Garamond"/>
          <w:sz w:val="24"/>
          <w:lang w:eastAsia="sl-SI"/>
        </w:rPr>
        <w:t>drejtuesve n</w:t>
      </w:r>
      <w:r w:rsidRPr="00B907A3">
        <w:rPr>
          <w:rFonts w:ascii="Garamond" w:hAnsi="Garamond"/>
          <w:sz w:val="24"/>
          <w:lang w:eastAsia="sl-SI"/>
        </w:rPr>
        <w:t xml:space="preserve">ë </w:t>
      </w:r>
      <w:r w:rsidR="0028594D" w:rsidRPr="00B907A3">
        <w:rPr>
          <w:rFonts w:ascii="Garamond" w:hAnsi="Garamond"/>
          <w:sz w:val="24"/>
          <w:lang w:eastAsia="sl-SI"/>
        </w:rPr>
        <w:t xml:space="preserve">moshë </w:t>
      </w:r>
      <w:r w:rsidRPr="00B907A3">
        <w:rPr>
          <w:rFonts w:ascii="Garamond" w:hAnsi="Garamond"/>
          <w:sz w:val="24"/>
          <w:lang w:eastAsia="sl-SI"/>
        </w:rPr>
        <w:t>vazhdon të rritet.</w:t>
      </w:r>
      <w:r w:rsidR="00363E33" w:rsidRPr="00B907A3">
        <w:rPr>
          <w:rFonts w:ascii="Garamond" w:hAnsi="Garamond"/>
          <w:sz w:val="24"/>
          <w:lang w:eastAsia="sl-SI"/>
        </w:rPr>
        <w:t xml:space="preserve"> </w:t>
      </w:r>
    </w:p>
    <w:p w14:paraId="2AC2D24F" w14:textId="586B7443" w:rsidR="0059360A" w:rsidRPr="00B907A3" w:rsidRDefault="00515499" w:rsidP="008C4E07">
      <w:pPr>
        <w:spacing w:after="0"/>
        <w:ind w:firstLine="284"/>
        <w:rPr>
          <w:rFonts w:ascii="Garamond" w:hAnsi="Garamond"/>
          <w:sz w:val="24"/>
          <w:lang w:eastAsia="sl-SI"/>
        </w:rPr>
      </w:pPr>
      <w:r w:rsidRPr="00B907A3">
        <w:rPr>
          <w:rFonts w:ascii="Garamond" w:hAnsi="Garamond"/>
          <w:sz w:val="24"/>
          <w:lang w:eastAsia="sl-SI"/>
        </w:rPr>
        <w:t>Në vitet 2021</w:t>
      </w:r>
      <w:r w:rsidR="00D121E9">
        <w:rPr>
          <w:rFonts w:ascii="Garamond" w:hAnsi="Garamond"/>
          <w:sz w:val="24"/>
        </w:rPr>
        <w:t>–</w:t>
      </w:r>
      <w:r w:rsidRPr="00B907A3">
        <w:rPr>
          <w:rFonts w:ascii="Garamond" w:hAnsi="Garamond"/>
          <w:sz w:val="24"/>
          <w:lang w:eastAsia="sl-SI"/>
        </w:rPr>
        <w:t xml:space="preserve">2024, 24% e viktimave ishin </w:t>
      </w:r>
      <w:r w:rsidR="002C0592" w:rsidRPr="00B907A3">
        <w:rPr>
          <w:rFonts w:ascii="Garamond" w:hAnsi="Garamond"/>
          <w:sz w:val="24"/>
          <w:lang w:eastAsia="sl-SI"/>
        </w:rPr>
        <w:t>drejtues</w:t>
      </w:r>
      <w:r w:rsidRPr="00B907A3">
        <w:rPr>
          <w:rFonts w:ascii="Garamond" w:hAnsi="Garamond"/>
          <w:sz w:val="24"/>
          <w:lang w:eastAsia="sl-SI"/>
        </w:rPr>
        <w:t xml:space="preserve"> dhe 20% ishin pasagjerë, siç tregohet në Figurën 3-11. Midis të lënduarve, përqindja e shoferëve është 24% dhe ajo e pasagjerëve është 30%. Kjo e fundit konfirmon cenueshmërinë e pasagjerëve në rast aksidentesh rrugore</w:t>
      </w:r>
      <w:r w:rsidR="005C1DD9">
        <w:rPr>
          <w:rFonts w:ascii="Garamond" w:hAnsi="Garamond"/>
          <w:sz w:val="24"/>
          <w:lang w:eastAsia="sl-SI"/>
        </w:rPr>
        <w:t xml:space="preserve">, </w:t>
      </w:r>
      <w:r w:rsidR="00AA0173" w:rsidRPr="00B907A3">
        <w:rPr>
          <w:rFonts w:ascii="Garamond" w:hAnsi="Garamond"/>
          <w:sz w:val="24"/>
          <w:lang w:eastAsia="sl-SI"/>
        </w:rPr>
        <w:t>si dhe lidhet</w:t>
      </w:r>
      <w:r w:rsidRPr="00B907A3">
        <w:rPr>
          <w:rFonts w:ascii="Garamond" w:hAnsi="Garamond"/>
          <w:sz w:val="24"/>
          <w:lang w:eastAsia="sl-SI"/>
        </w:rPr>
        <w:t xml:space="preserve"> veçanërisht me çështjen e mospërdorimit të rripave të sigurimit dhe sistemeve të mbajtjes së fëmijëve</w:t>
      </w:r>
      <w:r w:rsidR="00363E33" w:rsidRPr="00B907A3">
        <w:rPr>
          <w:rFonts w:ascii="Garamond" w:hAnsi="Garamond"/>
          <w:sz w:val="24"/>
          <w:lang w:eastAsia="sl-SI"/>
        </w:rPr>
        <w:t>.</w:t>
      </w:r>
    </w:p>
    <w:p w14:paraId="5B9E81E9" w14:textId="38A4E29E" w:rsidR="00363E33" w:rsidRPr="00B907A3" w:rsidRDefault="001D11A5" w:rsidP="008C4E07">
      <w:pPr>
        <w:spacing w:after="0"/>
        <w:ind w:firstLine="284"/>
        <w:rPr>
          <w:rFonts w:ascii="Garamond" w:hAnsi="Garamond"/>
          <w:sz w:val="24"/>
          <w:lang w:eastAsia="sl-SI"/>
        </w:rPr>
      </w:pPr>
      <w:r w:rsidRPr="00B907A3">
        <w:rPr>
          <w:rFonts w:ascii="Garamond" w:hAnsi="Garamond"/>
          <w:sz w:val="24"/>
          <w:lang w:eastAsia="sl-SI"/>
        </w:rPr>
        <w:t>P</w:t>
      </w:r>
      <w:r w:rsidR="006B3C51" w:rsidRPr="00B907A3">
        <w:rPr>
          <w:rFonts w:ascii="Garamond" w:hAnsi="Garamond"/>
          <w:sz w:val="24"/>
          <w:lang w:eastAsia="sl-SI"/>
        </w:rPr>
        <w:t xml:space="preserve">asagjerët përbëjnë një grup me </w:t>
      </w:r>
      <w:r w:rsidR="0028594D" w:rsidRPr="00B907A3">
        <w:rPr>
          <w:rFonts w:ascii="Garamond" w:hAnsi="Garamond"/>
          <w:sz w:val="24"/>
          <w:lang w:eastAsia="sl-SI"/>
        </w:rPr>
        <w:t xml:space="preserve">risk </w:t>
      </w:r>
      <w:r w:rsidR="006B3C51" w:rsidRPr="00B907A3">
        <w:rPr>
          <w:rFonts w:ascii="Garamond" w:hAnsi="Garamond"/>
          <w:sz w:val="24"/>
          <w:lang w:eastAsia="sl-SI"/>
        </w:rPr>
        <w:t>të lartë, duke përfaqësuar vazhdimisht një përqindje të lartë të të lënduarve dhe viktimave në trafik. Cenimi i tyre lidhet kryesisht me normat shumë të ulëta të përdorimit të rripave të sigurimit dhe pajisjeve mbrojtëse për fëmijë, të cilat rrisin ndjeshëm r</w:t>
      </w:r>
      <w:r w:rsidR="0028594D" w:rsidRPr="00B907A3">
        <w:rPr>
          <w:rFonts w:ascii="Garamond" w:hAnsi="Garamond"/>
          <w:sz w:val="24"/>
          <w:lang w:eastAsia="sl-SI"/>
        </w:rPr>
        <w:t xml:space="preserve">iskun </w:t>
      </w:r>
      <w:r w:rsidR="006B3C51" w:rsidRPr="00B907A3">
        <w:rPr>
          <w:rFonts w:ascii="Garamond" w:hAnsi="Garamond"/>
          <w:sz w:val="24"/>
          <w:lang w:eastAsia="sl-SI"/>
        </w:rPr>
        <w:t>për lëndime të rënda apo vdekje në rast përplasjeje. Mosrespektimi i rregullave të sigurisë është një çështje e theksuar edhe te</w:t>
      </w:r>
      <w:r w:rsidR="0028594D" w:rsidRPr="00B907A3">
        <w:rPr>
          <w:rFonts w:ascii="Garamond" w:hAnsi="Garamond"/>
          <w:sz w:val="24"/>
          <w:lang w:eastAsia="sl-SI"/>
        </w:rPr>
        <w:t>k drejtuesit e mjeteve</w:t>
      </w:r>
      <w:r w:rsidR="006B3C51" w:rsidRPr="00B907A3">
        <w:rPr>
          <w:rFonts w:ascii="Garamond" w:hAnsi="Garamond"/>
          <w:sz w:val="24"/>
          <w:lang w:eastAsia="sl-SI"/>
        </w:rPr>
        <w:t xml:space="preserve">, pasi raportet tregojnë se shumica dërrmuese e viktimave në aksidente fatale nuk kanë qenë të pajisur me rrip sigurimi. Pasagjerët ndihen gjithashtu drejtpërdrejt të rrezikuar nga sjelljet e rrezikshme të </w:t>
      </w:r>
      <w:r w:rsidR="0028594D" w:rsidRPr="00B907A3">
        <w:rPr>
          <w:rFonts w:ascii="Garamond" w:hAnsi="Garamond"/>
          <w:sz w:val="24"/>
          <w:lang w:eastAsia="sl-SI"/>
        </w:rPr>
        <w:t>drejtuesve</w:t>
      </w:r>
      <w:r w:rsidR="006B3C51" w:rsidRPr="00B907A3">
        <w:rPr>
          <w:rFonts w:ascii="Garamond" w:hAnsi="Garamond"/>
          <w:sz w:val="24"/>
          <w:lang w:eastAsia="sl-SI"/>
        </w:rPr>
        <w:t>, duke e bërë sigurinë e tyre të varur nga sjellja e personit që drejton automjetin</w:t>
      </w:r>
      <w:r w:rsidR="00887CC6">
        <w:rPr>
          <w:rFonts w:ascii="Garamond" w:hAnsi="Garamond"/>
          <w:sz w:val="24"/>
          <w:lang w:eastAsia="sl-SI"/>
        </w:rPr>
        <w:t xml:space="preserve"> </w:t>
      </w:r>
      <w:r w:rsidR="006B3C51" w:rsidRPr="00B907A3">
        <w:rPr>
          <w:rFonts w:ascii="Garamond" w:hAnsi="Garamond"/>
          <w:sz w:val="24"/>
          <w:lang w:eastAsia="sl-SI"/>
        </w:rPr>
        <w:t>i cili shpeshherë ka mungesë njohurish për rregullat e sigurisë, përfshirë edhe drejtues profesionistë si taksistët</w:t>
      </w:r>
      <w:r w:rsidR="00363E33" w:rsidRPr="00B907A3">
        <w:rPr>
          <w:rFonts w:ascii="Garamond" w:hAnsi="Garamond"/>
          <w:sz w:val="24"/>
          <w:lang w:eastAsia="sl-SI"/>
        </w:rPr>
        <w:t>.</w:t>
      </w:r>
    </w:p>
    <w:p w14:paraId="6AEAB81C" w14:textId="335A3C62" w:rsidR="00363E33" w:rsidRPr="00B907A3" w:rsidRDefault="008C4E07" w:rsidP="008C4E07">
      <w:pPr>
        <w:pStyle w:val="ListParagraph"/>
        <w:shd w:val="clear" w:color="auto" w:fill="E2EFD9" w:themeFill="accent6" w:themeFillTint="33"/>
        <w:ind w:left="0" w:firstLine="284"/>
        <w:rPr>
          <w:rFonts w:ascii="Garamond" w:hAnsi="Garamond"/>
          <w:b/>
          <w:i/>
          <w:sz w:val="24"/>
          <w:lang w:eastAsia="sl-SI"/>
        </w:rPr>
      </w:pPr>
      <w:r w:rsidRPr="00B907A3">
        <w:rPr>
          <w:rFonts w:ascii="Garamond" w:hAnsi="Garamond"/>
          <w:b/>
          <w:i/>
          <w:sz w:val="24"/>
          <w:lang w:eastAsia="sl-SI"/>
        </w:rPr>
        <w:t xml:space="preserve">- </w:t>
      </w:r>
      <w:r w:rsidR="00515499" w:rsidRPr="00B907A3">
        <w:rPr>
          <w:rFonts w:ascii="Garamond" w:hAnsi="Garamond"/>
          <w:b/>
          <w:i/>
          <w:sz w:val="24"/>
          <w:lang w:eastAsia="sl-SI"/>
        </w:rPr>
        <w:t xml:space="preserve">Një nga detyrat e rëndësishme të identifikuara për të përmirësuar sigurinë e </w:t>
      </w:r>
      <w:r w:rsidR="0028594D" w:rsidRPr="00B907A3">
        <w:rPr>
          <w:rFonts w:ascii="Garamond" w:hAnsi="Garamond"/>
          <w:b/>
          <w:i/>
          <w:sz w:val="24"/>
          <w:lang w:eastAsia="sl-SI"/>
        </w:rPr>
        <w:t xml:space="preserve">drejtuesve </w:t>
      </w:r>
      <w:r w:rsidR="00515499" w:rsidRPr="00B907A3">
        <w:rPr>
          <w:rFonts w:ascii="Garamond" w:hAnsi="Garamond"/>
          <w:b/>
          <w:i/>
          <w:sz w:val="24"/>
          <w:lang w:eastAsia="sl-SI"/>
        </w:rPr>
        <w:t xml:space="preserve">dhe pasagjerëve është forcimi i zbatimit të rregullave të </w:t>
      </w:r>
      <w:r w:rsidR="0028594D" w:rsidRPr="00B907A3">
        <w:rPr>
          <w:rFonts w:ascii="Garamond" w:hAnsi="Garamond"/>
          <w:b/>
          <w:i/>
          <w:sz w:val="24"/>
          <w:lang w:eastAsia="sl-SI"/>
        </w:rPr>
        <w:t xml:space="preserve">qarkullimit </w:t>
      </w:r>
      <w:r w:rsidR="00515499" w:rsidRPr="00B907A3">
        <w:rPr>
          <w:rFonts w:ascii="Garamond" w:hAnsi="Garamond"/>
          <w:b/>
          <w:i/>
          <w:sz w:val="24"/>
          <w:lang w:eastAsia="sl-SI"/>
        </w:rPr>
        <w:t xml:space="preserve">duke parandaluar sjelljet kryesore </w:t>
      </w:r>
      <w:r w:rsidR="0028594D" w:rsidRPr="00B907A3">
        <w:rPr>
          <w:rFonts w:ascii="Garamond" w:hAnsi="Garamond"/>
          <w:b/>
          <w:i/>
          <w:sz w:val="24"/>
          <w:lang w:eastAsia="sl-SI"/>
        </w:rPr>
        <w:t>me risk</w:t>
      </w:r>
      <w:r w:rsidR="00515499" w:rsidRPr="00B907A3">
        <w:rPr>
          <w:rFonts w:ascii="Garamond" w:hAnsi="Garamond"/>
          <w:b/>
          <w:i/>
          <w:sz w:val="24"/>
          <w:lang w:eastAsia="sl-SI"/>
        </w:rPr>
        <w:t>. Kjo përfshin ofrimin e burimeve dhe trajnimeve më të mira për Policinë për të mbështetur vazhdimisht zbatimin e ligjeve kundër shpejtësisë tej normave të lejuara, drejtimit nën ndikimin e alkoolit ose të pakujdesshëm, mospërdorimit të rripave të sigurimit dhe pajisjeve mbrojtëse për fëmijë</w:t>
      </w:r>
      <w:r w:rsidR="0028594D" w:rsidRPr="00B907A3">
        <w:rPr>
          <w:rFonts w:ascii="Garamond" w:hAnsi="Garamond"/>
          <w:b/>
          <w:i/>
          <w:sz w:val="24"/>
          <w:lang w:eastAsia="sl-SI"/>
        </w:rPr>
        <w:t xml:space="preserve">t, </w:t>
      </w:r>
      <w:r w:rsidR="00515499" w:rsidRPr="00B907A3">
        <w:rPr>
          <w:rFonts w:ascii="Garamond" w:hAnsi="Garamond"/>
          <w:b/>
          <w:i/>
          <w:sz w:val="24"/>
          <w:lang w:eastAsia="sl-SI"/>
        </w:rPr>
        <w:t xml:space="preserve">ose përdorimit të pajisjeve </w:t>
      </w:r>
      <w:r w:rsidR="0028594D" w:rsidRPr="00B907A3">
        <w:rPr>
          <w:rFonts w:ascii="Garamond" w:hAnsi="Garamond"/>
          <w:b/>
          <w:i/>
          <w:sz w:val="24"/>
          <w:lang w:eastAsia="sl-SI"/>
        </w:rPr>
        <w:t xml:space="preserve">celulare </w:t>
      </w:r>
      <w:r w:rsidR="00515499" w:rsidRPr="00B907A3">
        <w:rPr>
          <w:rFonts w:ascii="Garamond" w:hAnsi="Garamond"/>
          <w:b/>
          <w:i/>
          <w:sz w:val="24"/>
          <w:lang w:eastAsia="sl-SI"/>
        </w:rPr>
        <w:t>gjatë drejtimit të automjetit,</w:t>
      </w:r>
      <w:r w:rsidR="005C1DD9">
        <w:rPr>
          <w:rFonts w:ascii="Garamond" w:hAnsi="Garamond"/>
          <w:b/>
          <w:i/>
          <w:sz w:val="24"/>
          <w:lang w:eastAsia="sl-SI"/>
        </w:rPr>
        <w:t xml:space="preserve"> dhe ofrimi i modele</w:t>
      </w:r>
      <w:r w:rsidR="0028594D" w:rsidRPr="00B907A3">
        <w:rPr>
          <w:rFonts w:ascii="Garamond" w:hAnsi="Garamond"/>
          <w:b/>
          <w:i/>
          <w:sz w:val="24"/>
          <w:lang w:eastAsia="sl-SI"/>
        </w:rPr>
        <w:t xml:space="preserve">ve edukuese të sjelljes tek të rinjtë, </w:t>
      </w:r>
      <w:r w:rsidR="00515499" w:rsidRPr="00B907A3">
        <w:rPr>
          <w:rFonts w:ascii="Garamond" w:hAnsi="Garamond"/>
          <w:b/>
          <w:i/>
          <w:sz w:val="24"/>
          <w:lang w:eastAsia="sl-SI"/>
        </w:rPr>
        <w:t xml:space="preserve">të cilat u theksuan si faktorë kryesorë që kontribuojnë në </w:t>
      </w:r>
      <w:r w:rsidR="005C1DD9" w:rsidRPr="00B907A3">
        <w:rPr>
          <w:rFonts w:ascii="Garamond" w:hAnsi="Garamond"/>
          <w:b/>
          <w:i/>
          <w:sz w:val="24"/>
          <w:lang w:eastAsia="sl-SI"/>
        </w:rPr>
        <w:t>rëndësinë</w:t>
      </w:r>
      <w:r w:rsidR="007F437C" w:rsidRPr="00B907A3">
        <w:rPr>
          <w:rFonts w:ascii="Garamond" w:hAnsi="Garamond"/>
          <w:b/>
          <w:i/>
          <w:sz w:val="24"/>
          <w:lang w:eastAsia="sl-SI"/>
        </w:rPr>
        <w:t xml:space="preserve"> e </w:t>
      </w:r>
      <w:r w:rsidR="00515499" w:rsidRPr="00B907A3">
        <w:rPr>
          <w:rFonts w:ascii="Garamond" w:hAnsi="Garamond"/>
          <w:b/>
          <w:i/>
          <w:sz w:val="24"/>
          <w:lang w:eastAsia="sl-SI"/>
        </w:rPr>
        <w:t>lëndimeve</w:t>
      </w:r>
      <w:r w:rsidR="00363E33" w:rsidRPr="00B907A3">
        <w:rPr>
          <w:rFonts w:ascii="Garamond" w:hAnsi="Garamond"/>
          <w:b/>
          <w:i/>
          <w:sz w:val="24"/>
          <w:lang w:eastAsia="sl-SI"/>
        </w:rPr>
        <w:t>.</w:t>
      </w:r>
    </w:p>
    <w:p w14:paraId="49A5FCA9" w14:textId="394F99E0" w:rsidR="00363E33" w:rsidRPr="00B907A3" w:rsidRDefault="00A03CA0" w:rsidP="008C4E07">
      <w:pPr>
        <w:pStyle w:val="Heading3"/>
        <w:numPr>
          <w:ilvl w:val="0"/>
          <w:numId w:val="0"/>
        </w:numPr>
        <w:spacing w:before="0" w:after="0" w:line="240" w:lineRule="auto"/>
        <w:ind w:firstLine="284"/>
        <w:rPr>
          <w:rFonts w:ascii="Garamond" w:hAnsi="Garamond"/>
          <w:color w:val="auto"/>
          <w:lang w:val="sq-AL"/>
        </w:rPr>
      </w:pPr>
      <w:bookmarkStart w:id="42" w:name="_Toc208840567"/>
      <w:bookmarkStart w:id="43" w:name="_Toc197253702"/>
      <w:r w:rsidRPr="00B907A3">
        <w:rPr>
          <w:rFonts w:ascii="Garamond" w:hAnsi="Garamond"/>
          <w:color w:val="auto"/>
          <w:lang w:val="sq-AL"/>
        </w:rPr>
        <w:t xml:space="preserve">3.2.2 </w:t>
      </w:r>
      <w:r w:rsidR="00515499" w:rsidRPr="00B907A3">
        <w:rPr>
          <w:rFonts w:ascii="Garamond" w:hAnsi="Garamond"/>
          <w:color w:val="auto"/>
          <w:lang w:val="sq-AL"/>
        </w:rPr>
        <w:t>Sjellje të rrezikshme</w:t>
      </w:r>
      <w:bookmarkEnd w:id="42"/>
      <w:r w:rsidR="00363E33" w:rsidRPr="00B907A3">
        <w:rPr>
          <w:rFonts w:ascii="Garamond" w:hAnsi="Garamond"/>
          <w:color w:val="auto"/>
          <w:lang w:val="sq-AL"/>
        </w:rPr>
        <w:t xml:space="preserve"> </w:t>
      </w:r>
      <w:bookmarkEnd w:id="43"/>
    </w:p>
    <w:p w14:paraId="7FDACE36" w14:textId="3992181F" w:rsidR="00363E33" w:rsidRPr="00B907A3" w:rsidRDefault="00515499" w:rsidP="008C4E07">
      <w:pPr>
        <w:spacing w:after="0"/>
        <w:ind w:firstLine="284"/>
        <w:rPr>
          <w:rFonts w:ascii="Garamond" w:hAnsi="Garamond"/>
          <w:sz w:val="24"/>
          <w:lang w:eastAsia="sl-SI"/>
        </w:rPr>
      </w:pPr>
      <w:r w:rsidRPr="00B907A3">
        <w:rPr>
          <w:rFonts w:ascii="Garamond" w:hAnsi="Garamond"/>
          <w:sz w:val="24"/>
          <w:lang w:eastAsia="sl-SI"/>
        </w:rPr>
        <w:t xml:space="preserve">Sjelljet e papërshtatshme të përdoruesve të rrugës janë një nga problemet kryesore të sigurisë rrugore. Sjelljet </w:t>
      </w:r>
      <w:r w:rsidR="0020428A" w:rsidRPr="00B907A3">
        <w:rPr>
          <w:rFonts w:ascii="Garamond" w:hAnsi="Garamond"/>
          <w:sz w:val="24"/>
          <w:lang w:eastAsia="sl-SI"/>
        </w:rPr>
        <w:t xml:space="preserve">me risk </w:t>
      </w:r>
      <w:r w:rsidRPr="00B907A3">
        <w:rPr>
          <w:rFonts w:ascii="Garamond" w:hAnsi="Garamond"/>
          <w:sz w:val="24"/>
          <w:lang w:eastAsia="sl-SI"/>
        </w:rPr>
        <w:t>të përhapura gjerësisht, duke përfshirë shpejtësinë tej normave të lejuara, drejtimin e pakujdesshëm, përdorimin e telefonave celularë gjatë drejtimit të automjetit ose gjatë kalimit të rrugës, mospërdorimin e rripave të sigurimit/</w:t>
      </w:r>
      <w:r w:rsidR="00314100" w:rsidRPr="00B907A3">
        <w:rPr>
          <w:rFonts w:ascii="Garamond" w:hAnsi="Garamond"/>
          <w:sz w:val="24"/>
          <w:lang w:eastAsia="sl-SI"/>
        </w:rPr>
        <w:t>helmetave</w:t>
      </w:r>
      <w:r w:rsidRPr="00B907A3">
        <w:rPr>
          <w:rFonts w:ascii="Garamond" w:hAnsi="Garamond"/>
          <w:sz w:val="24"/>
          <w:lang w:eastAsia="sl-SI"/>
        </w:rPr>
        <w:t xml:space="preserve">, sjelljet e pasigurta nga përdoruesit </w:t>
      </w:r>
      <w:r w:rsidR="002A7A2A" w:rsidRPr="00B907A3">
        <w:rPr>
          <w:rFonts w:ascii="Garamond" w:hAnsi="Garamond"/>
          <w:sz w:val="24"/>
          <w:lang w:eastAsia="sl-SI"/>
        </w:rPr>
        <w:t>vulnerabël</w:t>
      </w:r>
      <w:r w:rsidRPr="00B907A3">
        <w:rPr>
          <w:rFonts w:ascii="Garamond" w:hAnsi="Garamond"/>
          <w:sz w:val="24"/>
          <w:lang w:eastAsia="sl-SI"/>
        </w:rPr>
        <w:t xml:space="preserve"> dhe rritja e drejtimit të automjetit nën ndikimin e alkoolit ose drejtimit nën ndikimin e substancave të tjera</w:t>
      </w:r>
      <w:r w:rsidR="0020428A" w:rsidRPr="00B907A3">
        <w:rPr>
          <w:rFonts w:ascii="Garamond" w:hAnsi="Garamond"/>
          <w:sz w:val="24"/>
          <w:lang w:eastAsia="sl-SI"/>
        </w:rPr>
        <w:t>, j</w:t>
      </w:r>
      <w:r w:rsidRPr="00B907A3">
        <w:rPr>
          <w:rFonts w:ascii="Garamond" w:hAnsi="Garamond"/>
          <w:sz w:val="24"/>
          <w:lang w:eastAsia="sl-SI"/>
        </w:rPr>
        <w:t xml:space="preserve">anë faktorët kryesorë që kontribuojnë në </w:t>
      </w:r>
      <w:r w:rsidR="0020428A" w:rsidRPr="00B907A3">
        <w:rPr>
          <w:rFonts w:ascii="Garamond" w:hAnsi="Garamond"/>
          <w:sz w:val="24"/>
          <w:lang w:eastAsia="sl-SI"/>
        </w:rPr>
        <w:t xml:space="preserve">shpeshtësinë dhe shkallën e </w:t>
      </w:r>
      <w:r w:rsidRPr="00B907A3">
        <w:rPr>
          <w:rFonts w:ascii="Garamond" w:hAnsi="Garamond"/>
          <w:sz w:val="24"/>
          <w:lang w:eastAsia="sl-SI"/>
        </w:rPr>
        <w:t>aksidenteve</w:t>
      </w:r>
      <w:r w:rsidR="00363E33" w:rsidRPr="00B907A3">
        <w:rPr>
          <w:rFonts w:ascii="Garamond" w:hAnsi="Garamond"/>
          <w:sz w:val="24"/>
          <w:lang w:eastAsia="sl-SI"/>
        </w:rPr>
        <w:t>.</w:t>
      </w:r>
    </w:p>
    <w:p w14:paraId="0825E043" w14:textId="257B7A4C" w:rsidR="00363E33" w:rsidRPr="00B907A3" w:rsidRDefault="00A03CA0"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t xml:space="preserve">3.2.2.1 </w:t>
      </w:r>
      <w:r w:rsidR="00515499" w:rsidRPr="00B907A3">
        <w:rPr>
          <w:rFonts w:ascii="Garamond" w:hAnsi="Garamond"/>
          <w:color w:val="auto"/>
          <w:szCs w:val="24"/>
          <w:lang w:val="sq-AL"/>
        </w:rPr>
        <w:t>Shpejtësia tej normave të lejuara</w:t>
      </w:r>
    </w:p>
    <w:p w14:paraId="2AA9A6C8" w14:textId="08ED5686" w:rsidR="00515499" w:rsidRPr="00B907A3" w:rsidRDefault="00515499"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 xml:space="preserve">Shpejtësia tej normave të lejuara është një problem i madh dhe i vazhdueshëm i sigurisë rrugore në Shqipëri, duke kontribuar ndjeshëm në lëndime serioze dhe një numër të lartë vdekjesh. Kjo sjellje e rrezikshme shpesh kombinohet me zakone të tjera të rrezikshme drejtimi, të tilla si ndryshimet e papritura të korsisë, drejtimi agresiv, tejkalimet e pasigurta dhe kalimi i shpejtë i automjetit. Shumica e shkeljeve të </w:t>
      </w:r>
      <w:r w:rsidR="00AC1E46" w:rsidRPr="00B907A3">
        <w:rPr>
          <w:rFonts w:ascii="Garamond" w:hAnsi="Garamond"/>
          <w:sz w:val="24"/>
          <w:lang w:val="sq-AL" w:eastAsia="sl-SI"/>
        </w:rPr>
        <w:t xml:space="preserve">qarkullimit </w:t>
      </w:r>
      <w:r w:rsidRPr="00B907A3">
        <w:rPr>
          <w:rFonts w:ascii="Garamond" w:hAnsi="Garamond"/>
          <w:sz w:val="24"/>
          <w:lang w:val="sq-AL" w:eastAsia="sl-SI"/>
        </w:rPr>
        <w:t>rrugor janë për shkak të shpejtësisë ose mosrespektimit të kufirit të shpejtësisë. Përveç kësaj, ekziston një përhapje e gjerë e perceptimi</w:t>
      </w:r>
      <w:r w:rsidR="008E1095" w:rsidRPr="00B907A3">
        <w:rPr>
          <w:rFonts w:ascii="Garamond" w:hAnsi="Garamond"/>
          <w:sz w:val="24"/>
          <w:lang w:val="sq-AL" w:eastAsia="sl-SI"/>
        </w:rPr>
        <w:t>t</w:t>
      </w:r>
      <w:r w:rsidRPr="00B907A3">
        <w:rPr>
          <w:rFonts w:ascii="Garamond" w:hAnsi="Garamond"/>
          <w:sz w:val="24"/>
          <w:lang w:val="sq-AL" w:eastAsia="sl-SI"/>
        </w:rPr>
        <w:t xml:space="preserve"> midis </w:t>
      </w:r>
      <w:r w:rsidR="00AC1E46" w:rsidRPr="00B907A3">
        <w:rPr>
          <w:rFonts w:ascii="Garamond" w:hAnsi="Garamond"/>
          <w:sz w:val="24"/>
          <w:lang w:val="sq-AL" w:eastAsia="sl-SI"/>
        </w:rPr>
        <w:t xml:space="preserve">drejtuesve </w:t>
      </w:r>
      <w:r w:rsidRPr="00B907A3">
        <w:rPr>
          <w:rFonts w:ascii="Garamond" w:hAnsi="Garamond"/>
          <w:sz w:val="24"/>
          <w:lang w:val="sq-AL" w:eastAsia="sl-SI"/>
        </w:rPr>
        <w:t>se nuk do të ndëshkohen dhe se kufijtë e shpejtësisë janë kufizues të panevojshëm. Kjo dëmton iniciativat e zbatimit të ligjit dhe edukimit</w:t>
      </w:r>
      <w:r w:rsidR="008E1095" w:rsidRPr="00B907A3">
        <w:rPr>
          <w:rFonts w:ascii="Garamond" w:hAnsi="Garamond"/>
          <w:sz w:val="24"/>
          <w:lang w:val="sq-AL" w:eastAsia="sl-SI"/>
        </w:rPr>
        <w:t>.</w:t>
      </w:r>
    </w:p>
    <w:p w14:paraId="3B88E8B2" w14:textId="50C41EE5" w:rsidR="00114711" w:rsidRPr="00D121E9" w:rsidRDefault="00114711" w:rsidP="008C4E07">
      <w:pPr>
        <w:pStyle w:val="NormalWeb"/>
        <w:spacing w:line="240" w:lineRule="auto"/>
        <w:ind w:firstLine="284"/>
        <w:jc w:val="both"/>
        <w:rPr>
          <w:rFonts w:ascii="Garamond" w:hAnsi="Garamond"/>
          <w:i/>
          <w:sz w:val="24"/>
          <w:lang w:val="sq-AL" w:eastAsia="sl-SI"/>
        </w:rPr>
      </w:pPr>
      <w:bookmarkStart w:id="44" w:name="_Hlk205533568"/>
      <w:bookmarkStart w:id="45" w:name="_Toc208841006"/>
      <w:r w:rsidRPr="00D121E9">
        <w:rPr>
          <w:rFonts w:ascii="Garamond" w:hAnsi="Garamond"/>
          <w:i/>
          <w:sz w:val="24"/>
          <w:lang w:val="sq-AL"/>
        </w:rPr>
        <w:t>Figur</w:t>
      </w:r>
      <w:r w:rsidR="00D121E9" w:rsidRPr="00D121E9">
        <w:rPr>
          <w:rFonts w:ascii="Garamond" w:hAnsi="Garamond"/>
          <w:i/>
          <w:sz w:val="24"/>
          <w:lang w:val="sq-AL"/>
        </w:rPr>
        <w:t>a</w:t>
      </w:r>
      <w:r w:rsidRPr="00D121E9">
        <w:rPr>
          <w:rFonts w:ascii="Garamond" w:hAnsi="Garamond"/>
          <w:i/>
          <w:sz w:val="24"/>
          <w:lang w:val="sq-AL"/>
        </w:rPr>
        <w:t xml:space="preserve"> </w:t>
      </w:r>
      <w:r w:rsidR="00B430D5" w:rsidRPr="00D121E9">
        <w:rPr>
          <w:rFonts w:ascii="Garamond" w:hAnsi="Garamond"/>
          <w:i/>
          <w:sz w:val="24"/>
          <w:lang w:val="sq-AL"/>
        </w:rPr>
        <w:fldChar w:fldCharType="begin"/>
      </w:r>
      <w:r w:rsidR="00B430D5" w:rsidRPr="00D121E9">
        <w:rPr>
          <w:rFonts w:ascii="Garamond" w:hAnsi="Garamond"/>
          <w:i/>
          <w:sz w:val="24"/>
          <w:lang w:val="sq-AL"/>
        </w:rPr>
        <w:instrText xml:space="preserve"> STYLEREF 1 \s </w:instrText>
      </w:r>
      <w:r w:rsidR="00B430D5" w:rsidRPr="00D121E9">
        <w:rPr>
          <w:rFonts w:ascii="Garamond" w:hAnsi="Garamond"/>
          <w:i/>
          <w:sz w:val="24"/>
          <w:lang w:val="sq-AL"/>
        </w:rPr>
        <w:fldChar w:fldCharType="separate"/>
      </w:r>
      <w:r w:rsidR="00000896" w:rsidRPr="00D121E9">
        <w:rPr>
          <w:rFonts w:ascii="Garamond" w:hAnsi="Garamond"/>
          <w:i/>
          <w:sz w:val="24"/>
          <w:lang w:val="sq-AL"/>
        </w:rPr>
        <w:t>3</w:t>
      </w:r>
      <w:r w:rsidR="00B430D5" w:rsidRPr="00D121E9">
        <w:rPr>
          <w:rFonts w:ascii="Garamond" w:hAnsi="Garamond"/>
          <w:i/>
          <w:sz w:val="24"/>
          <w:lang w:val="sq-AL"/>
        </w:rPr>
        <w:fldChar w:fldCharType="end"/>
      </w:r>
      <w:r w:rsidR="00B430D5" w:rsidRPr="00D121E9">
        <w:rPr>
          <w:rFonts w:ascii="Garamond" w:hAnsi="Garamond"/>
          <w:i/>
          <w:sz w:val="24"/>
          <w:lang w:val="sq-AL"/>
        </w:rPr>
        <w:noBreakHyphen/>
      </w:r>
      <w:r w:rsidR="00862CC9" w:rsidRPr="00D121E9">
        <w:rPr>
          <w:rFonts w:ascii="Garamond" w:hAnsi="Garamond"/>
          <w:i/>
          <w:sz w:val="24"/>
          <w:lang w:val="sq-AL"/>
        </w:rPr>
        <w:t>11</w:t>
      </w:r>
      <w:r w:rsidRPr="00D121E9">
        <w:rPr>
          <w:rFonts w:ascii="Garamond" w:hAnsi="Garamond"/>
          <w:i/>
          <w:sz w:val="24"/>
          <w:lang w:val="sq-AL"/>
        </w:rPr>
        <w:t xml:space="preserve">: </w:t>
      </w:r>
      <w:bookmarkEnd w:id="44"/>
      <w:r w:rsidR="00515499" w:rsidRPr="00D121E9">
        <w:rPr>
          <w:rFonts w:ascii="Garamond" w:hAnsi="Garamond"/>
          <w:i/>
          <w:sz w:val="24"/>
          <w:lang w:val="sq-AL"/>
        </w:rPr>
        <w:t>Shpejtësia si një problem i madh në rrugët e Shqipërisë</w:t>
      </w:r>
      <w:bookmarkEnd w:id="45"/>
      <w:r w:rsidRPr="00D121E9">
        <w:rPr>
          <w:rFonts w:ascii="Garamond" w:hAnsi="Garamond"/>
          <w:i/>
          <w:sz w:val="24"/>
          <w:lang w:val="sq-AL"/>
        </w:rPr>
        <w:t xml:space="preserve"> </w:t>
      </w:r>
    </w:p>
    <w:p w14:paraId="664AFED4" w14:textId="30F978EC" w:rsidR="0042754E" w:rsidRPr="00B907A3" w:rsidRDefault="00A03CA0" w:rsidP="008C4E07">
      <w:pPr>
        <w:pStyle w:val="NormalWeb"/>
        <w:spacing w:line="240" w:lineRule="auto"/>
        <w:ind w:firstLine="284"/>
        <w:jc w:val="center"/>
        <w:rPr>
          <w:rFonts w:ascii="Garamond" w:hAnsi="Garamond"/>
          <w:sz w:val="24"/>
          <w:lang w:val="sq-AL" w:eastAsia="sl-SI"/>
        </w:rPr>
      </w:pPr>
      <w:r w:rsidRPr="00B907A3">
        <w:rPr>
          <w:rFonts w:ascii="Garamond" w:hAnsi="Garamond"/>
          <w:noProof/>
          <w:sz w:val="24"/>
          <w:lang w:val="sq-AL" w:eastAsia="sq-AL"/>
        </w:rPr>
        <w:lastRenderedPageBreak/>
        <w:drawing>
          <wp:inline distT="0" distB="0" distL="0" distR="0" wp14:anchorId="3F99C52D" wp14:editId="3879BAA1">
            <wp:extent cx="2346960" cy="31699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346960" cy="3169920"/>
                    </a:xfrm>
                    <a:prstGeom prst="rect">
                      <a:avLst/>
                    </a:prstGeom>
                    <a:noFill/>
                  </pic:spPr>
                </pic:pic>
              </a:graphicData>
            </a:graphic>
          </wp:inline>
        </w:drawing>
      </w:r>
    </w:p>
    <w:p w14:paraId="5811C72C" w14:textId="14DECD1C" w:rsidR="00D74F18" w:rsidRPr="005C1DD9" w:rsidRDefault="00AF29EC" w:rsidP="008C4E07">
      <w:pPr>
        <w:spacing w:after="0"/>
        <w:ind w:firstLine="284"/>
        <w:jc w:val="left"/>
        <w:rPr>
          <w:rFonts w:ascii="Garamond" w:hAnsi="Garamond"/>
          <w:i/>
          <w:sz w:val="24"/>
        </w:rPr>
      </w:pPr>
      <w:bookmarkStart w:id="46" w:name="_Toc208841007"/>
      <w:r w:rsidRPr="005C1DD9">
        <w:rPr>
          <w:rFonts w:ascii="Garamond" w:hAnsi="Garamond"/>
          <w:i/>
          <w:sz w:val="24"/>
        </w:rPr>
        <w:t>Figur</w:t>
      </w:r>
      <w:r w:rsidR="00D121E9">
        <w:rPr>
          <w:rFonts w:ascii="Garamond" w:hAnsi="Garamond"/>
          <w:i/>
          <w:sz w:val="24"/>
        </w:rPr>
        <w:t>a</w:t>
      </w:r>
      <w:r w:rsidRPr="005C1DD9">
        <w:rPr>
          <w:rFonts w:ascii="Garamond" w:hAnsi="Garamond"/>
          <w:i/>
          <w:sz w:val="24"/>
        </w:rPr>
        <w:t xml:space="preserve"> </w:t>
      </w:r>
      <w:r w:rsidRPr="005C1DD9">
        <w:rPr>
          <w:rFonts w:ascii="Garamond" w:hAnsi="Garamond"/>
          <w:i/>
          <w:sz w:val="24"/>
        </w:rPr>
        <w:fldChar w:fldCharType="begin"/>
      </w:r>
      <w:r w:rsidRPr="005C1DD9">
        <w:rPr>
          <w:rFonts w:ascii="Garamond" w:hAnsi="Garamond"/>
          <w:i/>
          <w:sz w:val="24"/>
        </w:rPr>
        <w:instrText xml:space="preserve"> STYLEREF 1 \s </w:instrText>
      </w:r>
      <w:r w:rsidRPr="005C1DD9">
        <w:rPr>
          <w:rFonts w:ascii="Garamond" w:hAnsi="Garamond"/>
          <w:i/>
          <w:sz w:val="24"/>
        </w:rPr>
        <w:fldChar w:fldCharType="separate"/>
      </w:r>
      <w:r w:rsidRPr="005C1DD9">
        <w:rPr>
          <w:rFonts w:ascii="Garamond" w:hAnsi="Garamond"/>
          <w:i/>
          <w:sz w:val="24"/>
        </w:rPr>
        <w:t>3</w:t>
      </w:r>
      <w:r w:rsidRPr="005C1DD9">
        <w:rPr>
          <w:rFonts w:ascii="Garamond" w:hAnsi="Garamond"/>
          <w:i/>
          <w:sz w:val="24"/>
        </w:rPr>
        <w:fldChar w:fldCharType="end"/>
      </w:r>
      <w:r w:rsidRPr="005C1DD9">
        <w:rPr>
          <w:rFonts w:ascii="Garamond" w:hAnsi="Garamond"/>
          <w:i/>
          <w:sz w:val="24"/>
        </w:rPr>
        <w:noBreakHyphen/>
      </w:r>
      <w:r w:rsidR="00862CC9" w:rsidRPr="005C1DD9">
        <w:rPr>
          <w:rFonts w:ascii="Garamond" w:hAnsi="Garamond"/>
          <w:i/>
          <w:sz w:val="24"/>
        </w:rPr>
        <w:t>12</w:t>
      </w:r>
      <w:r w:rsidR="005C1DD9" w:rsidRPr="005C1DD9">
        <w:rPr>
          <w:rFonts w:ascii="Garamond" w:hAnsi="Garamond"/>
          <w:i/>
          <w:sz w:val="24"/>
        </w:rPr>
        <w:t>.</w:t>
      </w:r>
      <w:r w:rsidRPr="005C1DD9">
        <w:rPr>
          <w:rFonts w:ascii="Garamond" w:hAnsi="Garamond"/>
          <w:i/>
          <w:sz w:val="24"/>
        </w:rPr>
        <w:t xml:space="preserve"> </w:t>
      </w:r>
      <w:r w:rsidR="00D74F18" w:rsidRPr="005C1DD9">
        <w:rPr>
          <w:rFonts w:ascii="Garamond" w:hAnsi="Garamond"/>
          <w:i/>
          <w:sz w:val="24"/>
        </w:rPr>
        <w:t xml:space="preserve">Personat e vrarë në aksidente sipas shkakut të </w:t>
      </w:r>
      <w:r w:rsidR="008747F3" w:rsidRPr="005C1DD9">
        <w:rPr>
          <w:rFonts w:ascii="Garamond" w:hAnsi="Garamond"/>
          <w:i/>
          <w:sz w:val="24"/>
        </w:rPr>
        <w:t>aks</w:t>
      </w:r>
      <w:r w:rsidR="00D74F18" w:rsidRPr="005C1DD9">
        <w:rPr>
          <w:rFonts w:ascii="Garamond" w:hAnsi="Garamond"/>
          <w:i/>
          <w:sz w:val="24"/>
        </w:rPr>
        <w:t>identit, 2023</w:t>
      </w:r>
      <w:bookmarkEnd w:id="46"/>
    </w:p>
    <w:p w14:paraId="4E1B324A" w14:textId="571497A3" w:rsidR="00363E33" w:rsidRPr="00B907A3" w:rsidRDefault="00D74F18" w:rsidP="008C4E07">
      <w:pPr>
        <w:spacing w:after="0"/>
        <w:ind w:firstLine="284"/>
        <w:jc w:val="left"/>
        <w:rPr>
          <w:rFonts w:ascii="Garamond" w:eastAsia="Calibri" w:hAnsi="Garamond"/>
          <w:iCs/>
          <w:sz w:val="24"/>
          <w:lang w:eastAsia="en-US"/>
        </w:rPr>
      </w:pPr>
      <w:r w:rsidRPr="00B907A3">
        <w:rPr>
          <w:rFonts w:ascii="Garamond" w:hAnsi="Garamond"/>
          <w:sz w:val="24"/>
        </w:rPr>
        <w:t>(Burimi: Ministria e Brendshme</w:t>
      </w:r>
      <w:r w:rsidR="00E330E7" w:rsidRPr="00B907A3">
        <w:rPr>
          <w:rFonts w:ascii="Garamond" w:eastAsia="Calibri" w:hAnsi="Garamond"/>
          <w:iCs/>
          <w:sz w:val="24"/>
          <w:lang w:eastAsia="en-US"/>
        </w:rPr>
        <w:t>)</w:t>
      </w:r>
    </w:p>
    <w:p w14:paraId="12779E6D" w14:textId="7302810F" w:rsidR="006B3C51" w:rsidRPr="00B907A3" w:rsidRDefault="00864ABA" w:rsidP="008C4E07">
      <w:pPr>
        <w:spacing w:after="0"/>
        <w:ind w:firstLine="284"/>
        <w:jc w:val="center"/>
        <w:rPr>
          <w:rFonts w:ascii="Garamond" w:eastAsia="Calibri" w:hAnsi="Garamond"/>
          <w:iCs/>
          <w:sz w:val="24"/>
          <w:lang w:eastAsia="en-US"/>
        </w:rPr>
      </w:pPr>
      <w:r w:rsidRPr="00B907A3">
        <w:rPr>
          <w:rFonts w:ascii="Garamond" w:eastAsia="Calibri" w:hAnsi="Garamond"/>
          <w:iCs/>
          <w:noProof/>
          <w:sz w:val="24"/>
          <w:lang w:eastAsia="sq-AL"/>
        </w:rPr>
        <w:drawing>
          <wp:inline distT="0" distB="0" distL="0" distR="0" wp14:anchorId="2040F4DC" wp14:editId="6C2696B7">
            <wp:extent cx="5956194" cy="3637309"/>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63018" cy="3641476"/>
                    </a:xfrm>
                    <a:prstGeom prst="rect">
                      <a:avLst/>
                    </a:prstGeom>
                    <a:noFill/>
                  </pic:spPr>
                </pic:pic>
              </a:graphicData>
            </a:graphic>
          </wp:inline>
        </w:drawing>
      </w:r>
    </w:p>
    <w:p w14:paraId="47619DBC" w14:textId="4512E53F" w:rsidR="006B3C51" w:rsidRPr="00B907A3" w:rsidRDefault="006B3C51" w:rsidP="008C4E07">
      <w:pPr>
        <w:spacing w:after="0"/>
        <w:ind w:firstLine="284"/>
        <w:jc w:val="left"/>
        <w:rPr>
          <w:rFonts w:ascii="Garamond" w:hAnsi="Garamond"/>
          <w:iCs/>
          <w:sz w:val="24"/>
        </w:rPr>
      </w:pPr>
    </w:p>
    <w:p w14:paraId="7E27FBF8" w14:textId="4AA25DEE" w:rsidR="0084201C" w:rsidRPr="00B907A3" w:rsidRDefault="00D74F18" w:rsidP="008C4E07">
      <w:pPr>
        <w:spacing w:after="0"/>
        <w:ind w:firstLine="284"/>
        <w:rPr>
          <w:rFonts w:ascii="Garamond" w:hAnsi="Garamond"/>
          <w:sz w:val="24"/>
          <w:lang w:eastAsia="sl-SI"/>
        </w:rPr>
      </w:pPr>
      <w:r w:rsidRPr="00B907A3">
        <w:rPr>
          <w:rFonts w:ascii="Garamond" w:hAnsi="Garamond"/>
          <w:sz w:val="24"/>
        </w:rPr>
        <w:t xml:space="preserve">Numri i lartë i viktimave dhe lëndimeve që vijnë si pasojë e shpejtësisë është i </w:t>
      </w:r>
      <w:r w:rsidR="00DE1E2F" w:rsidRPr="00B907A3">
        <w:rPr>
          <w:rFonts w:ascii="Garamond" w:hAnsi="Garamond"/>
          <w:sz w:val="24"/>
        </w:rPr>
        <w:t>lartë</w:t>
      </w:r>
      <w:r w:rsidRPr="00B907A3">
        <w:rPr>
          <w:rFonts w:ascii="Garamond" w:hAnsi="Garamond"/>
          <w:sz w:val="24"/>
        </w:rPr>
        <w:t>. Trajtimi efektiv i këtij problemi shkon përtej vetëm zbatimit të ligjit</w:t>
      </w:r>
      <w:r w:rsidR="00857846" w:rsidRPr="00B907A3">
        <w:rPr>
          <w:rFonts w:ascii="Garamond" w:hAnsi="Garamond"/>
          <w:sz w:val="24"/>
        </w:rPr>
        <w:t>.</w:t>
      </w:r>
      <w:r w:rsidRPr="00B907A3">
        <w:rPr>
          <w:rFonts w:ascii="Garamond" w:hAnsi="Garamond"/>
          <w:sz w:val="24"/>
        </w:rPr>
        <w:t xml:space="preserve"> </w:t>
      </w:r>
      <w:r w:rsidR="00857846" w:rsidRPr="00B907A3">
        <w:rPr>
          <w:rFonts w:ascii="Garamond" w:hAnsi="Garamond"/>
          <w:sz w:val="24"/>
        </w:rPr>
        <w:t>A</w:t>
      </w:r>
      <w:r w:rsidRPr="00B907A3">
        <w:rPr>
          <w:rFonts w:ascii="Garamond" w:hAnsi="Garamond"/>
          <w:sz w:val="24"/>
        </w:rPr>
        <w:t xml:space="preserve">i kërkon një ndryshim në qëndrimet e publikut, ndërgjegjësim më të madh, edukim më të mirë të </w:t>
      </w:r>
      <w:r w:rsidR="00AC1E46" w:rsidRPr="00B907A3">
        <w:rPr>
          <w:rFonts w:ascii="Garamond" w:hAnsi="Garamond"/>
          <w:sz w:val="24"/>
        </w:rPr>
        <w:t>drejtue</w:t>
      </w:r>
      <w:r w:rsidR="00857846" w:rsidRPr="00B907A3">
        <w:rPr>
          <w:rFonts w:ascii="Garamond" w:hAnsi="Garamond"/>
          <w:sz w:val="24"/>
        </w:rPr>
        <w:t>s</w:t>
      </w:r>
      <w:r w:rsidR="00AC1E46" w:rsidRPr="00B907A3">
        <w:rPr>
          <w:rFonts w:ascii="Garamond" w:hAnsi="Garamond"/>
          <w:sz w:val="24"/>
        </w:rPr>
        <w:t xml:space="preserve">ve </w:t>
      </w:r>
      <w:r w:rsidRPr="00B907A3">
        <w:rPr>
          <w:rFonts w:ascii="Garamond" w:hAnsi="Garamond"/>
          <w:sz w:val="24"/>
        </w:rPr>
        <w:t>dhe përmirësime strategjike në planifikimin e infrastrukturës</w:t>
      </w:r>
      <w:r w:rsidR="0084201C" w:rsidRPr="00B907A3">
        <w:rPr>
          <w:rFonts w:ascii="Garamond" w:hAnsi="Garamond"/>
          <w:sz w:val="24"/>
        </w:rPr>
        <w:t>.</w:t>
      </w:r>
    </w:p>
    <w:p w14:paraId="16CFB918" w14:textId="14447233" w:rsidR="00363E33" w:rsidRPr="00B907A3" w:rsidRDefault="00864ABA" w:rsidP="008C4E07">
      <w:pPr>
        <w:pStyle w:val="ListParagraph"/>
        <w:shd w:val="clear" w:color="auto" w:fill="E2EFD9" w:themeFill="accent6" w:themeFillTint="33"/>
        <w:ind w:left="0" w:firstLine="284"/>
        <w:rPr>
          <w:rFonts w:ascii="Garamond" w:hAnsi="Garamond"/>
          <w:b/>
          <w:i/>
          <w:sz w:val="24"/>
          <w:lang w:eastAsia="sl-SI"/>
        </w:rPr>
      </w:pPr>
      <w:r w:rsidRPr="00B907A3">
        <w:rPr>
          <w:rFonts w:ascii="Garamond" w:hAnsi="Garamond"/>
          <w:b/>
          <w:i/>
          <w:sz w:val="24"/>
          <w:lang w:eastAsia="sl-SI"/>
        </w:rPr>
        <w:t xml:space="preserve">- </w:t>
      </w:r>
      <w:r w:rsidR="00D74F18" w:rsidRPr="00B907A3">
        <w:rPr>
          <w:rFonts w:ascii="Garamond" w:hAnsi="Garamond"/>
          <w:b/>
          <w:i/>
          <w:sz w:val="24"/>
          <w:lang w:eastAsia="sl-SI"/>
        </w:rPr>
        <w:t xml:space="preserve">Ekziston një nevojë urgjente për të ulur numrin e </w:t>
      </w:r>
      <w:r w:rsidR="00857846" w:rsidRPr="00B907A3">
        <w:rPr>
          <w:rFonts w:ascii="Garamond" w:hAnsi="Garamond"/>
          <w:b/>
          <w:i/>
          <w:sz w:val="24"/>
          <w:lang w:eastAsia="sl-SI"/>
        </w:rPr>
        <w:t>fataliteteve</w:t>
      </w:r>
      <w:r w:rsidR="00D74F18" w:rsidRPr="00B907A3">
        <w:rPr>
          <w:rFonts w:ascii="Garamond" w:hAnsi="Garamond"/>
          <w:b/>
          <w:i/>
          <w:sz w:val="24"/>
          <w:lang w:eastAsia="sl-SI"/>
        </w:rPr>
        <w:t xml:space="preserve"> dhe lëndimeve të shkaktuara nga shpejtësia. Shpejtësia është thellësisht e ngulitur në kulturën e drejtimit të automjeteve, qëndrimet dhe sjelljet e </w:t>
      </w:r>
      <w:r w:rsidR="00AC1E46" w:rsidRPr="00B907A3">
        <w:rPr>
          <w:rFonts w:ascii="Garamond" w:hAnsi="Garamond"/>
          <w:b/>
          <w:i/>
          <w:sz w:val="24"/>
          <w:lang w:eastAsia="sl-SI"/>
        </w:rPr>
        <w:t xml:space="preserve">drejtuesve </w:t>
      </w:r>
      <w:r w:rsidR="00D74F18" w:rsidRPr="00B907A3">
        <w:rPr>
          <w:rFonts w:ascii="Garamond" w:hAnsi="Garamond"/>
          <w:b/>
          <w:i/>
          <w:sz w:val="24"/>
          <w:lang w:eastAsia="sl-SI"/>
        </w:rPr>
        <w:t xml:space="preserve">në Shqipëri. Gjetja e zgjidhjes për këtë problem kërkon më shumë sesa thjesht zbatim të ligjit. Ajo kërkon një ndryshim në perceptimin publik, rritjen e ndërgjegjësimit, përmirësimin e edukimit të </w:t>
      </w:r>
      <w:r w:rsidR="00AC1E46" w:rsidRPr="00B907A3">
        <w:rPr>
          <w:rFonts w:ascii="Garamond" w:hAnsi="Garamond"/>
          <w:b/>
          <w:i/>
          <w:sz w:val="24"/>
          <w:lang w:eastAsia="sl-SI"/>
        </w:rPr>
        <w:t xml:space="preserve">drejtuesve, </w:t>
      </w:r>
      <w:r w:rsidR="00D74F18" w:rsidRPr="00B907A3">
        <w:rPr>
          <w:rFonts w:ascii="Garamond" w:hAnsi="Garamond"/>
          <w:b/>
          <w:i/>
          <w:sz w:val="24"/>
          <w:lang w:eastAsia="sl-SI"/>
        </w:rPr>
        <w:t>dhe përmirësimin e planifikimit strategjik të infrastrukturës.</w:t>
      </w:r>
      <w:r w:rsidR="00363E33" w:rsidRPr="00B907A3">
        <w:rPr>
          <w:rFonts w:ascii="Garamond" w:hAnsi="Garamond"/>
          <w:b/>
          <w:i/>
          <w:sz w:val="24"/>
          <w:lang w:eastAsia="sl-SI"/>
        </w:rPr>
        <w:t>.</w:t>
      </w:r>
    </w:p>
    <w:p w14:paraId="39FC8B9C" w14:textId="7C984518" w:rsidR="00363E33" w:rsidRPr="00B907A3" w:rsidRDefault="00864ABA"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lastRenderedPageBreak/>
        <w:t xml:space="preserve">3.2.2.2. </w:t>
      </w:r>
      <w:r w:rsidR="00D74F18" w:rsidRPr="00B907A3">
        <w:rPr>
          <w:rFonts w:ascii="Garamond" w:hAnsi="Garamond"/>
          <w:color w:val="auto"/>
          <w:szCs w:val="24"/>
          <w:lang w:val="sq-AL"/>
        </w:rPr>
        <w:t>Drejtimi i mjetit nën ndikimin e alkoolit, drogës ose substancave të tjera psikoaktive</w:t>
      </w:r>
    </w:p>
    <w:p w14:paraId="2884BADD" w14:textId="35B752B4" w:rsidR="00363E33" w:rsidRPr="00B907A3" w:rsidRDefault="00D74F18" w:rsidP="008C4E07">
      <w:pPr>
        <w:spacing w:after="0"/>
        <w:ind w:firstLine="284"/>
        <w:rPr>
          <w:rFonts w:ascii="Garamond" w:hAnsi="Garamond"/>
          <w:sz w:val="24"/>
          <w:lang w:eastAsia="sl-SI"/>
        </w:rPr>
      </w:pPr>
      <w:r w:rsidRPr="00B907A3">
        <w:rPr>
          <w:rFonts w:ascii="Garamond" w:hAnsi="Garamond"/>
          <w:sz w:val="24"/>
          <w:lang w:eastAsia="sl-SI"/>
        </w:rPr>
        <w:t>Drejtimi i mjetit nën ndikimin e alkoolit, drogës dhe substancave të tjera psikoaktive njihet si një sjellje me r</w:t>
      </w:r>
      <w:r w:rsidR="00024562" w:rsidRPr="00B907A3">
        <w:rPr>
          <w:rFonts w:ascii="Garamond" w:hAnsi="Garamond"/>
          <w:sz w:val="24"/>
          <w:lang w:eastAsia="sl-SI"/>
        </w:rPr>
        <w:t xml:space="preserve">isk </w:t>
      </w:r>
      <w:r w:rsidRPr="00B907A3">
        <w:rPr>
          <w:rFonts w:ascii="Garamond" w:hAnsi="Garamond"/>
          <w:sz w:val="24"/>
          <w:lang w:eastAsia="sl-SI"/>
        </w:rPr>
        <w:t>të konsiderueshëm në rrugët e Shqipërisë. Alkooli dëmton aftësinë për të drejtuar në mënyrë të sigurt duke ndikuar në perceptimin, parashikimin, gjykimin, vendimmarrjen dhe veprimet e duhura. Së bashku me shpejtësinë dhe mosvendosjen e rripit të sigurimit, alkooli është një nga shkaqet kryesore të aksidenteve rrugore fatale. Alkooli shoqërohet më shpesh me faktorë të tillë si shpejtësia, drejtimi</w:t>
      </w:r>
      <w:r w:rsidR="00887CC6">
        <w:rPr>
          <w:rFonts w:ascii="Garamond" w:hAnsi="Garamond"/>
          <w:sz w:val="24"/>
          <w:lang w:eastAsia="sl-SI"/>
        </w:rPr>
        <w:t xml:space="preserve"> </w:t>
      </w:r>
      <w:r w:rsidR="005C1DD9" w:rsidRPr="00B907A3">
        <w:rPr>
          <w:rFonts w:ascii="Garamond" w:hAnsi="Garamond"/>
          <w:sz w:val="24"/>
          <w:lang w:eastAsia="sl-SI"/>
        </w:rPr>
        <w:t>kundërvajtje</w:t>
      </w:r>
      <w:r w:rsidR="007937A8" w:rsidRPr="00B907A3">
        <w:rPr>
          <w:rFonts w:ascii="Garamond" w:hAnsi="Garamond"/>
          <w:sz w:val="24"/>
          <w:lang w:eastAsia="sl-SI"/>
        </w:rPr>
        <w:t xml:space="preserve"> </w:t>
      </w:r>
      <w:r w:rsidRPr="00B907A3">
        <w:rPr>
          <w:rFonts w:ascii="Garamond" w:hAnsi="Garamond"/>
          <w:sz w:val="24"/>
          <w:lang w:eastAsia="sl-SI"/>
        </w:rPr>
        <w:t xml:space="preserve">dhe </w:t>
      </w:r>
      <w:r w:rsidR="006053BB" w:rsidRPr="00B907A3">
        <w:rPr>
          <w:rFonts w:ascii="Garamond" w:hAnsi="Garamond"/>
          <w:sz w:val="24"/>
          <w:lang w:eastAsia="sl-SI"/>
        </w:rPr>
        <w:t>drejtimi i pakujdesshëm</w:t>
      </w:r>
      <w:r w:rsidRPr="00B907A3">
        <w:rPr>
          <w:rFonts w:ascii="Garamond" w:hAnsi="Garamond"/>
          <w:sz w:val="24"/>
          <w:lang w:eastAsia="sl-SI"/>
        </w:rPr>
        <w:t xml:space="preserve"> në shkaqet e aksidenteve rrugore</w:t>
      </w:r>
      <w:r w:rsidR="00363E33" w:rsidRPr="00B907A3">
        <w:rPr>
          <w:rFonts w:ascii="Garamond" w:hAnsi="Garamond"/>
          <w:sz w:val="24"/>
          <w:lang w:eastAsia="sl-SI"/>
        </w:rPr>
        <w:t>.</w:t>
      </w:r>
    </w:p>
    <w:p w14:paraId="070165F0" w14:textId="5FC0057E" w:rsidR="00363E33" w:rsidRPr="00B907A3" w:rsidRDefault="00D74F18" w:rsidP="008C4E07">
      <w:pPr>
        <w:spacing w:after="0"/>
        <w:ind w:firstLine="284"/>
        <w:rPr>
          <w:rFonts w:ascii="Garamond" w:hAnsi="Garamond"/>
          <w:sz w:val="24"/>
          <w:lang w:eastAsia="sl-SI"/>
        </w:rPr>
      </w:pPr>
      <w:r w:rsidRPr="00B907A3">
        <w:rPr>
          <w:rFonts w:ascii="Garamond" w:hAnsi="Garamond"/>
          <w:sz w:val="24"/>
          <w:lang w:eastAsia="sl-SI"/>
        </w:rPr>
        <w:t xml:space="preserve">Ndërsa drejtimi i automjeteve nën ndikimin e alkoolit është një problem i njohur me përpjekjet në rritje të zbatimit të ligjit, drejtimi i automjeteve nën ndikimin e drogës përbën një sfidë të rëndësishme për </w:t>
      </w:r>
      <w:r w:rsidRPr="00B907A3">
        <w:rPr>
          <w:rFonts w:ascii="Garamond" w:hAnsi="Garamond"/>
          <w:b/>
          <w:bCs/>
          <w:sz w:val="24"/>
          <w:lang w:eastAsia="sl-SI"/>
        </w:rPr>
        <w:t>shkak të aftësive të kufizuara të</w:t>
      </w:r>
      <w:r w:rsidR="00024562" w:rsidRPr="00B907A3">
        <w:rPr>
          <w:rFonts w:ascii="Garamond" w:hAnsi="Garamond"/>
          <w:b/>
          <w:bCs/>
          <w:sz w:val="24"/>
          <w:lang w:eastAsia="sl-SI"/>
        </w:rPr>
        <w:t xml:space="preserve"> detektimit</w:t>
      </w:r>
      <w:r w:rsidRPr="00B907A3">
        <w:rPr>
          <w:rFonts w:ascii="Garamond" w:hAnsi="Garamond"/>
          <w:sz w:val="24"/>
          <w:lang w:eastAsia="sl-SI"/>
        </w:rPr>
        <w:t>, duke e bërë të vështirë matjen e përhapjes dhe ndikimit të saj të vërtetë, pavarësisht faktit se është i paligjshëm</w:t>
      </w:r>
      <w:r w:rsidR="00063F2A" w:rsidRPr="00B907A3">
        <w:rPr>
          <w:rFonts w:ascii="Garamond" w:hAnsi="Garamond"/>
          <w:sz w:val="24"/>
          <w:lang w:eastAsia="sl-SI"/>
        </w:rPr>
        <w:t xml:space="preserve"> (kundërva</w:t>
      </w:r>
      <w:r w:rsidR="004F56B3" w:rsidRPr="00B907A3">
        <w:rPr>
          <w:rFonts w:ascii="Garamond" w:hAnsi="Garamond"/>
          <w:sz w:val="24"/>
          <w:lang w:eastAsia="sl-SI"/>
        </w:rPr>
        <w:t>j</w:t>
      </w:r>
      <w:r w:rsidR="00063F2A" w:rsidRPr="00B907A3">
        <w:rPr>
          <w:rFonts w:ascii="Garamond" w:hAnsi="Garamond"/>
          <w:sz w:val="24"/>
          <w:lang w:eastAsia="sl-SI"/>
        </w:rPr>
        <w:t>tje administrative)</w:t>
      </w:r>
      <w:r w:rsidRPr="00B907A3">
        <w:rPr>
          <w:rFonts w:ascii="Garamond" w:hAnsi="Garamond"/>
          <w:sz w:val="24"/>
          <w:lang w:eastAsia="sl-SI"/>
        </w:rPr>
        <w:t>.</w:t>
      </w:r>
    </w:p>
    <w:p w14:paraId="5BB05DC3" w14:textId="0B49B243" w:rsidR="00363E33" w:rsidRPr="00B907A3" w:rsidRDefault="00864ABA" w:rsidP="008C4E07">
      <w:pPr>
        <w:pStyle w:val="ListParagraph"/>
        <w:shd w:val="clear" w:color="auto" w:fill="E2EFD9" w:themeFill="accent6" w:themeFillTint="33"/>
        <w:ind w:left="0" w:firstLine="284"/>
        <w:rPr>
          <w:rFonts w:ascii="Garamond" w:hAnsi="Garamond"/>
          <w:b/>
          <w:i/>
          <w:sz w:val="24"/>
          <w:lang w:eastAsia="sl-SI"/>
        </w:rPr>
      </w:pPr>
      <w:r w:rsidRPr="00B907A3">
        <w:rPr>
          <w:rFonts w:ascii="Garamond" w:hAnsi="Garamond"/>
          <w:b/>
          <w:i/>
          <w:sz w:val="24"/>
          <w:lang w:eastAsia="sl-SI"/>
        </w:rPr>
        <w:t xml:space="preserve">- </w:t>
      </w:r>
      <w:r w:rsidR="00D74F18" w:rsidRPr="00B907A3">
        <w:rPr>
          <w:rFonts w:ascii="Garamond" w:hAnsi="Garamond"/>
          <w:b/>
          <w:i/>
          <w:sz w:val="24"/>
          <w:lang w:eastAsia="sl-SI"/>
        </w:rPr>
        <w:t xml:space="preserve">Për të përmirësuar sigurinë rrugore në lidhje me drejtimin e automjetit nën ndikimin e </w:t>
      </w:r>
      <w:r w:rsidR="00CB30E7" w:rsidRPr="00B907A3">
        <w:rPr>
          <w:rFonts w:ascii="Garamond" w:hAnsi="Garamond"/>
          <w:b/>
          <w:i/>
          <w:sz w:val="24"/>
          <w:lang w:eastAsia="sl-SI"/>
        </w:rPr>
        <w:t xml:space="preserve">substancave </w:t>
      </w:r>
      <w:r w:rsidR="00D74F18" w:rsidRPr="00B907A3">
        <w:rPr>
          <w:rFonts w:ascii="Garamond" w:hAnsi="Garamond"/>
          <w:b/>
          <w:i/>
          <w:sz w:val="24"/>
          <w:lang w:eastAsia="sl-SI"/>
        </w:rPr>
        <w:t xml:space="preserve">në Shqipëri, prioritetet kryesore janë intensifikimi i zbatimit të ligjit kundër drejtimit të automjetit nën ndikimin e alkoolit, pajisja e Policisë me pajisje thelbësore për </w:t>
      </w:r>
      <w:r w:rsidR="00CB30E7" w:rsidRPr="00B907A3">
        <w:rPr>
          <w:rFonts w:ascii="Garamond" w:hAnsi="Garamond"/>
          <w:b/>
          <w:i/>
          <w:sz w:val="24"/>
          <w:lang w:eastAsia="sl-SI"/>
        </w:rPr>
        <w:t xml:space="preserve">detektimin </w:t>
      </w:r>
      <w:r w:rsidR="00D74F18" w:rsidRPr="00B907A3">
        <w:rPr>
          <w:rFonts w:ascii="Garamond" w:hAnsi="Garamond"/>
          <w:b/>
          <w:i/>
          <w:sz w:val="24"/>
          <w:lang w:eastAsia="sl-SI"/>
        </w:rPr>
        <w:t>e drogës në rrugë dhe zbatimi i fushatave të vazhdueshme të ndërgjegjësimit publik që synojnë të dyja sjelljet</w:t>
      </w:r>
      <w:r w:rsidR="00363E33" w:rsidRPr="00B907A3">
        <w:rPr>
          <w:rFonts w:ascii="Garamond" w:hAnsi="Garamond"/>
          <w:b/>
          <w:i/>
          <w:sz w:val="24"/>
          <w:lang w:eastAsia="sl-SI"/>
        </w:rPr>
        <w:t>.</w:t>
      </w:r>
    </w:p>
    <w:p w14:paraId="1809D6D0" w14:textId="5AE3E748" w:rsidR="00363E33" w:rsidRPr="00B907A3" w:rsidRDefault="00864ABA" w:rsidP="008C4E07">
      <w:pPr>
        <w:pStyle w:val="Heading4"/>
        <w:numPr>
          <w:ilvl w:val="0"/>
          <w:numId w:val="0"/>
        </w:numPr>
        <w:spacing w:before="0" w:after="0"/>
        <w:ind w:firstLine="284"/>
        <w:rPr>
          <w:rFonts w:ascii="Garamond" w:hAnsi="Garamond"/>
          <w:color w:val="auto"/>
          <w:szCs w:val="24"/>
          <w:lang w:val="sq-AL"/>
        </w:rPr>
      </w:pPr>
      <w:r w:rsidRPr="00B907A3">
        <w:rPr>
          <w:rFonts w:ascii="Garamond" w:hAnsi="Garamond"/>
          <w:color w:val="auto"/>
          <w:szCs w:val="24"/>
          <w:lang w:val="sq-AL"/>
        </w:rPr>
        <w:t xml:space="preserve">3.2.2.3 </w:t>
      </w:r>
      <w:r w:rsidR="00D74F18" w:rsidRPr="00B907A3">
        <w:rPr>
          <w:rFonts w:ascii="Garamond" w:hAnsi="Garamond"/>
          <w:color w:val="auto"/>
          <w:szCs w:val="24"/>
          <w:lang w:val="sq-AL"/>
        </w:rPr>
        <w:t>Përdorimi i telefonave celularë dhe pajisjeve të tjera (</w:t>
      </w:r>
      <w:r w:rsidR="005C1DD9" w:rsidRPr="00B907A3">
        <w:rPr>
          <w:rFonts w:ascii="Garamond" w:hAnsi="Garamond"/>
          <w:color w:val="auto"/>
          <w:szCs w:val="24"/>
          <w:lang w:val="sq-AL"/>
        </w:rPr>
        <w:t>shpërqendrimi</w:t>
      </w:r>
      <w:r w:rsidR="00363E33" w:rsidRPr="00B907A3">
        <w:rPr>
          <w:rFonts w:ascii="Garamond" w:hAnsi="Garamond"/>
          <w:color w:val="auto"/>
          <w:szCs w:val="24"/>
          <w:lang w:val="sq-AL"/>
        </w:rPr>
        <w:t>)</w:t>
      </w:r>
    </w:p>
    <w:p w14:paraId="4C829C4A" w14:textId="6C144962" w:rsidR="00363E33" w:rsidRPr="00B907A3" w:rsidRDefault="00D74F18"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 xml:space="preserve">Drejtimi i </w:t>
      </w:r>
      <w:r w:rsidR="005C1DD9" w:rsidRPr="00B907A3">
        <w:rPr>
          <w:rFonts w:ascii="Garamond" w:hAnsi="Garamond"/>
          <w:sz w:val="24"/>
          <w:lang w:val="sq-AL" w:eastAsia="sl-SI"/>
        </w:rPr>
        <w:t>shpërqendruar</w:t>
      </w:r>
      <w:r w:rsidRPr="00B907A3">
        <w:rPr>
          <w:rFonts w:ascii="Garamond" w:hAnsi="Garamond"/>
          <w:sz w:val="24"/>
          <w:lang w:val="sq-AL" w:eastAsia="sl-SI"/>
        </w:rPr>
        <w:t xml:space="preserve"> dhe përdorimi i telefonave celularë është një shqetësim në rritje. Përdorimi i një telefoni celular ose pajisjeje tjetër gjatë drejtimit të automjetit zvogëlon ndjeshëm </w:t>
      </w:r>
      <w:r w:rsidR="005C1DD9" w:rsidRPr="00B907A3">
        <w:rPr>
          <w:rFonts w:ascii="Garamond" w:hAnsi="Garamond"/>
          <w:sz w:val="24"/>
          <w:lang w:val="sq-AL" w:eastAsia="sl-SI"/>
        </w:rPr>
        <w:t>përqendrimin</w:t>
      </w:r>
      <w:r w:rsidRPr="00B907A3">
        <w:rPr>
          <w:rFonts w:ascii="Garamond" w:hAnsi="Garamond"/>
          <w:sz w:val="24"/>
          <w:lang w:val="sq-AL" w:eastAsia="sl-SI"/>
        </w:rPr>
        <w:t xml:space="preserve"> dhe aftësinë e </w:t>
      </w:r>
      <w:r w:rsidR="007107B9" w:rsidRPr="00B907A3">
        <w:rPr>
          <w:rFonts w:ascii="Garamond" w:hAnsi="Garamond"/>
          <w:sz w:val="24"/>
          <w:lang w:val="sq-AL" w:eastAsia="sl-SI"/>
        </w:rPr>
        <w:t>drejtuesit</w:t>
      </w:r>
      <w:r w:rsidRPr="00B907A3">
        <w:rPr>
          <w:rFonts w:ascii="Garamond" w:hAnsi="Garamond"/>
          <w:sz w:val="24"/>
          <w:lang w:val="sq-AL" w:eastAsia="sl-SI"/>
        </w:rPr>
        <w:t xml:space="preserve"> ose këmbësorit për</w:t>
      </w:r>
      <w:r w:rsidR="00887CC6">
        <w:rPr>
          <w:rFonts w:ascii="Garamond" w:hAnsi="Garamond"/>
          <w:sz w:val="24"/>
          <w:lang w:val="sq-AL" w:eastAsia="sl-SI"/>
        </w:rPr>
        <w:t xml:space="preserve"> </w:t>
      </w:r>
      <w:r w:rsidR="00DB76F6">
        <w:rPr>
          <w:rFonts w:ascii="Garamond" w:hAnsi="Garamond"/>
          <w:sz w:val="24"/>
          <w:lang w:val="sq-AL" w:eastAsia="sl-SI"/>
        </w:rPr>
        <w:t>t’u</w:t>
      </w:r>
      <w:r w:rsidR="00887CC6">
        <w:rPr>
          <w:rFonts w:ascii="Garamond" w:hAnsi="Garamond"/>
          <w:sz w:val="24"/>
          <w:lang w:val="sq-AL" w:eastAsia="sl-SI"/>
        </w:rPr>
        <w:t xml:space="preserve"> </w:t>
      </w:r>
      <w:r w:rsidRPr="00B907A3">
        <w:rPr>
          <w:rFonts w:ascii="Garamond" w:hAnsi="Garamond"/>
          <w:sz w:val="24"/>
          <w:lang w:val="sq-AL" w:eastAsia="sl-SI"/>
        </w:rPr>
        <w:t>përqendruar në atë që po ndodh në rrugë dhe përreth tij. Përdorimi i një telefoni celular gjatë drejtimit të automjetit rrit ndjeshëm r</w:t>
      </w:r>
      <w:r w:rsidR="00F36BAE" w:rsidRPr="00B907A3">
        <w:rPr>
          <w:rFonts w:ascii="Garamond" w:hAnsi="Garamond"/>
          <w:sz w:val="24"/>
          <w:lang w:val="sq-AL" w:eastAsia="sl-SI"/>
        </w:rPr>
        <w:t>iskun p</w:t>
      </w:r>
      <w:r w:rsidRPr="00B907A3">
        <w:rPr>
          <w:rFonts w:ascii="Garamond" w:hAnsi="Garamond"/>
          <w:sz w:val="24"/>
          <w:lang w:val="sq-AL" w:eastAsia="sl-SI"/>
        </w:rPr>
        <w:t>ë</w:t>
      </w:r>
      <w:r w:rsidR="00F36BAE" w:rsidRPr="00B907A3">
        <w:rPr>
          <w:rFonts w:ascii="Garamond" w:hAnsi="Garamond"/>
          <w:sz w:val="24"/>
          <w:lang w:val="sq-AL" w:eastAsia="sl-SI"/>
        </w:rPr>
        <w:t xml:space="preserve">r aksidente </w:t>
      </w:r>
      <w:r w:rsidRPr="00B907A3">
        <w:rPr>
          <w:rFonts w:ascii="Garamond" w:hAnsi="Garamond"/>
          <w:sz w:val="24"/>
          <w:lang w:val="sq-AL" w:eastAsia="sl-SI"/>
        </w:rPr>
        <w:t xml:space="preserve">(studimet ndërkombëtare sugjerojnë një rrezik 4 deri në 23 herë më të lartë). Ky është një problem i zakonshëm për të gjithë </w:t>
      </w:r>
      <w:r w:rsidR="00F36BAE" w:rsidRPr="00B907A3">
        <w:rPr>
          <w:rFonts w:ascii="Garamond" w:hAnsi="Garamond"/>
          <w:sz w:val="24"/>
          <w:lang w:val="sq-AL" w:eastAsia="sl-SI"/>
        </w:rPr>
        <w:t>drejtuesit</w:t>
      </w:r>
      <w:r w:rsidRPr="00B907A3">
        <w:rPr>
          <w:rFonts w:ascii="Garamond" w:hAnsi="Garamond"/>
          <w:sz w:val="24"/>
          <w:lang w:val="sq-AL" w:eastAsia="sl-SI"/>
        </w:rPr>
        <w:t xml:space="preserve">, përfshirë </w:t>
      </w:r>
      <w:r w:rsidR="00F36BAE" w:rsidRPr="00B907A3">
        <w:rPr>
          <w:rFonts w:ascii="Garamond" w:hAnsi="Garamond"/>
          <w:sz w:val="24"/>
          <w:lang w:val="sq-AL" w:eastAsia="sl-SI"/>
        </w:rPr>
        <w:t xml:space="preserve">ata </w:t>
      </w:r>
      <w:r w:rsidRPr="00B907A3">
        <w:rPr>
          <w:rFonts w:ascii="Garamond" w:hAnsi="Garamond"/>
          <w:sz w:val="24"/>
          <w:lang w:val="sq-AL" w:eastAsia="sl-SI"/>
        </w:rPr>
        <w:t>profesionistë</w:t>
      </w:r>
      <w:r w:rsidR="0059360A" w:rsidRPr="00B907A3">
        <w:rPr>
          <w:rFonts w:ascii="Garamond" w:hAnsi="Garamond"/>
          <w:sz w:val="24"/>
          <w:lang w:val="sq-AL" w:eastAsia="sl-SI"/>
        </w:rPr>
        <w:t>.</w:t>
      </w:r>
    </w:p>
    <w:p w14:paraId="49B29B99" w14:textId="22F12D56" w:rsidR="00363E33" w:rsidRPr="00B907A3" w:rsidRDefault="00864ABA" w:rsidP="008C4E07">
      <w:pPr>
        <w:pStyle w:val="ListParagraph"/>
        <w:shd w:val="clear" w:color="auto" w:fill="E2EFD9" w:themeFill="accent6" w:themeFillTint="33"/>
        <w:ind w:left="0" w:firstLine="284"/>
        <w:rPr>
          <w:rFonts w:ascii="Garamond" w:hAnsi="Garamond"/>
          <w:b/>
          <w:i/>
          <w:sz w:val="24"/>
          <w:lang w:eastAsia="sl-SI"/>
        </w:rPr>
      </w:pPr>
      <w:r w:rsidRPr="00B907A3">
        <w:rPr>
          <w:rFonts w:ascii="Garamond" w:hAnsi="Garamond"/>
          <w:b/>
          <w:i/>
          <w:sz w:val="24"/>
          <w:lang w:eastAsia="sl-SI"/>
        </w:rPr>
        <w:t xml:space="preserve">- </w:t>
      </w:r>
      <w:r w:rsidR="00D74F18" w:rsidRPr="00B907A3">
        <w:rPr>
          <w:rFonts w:ascii="Garamond" w:hAnsi="Garamond"/>
          <w:b/>
          <w:i/>
          <w:sz w:val="24"/>
          <w:lang w:eastAsia="sl-SI"/>
        </w:rPr>
        <w:t xml:space="preserve">Duhet të merren masa për të parandaluar përdorimin e telefonave celularë gjatë drejtimit të automjetit, duke u përqendruar në zbatimin e ligjit me dënime të përshtatshme, kërkime mbi teknologjitë e reja të </w:t>
      </w:r>
      <w:r w:rsidR="00C65130" w:rsidRPr="00B907A3">
        <w:rPr>
          <w:rFonts w:ascii="Garamond" w:hAnsi="Garamond"/>
          <w:b/>
          <w:i/>
          <w:sz w:val="24"/>
          <w:lang w:eastAsia="sl-SI"/>
        </w:rPr>
        <w:t xml:space="preserve">detektimit </w:t>
      </w:r>
      <w:r w:rsidR="00D74F18" w:rsidRPr="00B907A3">
        <w:rPr>
          <w:rFonts w:ascii="Garamond" w:hAnsi="Garamond"/>
          <w:b/>
          <w:i/>
          <w:sz w:val="24"/>
          <w:lang w:eastAsia="sl-SI"/>
        </w:rPr>
        <w:t>dhe fushata ndërgjegjësimi publik për të dekurajuar këtë sjellje të rrezikshme</w:t>
      </w:r>
      <w:r w:rsidR="00C65130" w:rsidRPr="00B907A3">
        <w:rPr>
          <w:rFonts w:ascii="Garamond" w:hAnsi="Garamond"/>
          <w:b/>
          <w:i/>
          <w:sz w:val="24"/>
          <w:lang w:eastAsia="sl-SI"/>
        </w:rPr>
        <w:t>, me fokus të shtuar tek të rinjtë</w:t>
      </w:r>
      <w:r w:rsidR="00363E33" w:rsidRPr="00B907A3">
        <w:rPr>
          <w:rFonts w:ascii="Garamond" w:hAnsi="Garamond"/>
          <w:b/>
          <w:i/>
          <w:sz w:val="24"/>
          <w:lang w:eastAsia="sl-SI"/>
        </w:rPr>
        <w:t>.</w:t>
      </w:r>
    </w:p>
    <w:p w14:paraId="640818D1" w14:textId="7ED17D16" w:rsidR="00363E33" w:rsidRPr="00B907A3" w:rsidRDefault="00864ABA" w:rsidP="008C4E07">
      <w:pPr>
        <w:pStyle w:val="Heading4"/>
        <w:numPr>
          <w:ilvl w:val="0"/>
          <w:numId w:val="0"/>
        </w:numPr>
        <w:spacing w:before="0" w:after="0"/>
        <w:ind w:firstLine="284"/>
        <w:rPr>
          <w:rFonts w:ascii="Garamond" w:hAnsi="Garamond"/>
          <w:color w:val="auto"/>
          <w:szCs w:val="24"/>
          <w:lang w:val="sq-AL" w:eastAsia="sl-SI"/>
        </w:rPr>
      </w:pPr>
      <w:r w:rsidRPr="00B907A3">
        <w:rPr>
          <w:rFonts w:ascii="Garamond" w:hAnsi="Garamond"/>
          <w:color w:val="auto"/>
          <w:szCs w:val="24"/>
          <w:lang w:val="sq-AL" w:eastAsia="sl-SI"/>
        </w:rPr>
        <w:t xml:space="preserve">3.2.2.4 </w:t>
      </w:r>
      <w:r w:rsidR="00D74F18" w:rsidRPr="00B907A3">
        <w:rPr>
          <w:rFonts w:ascii="Garamond" w:hAnsi="Garamond"/>
          <w:color w:val="auto"/>
          <w:szCs w:val="24"/>
          <w:lang w:val="sq-AL" w:eastAsia="sl-SI"/>
        </w:rPr>
        <w:t xml:space="preserve">Rripi i sigurimit, </w:t>
      </w:r>
      <w:r w:rsidR="00C65130" w:rsidRPr="00B907A3">
        <w:rPr>
          <w:rFonts w:ascii="Garamond" w:hAnsi="Garamond"/>
          <w:color w:val="auto"/>
          <w:szCs w:val="24"/>
          <w:lang w:val="sq-AL" w:eastAsia="sl-SI"/>
        </w:rPr>
        <w:t xml:space="preserve">vendosja e </w:t>
      </w:r>
      <w:r w:rsidR="00A57A1C" w:rsidRPr="00B907A3">
        <w:rPr>
          <w:rFonts w:ascii="Garamond" w:hAnsi="Garamond"/>
          <w:color w:val="auto"/>
          <w:szCs w:val="24"/>
          <w:lang w:val="sq-AL" w:eastAsia="sl-SI"/>
        </w:rPr>
        <w:t>helmetës</w:t>
      </w:r>
      <w:r w:rsidR="00C65130" w:rsidRPr="00B907A3">
        <w:rPr>
          <w:rFonts w:ascii="Garamond" w:hAnsi="Garamond"/>
          <w:color w:val="auto"/>
          <w:szCs w:val="24"/>
          <w:lang w:val="sq-AL" w:eastAsia="sl-SI"/>
        </w:rPr>
        <w:t xml:space="preserve"> </w:t>
      </w:r>
      <w:r w:rsidR="00D74F18" w:rsidRPr="00B907A3">
        <w:rPr>
          <w:rFonts w:ascii="Garamond" w:hAnsi="Garamond"/>
          <w:color w:val="auto"/>
          <w:szCs w:val="24"/>
          <w:lang w:val="sq-AL" w:eastAsia="sl-SI"/>
        </w:rPr>
        <w:t xml:space="preserve">dhe përdorimi i saktë i pajisjeve </w:t>
      </w:r>
      <w:r w:rsidR="00A57A1C" w:rsidRPr="00B907A3">
        <w:rPr>
          <w:rFonts w:ascii="Garamond" w:hAnsi="Garamond"/>
          <w:color w:val="auto"/>
          <w:szCs w:val="24"/>
          <w:lang w:val="sq-AL" w:eastAsia="sl-SI"/>
        </w:rPr>
        <w:t>mbajtëse</w:t>
      </w:r>
      <w:r w:rsidR="00C65130" w:rsidRPr="00B907A3">
        <w:rPr>
          <w:rFonts w:ascii="Garamond" w:hAnsi="Garamond"/>
          <w:color w:val="auto"/>
          <w:szCs w:val="24"/>
          <w:lang w:val="sq-AL" w:eastAsia="sl-SI"/>
        </w:rPr>
        <w:t xml:space="preserve"> </w:t>
      </w:r>
      <w:r w:rsidR="00D74F18" w:rsidRPr="00B907A3">
        <w:rPr>
          <w:rFonts w:ascii="Garamond" w:hAnsi="Garamond"/>
          <w:color w:val="auto"/>
          <w:szCs w:val="24"/>
          <w:lang w:val="sq-AL" w:eastAsia="sl-SI"/>
        </w:rPr>
        <w:t>për fëmijë</w:t>
      </w:r>
      <w:r w:rsidR="00C65130" w:rsidRPr="00B907A3">
        <w:rPr>
          <w:rFonts w:ascii="Garamond" w:hAnsi="Garamond"/>
          <w:color w:val="auto"/>
          <w:szCs w:val="24"/>
          <w:lang w:val="sq-AL" w:eastAsia="sl-SI"/>
        </w:rPr>
        <w:t>t</w:t>
      </w:r>
    </w:p>
    <w:p w14:paraId="06D23658" w14:textId="0FC3CC5E" w:rsidR="00C65130" w:rsidRPr="00B907A3" w:rsidRDefault="007C072C" w:rsidP="008C4E07">
      <w:pPr>
        <w:spacing w:after="0"/>
        <w:ind w:firstLine="284"/>
        <w:rPr>
          <w:rFonts w:ascii="Garamond" w:hAnsi="Garamond"/>
          <w:sz w:val="24"/>
          <w:lang w:eastAsia="sl-SI"/>
        </w:rPr>
      </w:pPr>
      <w:r w:rsidRPr="00B907A3">
        <w:rPr>
          <w:rFonts w:ascii="Garamond" w:hAnsi="Garamond"/>
          <w:sz w:val="24"/>
          <w:lang w:eastAsia="sl-SI"/>
        </w:rPr>
        <w:t>Mospërdorimi i këtyre pajisjeve ë</w:t>
      </w:r>
      <w:r w:rsidR="00D74F18" w:rsidRPr="00B907A3">
        <w:rPr>
          <w:rFonts w:ascii="Garamond" w:hAnsi="Garamond"/>
          <w:sz w:val="24"/>
          <w:lang w:eastAsia="sl-SI"/>
        </w:rPr>
        <w:t xml:space="preserve">shtë </w:t>
      </w:r>
      <w:r w:rsidR="00974465" w:rsidRPr="00B907A3">
        <w:rPr>
          <w:rFonts w:ascii="Garamond" w:hAnsi="Garamond"/>
          <w:sz w:val="24"/>
          <w:lang w:eastAsia="sl-SI"/>
        </w:rPr>
        <w:t xml:space="preserve">shumë </w:t>
      </w:r>
      <w:r w:rsidR="00D74F18" w:rsidRPr="00B907A3">
        <w:rPr>
          <w:rFonts w:ascii="Garamond" w:hAnsi="Garamond"/>
          <w:sz w:val="24"/>
          <w:lang w:eastAsia="sl-SI"/>
        </w:rPr>
        <w:t xml:space="preserve">i lidhur me shkallë më të larta të vdekshmërisë dhe lëndimeve, veçanërisht </w:t>
      </w:r>
      <w:r w:rsidR="00C65130" w:rsidRPr="00B907A3">
        <w:rPr>
          <w:rFonts w:ascii="Garamond" w:hAnsi="Garamond"/>
          <w:sz w:val="24"/>
          <w:lang w:eastAsia="sl-SI"/>
        </w:rPr>
        <w:t xml:space="preserve">në </w:t>
      </w:r>
      <w:r w:rsidR="005C1DD9" w:rsidRPr="00B907A3">
        <w:rPr>
          <w:rFonts w:ascii="Garamond" w:hAnsi="Garamond"/>
          <w:sz w:val="24"/>
          <w:lang w:eastAsia="sl-SI"/>
        </w:rPr>
        <w:t>radhët</w:t>
      </w:r>
      <w:r w:rsidR="00C65130" w:rsidRPr="00B907A3">
        <w:rPr>
          <w:rFonts w:ascii="Garamond" w:hAnsi="Garamond"/>
          <w:sz w:val="24"/>
          <w:lang w:eastAsia="sl-SI"/>
        </w:rPr>
        <w:t xml:space="preserve"> e </w:t>
      </w:r>
      <w:r w:rsidR="00D74F18" w:rsidRPr="00B907A3">
        <w:rPr>
          <w:rFonts w:ascii="Garamond" w:hAnsi="Garamond"/>
          <w:sz w:val="24"/>
          <w:lang w:eastAsia="sl-SI"/>
        </w:rPr>
        <w:t xml:space="preserve">pasagjerëve dhe motoçiklistëve. Rripat e sigurimit janë një mjet efektiv për të zvogëluar vdekshmërinë e pasagjerëve dhe lëndimet serioze. Mospërdorimi e rrit ndjeshëm </w:t>
      </w:r>
      <w:r w:rsidR="00C65130" w:rsidRPr="00B907A3">
        <w:rPr>
          <w:rFonts w:ascii="Garamond" w:hAnsi="Garamond"/>
          <w:sz w:val="24"/>
          <w:lang w:eastAsia="sl-SI"/>
        </w:rPr>
        <w:t>riskun</w:t>
      </w:r>
      <w:r w:rsidR="00D74F18" w:rsidRPr="00B907A3">
        <w:rPr>
          <w:rFonts w:ascii="Garamond" w:hAnsi="Garamond"/>
          <w:sz w:val="24"/>
          <w:lang w:eastAsia="sl-SI"/>
        </w:rPr>
        <w:t>. Bazuar në studime të shumta, efekti i reduktimit të lëndimeve vlerësohet të jetë rreth 30% për lëndimet serioze dhe rreth 50% për vdekjet, dhe provat në dispozicion sugjerojnë fuqimisht shkallë shumë të ulëta përdorimi, veçanërisht në rast të vdekjeve</w:t>
      </w:r>
      <w:r w:rsidR="00363E33" w:rsidRPr="00B907A3">
        <w:rPr>
          <w:rFonts w:ascii="Garamond" w:hAnsi="Garamond"/>
          <w:sz w:val="24"/>
          <w:lang w:eastAsia="sl-SI"/>
        </w:rPr>
        <w:t>.</w:t>
      </w:r>
      <w:r w:rsidR="006B3C51" w:rsidRPr="00B907A3">
        <w:rPr>
          <w:rFonts w:ascii="Garamond" w:hAnsi="Garamond"/>
          <w:sz w:val="24"/>
          <w:lang w:eastAsia="sl-SI"/>
        </w:rPr>
        <w:t xml:space="preserve"> </w:t>
      </w:r>
    </w:p>
    <w:p w14:paraId="781D202B" w14:textId="7A184B56" w:rsidR="00363E33" w:rsidRPr="00B907A3" w:rsidRDefault="001951E4" w:rsidP="008C4E07">
      <w:pPr>
        <w:spacing w:after="0"/>
        <w:ind w:firstLine="284"/>
        <w:rPr>
          <w:rFonts w:ascii="Garamond" w:hAnsi="Garamond"/>
          <w:sz w:val="24"/>
          <w:lang w:eastAsia="sl-SI"/>
        </w:rPr>
      </w:pPr>
      <w:r w:rsidRPr="00B907A3">
        <w:rPr>
          <w:rFonts w:ascii="Garamond" w:hAnsi="Garamond"/>
          <w:sz w:val="24"/>
          <w:lang w:eastAsia="sl-SI"/>
        </w:rPr>
        <w:t xml:space="preserve">Legjislacioni </w:t>
      </w:r>
      <w:r w:rsidR="00D74F18" w:rsidRPr="00B907A3">
        <w:rPr>
          <w:rFonts w:ascii="Garamond" w:hAnsi="Garamond"/>
          <w:sz w:val="24"/>
          <w:lang w:eastAsia="sl-SI"/>
        </w:rPr>
        <w:t xml:space="preserve">kërkon përdorimin e rripave të sigurimit </w:t>
      </w:r>
      <w:r w:rsidR="00C65130" w:rsidRPr="00B907A3">
        <w:rPr>
          <w:rFonts w:ascii="Garamond" w:hAnsi="Garamond"/>
          <w:sz w:val="24"/>
          <w:lang w:eastAsia="sl-SI"/>
        </w:rPr>
        <w:t xml:space="preserve">në sediljet </w:t>
      </w:r>
      <w:r w:rsidR="00D74F18" w:rsidRPr="00B907A3">
        <w:rPr>
          <w:rFonts w:ascii="Garamond" w:hAnsi="Garamond"/>
          <w:sz w:val="24"/>
          <w:lang w:eastAsia="sl-SI"/>
        </w:rPr>
        <w:t xml:space="preserve">përpara dhe prapa, </w:t>
      </w:r>
      <w:r w:rsidR="00E1353D" w:rsidRPr="00B907A3">
        <w:rPr>
          <w:rFonts w:ascii="Garamond" w:hAnsi="Garamond"/>
          <w:sz w:val="24"/>
          <w:lang w:eastAsia="sl-SI"/>
        </w:rPr>
        <w:t>helmetave</w:t>
      </w:r>
      <w:r w:rsidR="00C65130" w:rsidRPr="00B907A3">
        <w:rPr>
          <w:rFonts w:ascii="Garamond" w:hAnsi="Garamond"/>
          <w:sz w:val="24"/>
          <w:lang w:eastAsia="sl-SI"/>
        </w:rPr>
        <w:t xml:space="preserve"> </w:t>
      </w:r>
      <w:r w:rsidR="00D74F18" w:rsidRPr="00B907A3">
        <w:rPr>
          <w:rFonts w:ascii="Garamond" w:hAnsi="Garamond"/>
          <w:sz w:val="24"/>
          <w:lang w:eastAsia="sl-SI"/>
        </w:rPr>
        <w:t xml:space="preserve">të motoçikletës dhe pajisjeve </w:t>
      </w:r>
      <w:r w:rsidR="00C65130" w:rsidRPr="00B907A3">
        <w:rPr>
          <w:rFonts w:ascii="Garamond" w:hAnsi="Garamond"/>
          <w:sz w:val="24"/>
          <w:lang w:eastAsia="sl-SI"/>
        </w:rPr>
        <w:t xml:space="preserve">kufizuese </w:t>
      </w:r>
      <w:r w:rsidR="00D74F18" w:rsidRPr="00B907A3">
        <w:rPr>
          <w:rFonts w:ascii="Garamond" w:hAnsi="Garamond"/>
          <w:sz w:val="24"/>
          <w:lang w:eastAsia="sl-SI"/>
        </w:rPr>
        <w:t xml:space="preserve">për fëmijë (deri në moshën 12 vjeç), me </w:t>
      </w:r>
      <w:r w:rsidR="00C65130" w:rsidRPr="00B907A3">
        <w:rPr>
          <w:rFonts w:ascii="Garamond" w:hAnsi="Garamond"/>
          <w:sz w:val="24"/>
          <w:lang w:eastAsia="sl-SI"/>
        </w:rPr>
        <w:t xml:space="preserve">penalitete </w:t>
      </w:r>
      <w:r w:rsidR="00D74F18" w:rsidRPr="00B907A3">
        <w:rPr>
          <w:rFonts w:ascii="Garamond" w:hAnsi="Garamond"/>
          <w:sz w:val="24"/>
          <w:lang w:eastAsia="sl-SI"/>
        </w:rPr>
        <w:t xml:space="preserve">për mosrespektim, duke përfshirë gjoba dhe një pezullim të mundshëm të lejes së drejtimit. Të gjithë </w:t>
      </w:r>
      <w:r w:rsidR="00C65130" w:rsidRPr="00B907A3">
        <w:rPr>
          <w:rFonts w:ascii="Garamond" w:hAnsi="Garamond"/>
          <w:sz w:val="24"/>
          <w:lang w:eastAsia="sl-SI"/>
        </w:rPr>
        <w:t xml:space="preserve">drejtuesit </w:t>
      </w:r>
      <w:r w:rsidR="00D74F18" w:rsidRPr="00B907A3">
        <w:rPr>
          <w:rFonts w:ascii="Garamond" w:hAnsi="Garamond"/>
          <w:sz w:val="24"/>
          <w:lang w:eastAsia="sl-SI"/>
        </w:rPr>
        <w:t xml:space="preserve">dhe pasagjerët janë të detyruar të mbajnë rripin e sigurimit. Mosmbajtja e rripit të sigurimit mbetet një nga shkeljet më të zakonshme të </w:t>
      </w:r>
      <w:r w:rsidR="00C65130" w:rsidRPr="00B907A3">
        <w:rPr>
          <w:rFonts w:ascii="Garamond" w:hAnsi="Garamond"/>
          <w:sz w:val="24"/>
          <w:lang w:eastAsia="sl-SI"/>
        </w:rPr>
        <w:t>qarkullimit rrugor</w:t>
      </w:r>
      <w:r w:rsidR="00D74F18" w:rsidRPr="00B907A3">
        <w:rPr>
          <w:rFonts w:ascii="Garamond" w:hAnsi="Garamond"/>
          <w:sz w:val="24"/>
          <w:lang w:eastAsia="sl-SI"/>
        </w:rPr>
        <w:t xml:space="preserve">. Motoçiklistët dhe pasagjerët e tyre janë të detyruar të mbajnë </w:t>
      </w:r>
      <w:r w:rsidR="006349D1" w:rsidRPr="00B907A3">
        <w:rPr>
          <w:rFonts w:ascii="Garamond" w:hAnsi="Garamond"/>
          <w:sz w:val="24"/>
          <w:lang w:eastAsia="sl-SI"/>
        </w:rPr>
        <w:t>helmeta</w:t>
      </w:r>
      <w:r w:rsidR="00363E33" w:rsidRPr="00B907A3">
        <w:rPr>
          <w:rFonts w:ascii="Garamond" w:hAnsi="Garamond"/>
          <w:sz w:val="24"/>
          <w:lang w:eastAsia="sl-SI"/>
        </w:rPr>
        <w:t>.</w:t>
      </w:r>
    </w:p>
    <w:p w14:paraId="08C02012" w14:textId="5B95DF1E" w:rsidR="00922A01" w:rsidRPr="00B907A3" w:rsidRDefault="00864ABA" w:rsidP="008C4E07">
      <w:pPr>
        <w:pStyle w:val="ListParagraph"/>
        <w:shd w:val="clear" w:color="auto" w:fill="E2EFD9" w:themeFill="accent6" w:themeFillTint="33"/>
        <w:ind w:left="0" w:firstLine="284"/>
        <w:rPr>
          <w:rFonts w:ascii="Garamond" w:hAnsi="Garamond"/>
          <w:b/>
          <w:i/>
          <w:sz w:val="24"/>
          <w:lang w:eastAsia="sl-SI"/>
        </w:rPr>
      </w:pPr>
      <w:r w:rsidRPr="00B907A3">
        <w:rPr>
          <w:rFonts w:ascii="Garamond" w:hAnsi="Garamond"/>
          <w:b/>
          <w:i/>
          <w:sz w:val="24"/>
          <w:lang w:eastAsia="sl-SI"/>
        </w:rPr>
        <w:t xml:space="preserve">- </w:t>
      </w:r>
      <w:r w:rsidR="00D74F18" w:rsidRPr="00B907A3">
        <w:rPr>
          <w:rFonts w:ascii="Garamond" w:hAnsi="Garamond"/>
          <w:b/>
          <w:i/>
          <w:sz w:val="24"/>
          <w:lang w:eastAsia="sl-SI"/>
        </w:rPr>
        <w:t xml:space="preserve">Përmirësimi i përdorimit të rripave të sigurimit, </w:t>
      </w:r>
      <w:r w:rsidR="006349D1" w:rsidRPr="00B907A3">
        <w:rPr>
          <w:rFonts w:ascii="Garamond" w:hAnsi="Garamond"/>
          <w:b/>
          <w:i/>
          <w:sz w:val="24"/>
          <w:lang w:eastAsia="sl-SI"/>
        </w:rPr>
        <w:t>helmetave</w:t>
      </w:r>
      <w:r w:rsidR="00C27A13" w:rsidRPr="00B907A3">
        <w:rPr>
          <w:rFonts w:ascii="Garamond" w:hAnsi="Garamond"/>
          <w:b/>
          <w:i/>
          <w:sz w:val="24"/>
          <w:lang w:eastAsia="sl-SI"/>
        </w:rPr>
        <w:t xml:space="preserve"> dhe </w:t>
      </w:r>
      <w:r w:rsidR="00D74F18" w:rsidRPr="00B907A3">
        <w:rPr>
          <w:rFonts w:ascii="Garamond" w:hAnsi="Garamond"/>
          <w:b/>
          <w:i/>
          <w:sz w:val="24"/>
          <w:lang w:eastAsia="sl-SI"/>
        </w:rPr>
        <w:t xml:space="preserve">sistemeve të </w:t>
      </w:r>
      <w:r w:rsidR="005502EC" w:rsidRPr="00B907A3">
        <w:rPr>
          <w:rFonts w:ascii="Garamond" w:hAnsi="Garamond"/>
          <w:b/>
          <w:i/>
          <w:sz w:val="24"/>
          <w:lang w:eastAsia="sl-SI"/>
        </w:rPr>
        <w:t>mb</w:t>
      </w:r>
      <w:r w:rsidR="00DD60CA" w:rsidRPr="00B907A3">
        <w:rPr>
          <w:rFonts w:ascii="Garamond" w:hAnsi="Garamond"/>
          <w:b/>
          <w:i/>
          <w:sz w:val="24"/>
          <w:lang w:eastAsia="sl-SI"/>
        </w:rPr>
        <w:t>a</w:t>
      </w:r>
      <w:r w:rsidR="005502EC" w:rsidRPr="00B907A3">
        <w:rPr>
          <w:rFonts w:ascii="Garamond" w:hAnsi="Garamond"/>
          <w:b/>
          <w:i/>
          <w:sz w:val="24"/>
          <w:lang w:eastAsia="sl-SI"/>
        </w:rPr>
        <w:t xml:space="preserve">jtjes </w:t>
      </w:r>
      <w:r w:rsidR="00D74F18" w:rsidRPr="00B907A3">
        <w:rPr>
          <w:rFonts w:ascii="Garamond" w:hAnsi="Garamond"/>
          <w:b/>
          <w:i/>
          <w:sz w:val="24"/>
          <w:lang w:eastAsia="sl-SI"/>
        </w:rPr>
        <w:t xml:space="preserve">për fëmijë kërkon zbatim më të rreptë të ligjeve të përdorimit të detyrueshëm të kombinuar me fushata të </w:t>
      </w:r>
      <w:r w:rsidR="005502EC" w:rsidRPr="00B907A3">
        <w:rPr>
          <w:rFonts w:ascii="Garamond" w:hAnsi="Garamond"/>
          <w:b/>
          <w:i/>
          <w:sz w:val="24"/>
          <w:lang w:eastAsia="sl-SI"/>
        </w:rPr>
        <w:t>synuara</w:t>
      </w:r>
      <w:r w:rsidR="00C27A13" w:rsidRPr="00B907A3">
        <w:rPr>
          <w:rFonts w:ascii="Garamond" w:hAnsi="Garamond"/>
          <w:b/>
          <w:i/>
          <w:sz w:val="24"/>
          <w:lang w:eastAsia="sl-SI"/>
        </w:rPr>
        <w:t xml:space="preserve"> </w:t>
      </w:r>
      <w:r w:rsidR="00D74F18" w:rsidRPr="00B907A3">
        <w:rPr>
          <w:rFonts w:ascii="Garamond" w:hAnsi="Garamond"/>
          <w:b/>
          <w:i/>
          <w:sz w:val="24"/>
          <w:lang w:eastAsia="sl-SI"/>
        </w:rPr>
        <w:t>të edukimit publik dhe ndërgjegjësimit</w:t>
      </w:r>
      <w:r w:rsidR="00363E33" w:rsidRPr="00B907A3">
        <w:rPr>
          <w:rFonts w:ascii="Garamond" w:hAnsi="Garamond"/>
          <w:b/>
          <w:i/>
          <w:sz w:val="24"/>
          <w:lang w:eastAsia="sl-SI"/>
        </w:rPr>
        <w:t>.</w:t>
      </w:r>
    </w:p>
    <w:p w14:paraId="5522BF2A" w14:textId="456E83B6" w:rsidR="00F6687C" w:rsidRPr="005C1DD9" w:rsidRDefault="00864ABA" w:rsidP="005C1DD9">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47" w:name="_Toc197682421"/>
      <w:bookmarkStart w:id="48" w:name="_Toc197682422"/>
      <w:bookmarkStart w:id="49" w:name="_Toc197682423"/>
      <w:bookmarkStart w:id="50" w:name="_Toc197682424"/>
      <w:bookmarkStart w:id="51" w:name="_Toc197682425"/>
      <w:bookmarkStart w:id="52" w:name="_Toc197682426"/>
      <w:bookmarkStart w:id="53" w:name="_Toc197682427"/>
      <w:bookmarkStart w:id="54" w:name="_Toc197682428"/>
      <w:bookmarkStart w:id="55" w:name="_Toc197682429"/>
      <w:bookmarkStart w:id="56" w:name="_Toc197682430"/>
      <w:bookmarkStart w:id="57" w:name="_Toc197682431"/>
      <w:bookmarkStart w:id="58" w:name="_Toc197682432"/>
      <w:bookmarkStart w:id="59" w:name="_Toc197682433"/>
      <w:bookmarkStart w:id="60" w:name="_Toc197682434"/>
      <w:bookmarkStart w:id="61" w:name="_Toc197682435"/>
      <w:bookmarkStart w:id="62" w:name="_Toc197682436"/>
      <w:bookmarkStart w:id="63" w:name="_Toc197682437"/>
      <w:bookmarkStart w:id="64" w:name="_Toc197682438"/>
      <w:bookmarkStart w:id="65" w:name="_Toc197682439"/>
      <w:bookmarkStart w:id="66" w:name="_Toc197682440"/>
      <w:bookmarkStart w:id="67" w:name="_Toc197682441"/>
      <w:bookmarkStart w:id="68" w:name="_Toc197682442"/>
      <w:bookmarkStart w:id="69" w:name="_Toc197682443"/>
      <w:bookmarkStart w:id="70" w:name="_Toc197682444"/>
      <w:bookmarkStart w:id="71" w:name="_Toc197682445"/>
      <w:bookmarkStart w:id="72" w:name="_Toc197682446"/>
      <w:bookmarkStart w:id="73" w:name="_Toc197682447"/>
      <w:bookmarkStart w:id="74" w:name="_Toc197682448"/>
      <w:bookmarkStart w:id="75" w:name="_Toc197682449"/>
      <w:bookmarkStart w:id="76" w:name="_Toc197682450"/>
      <w:bookmarkStart w:id="77" w:name="_Toc197682451"/>
      <w:bookmarkStart w:id="78" w:name="_Toc197682452"/>
      <w:bookmarkStart w:id="79" w:name="_Toc197682453"/>
      <w:bookmarkStart w:id="80" w:name="_Toc197682454"/>
      <w:bookmarkStart w:id="81" w:name="_Toc197682455"/>
      <w:bookmarkStart w:id="82" w:name="_Toc197682456"/>
      <w:bookmarkStart w:id="83" w:name="_Toc197682457"/>
      <w:bookmarkStart w:id="84" w:name="_Toc197682458"/>
      <w:bookmarkStart w:id="85" w:name="_Toc197682459"/>
      <w:bookmarkStart w:id="86" w:name="_Toc197682460"/>
      <w:bookmarkStart w:id="87" w:name="_Toc197682461"/>
      <w:bookmarkStart w:id="88" w:name="_Toc197682462"/>
      <w:bookmarkStart w:id="89" w:name="_Toc197682463"/>
      <w:bookmarkStart w:id="90" w:name="_Toc197682464"/>
      <w:bookmarkStart w:id="91" w:name="_Toc197682465"/>
      <w:bookmarkStart w:id="92" w:name="_Toc197682466"/>
      <w:bookmarkStart w:id="93" w:name="_Toc197682467"/>
      <w:bookmarkStart w:id="94" w:name="_Toc197682468"/>
      <w:bookmarkStart w:id="95" w:name="_Toc197682469"/>
      <w:bookmarkStart w:id="96" w:name="_Toc197682470"/>
      <w:bookmarkStart w:id="97" w:name="_Toc197682471"/>
      <w:bookmarkStart w:id="98" w:name="_Toc197682472"/>
      <w:bookmarkStart w:id="99" w:name="_Toc197682473"/>
      <w:bookmarkStart w:id="100" w:name="_Toc197682474"/>
      <w:bookmarkStart w:id="101" w:name="_Toc197682475"/>
      <w:bookmarkStart w:id="102" w:name="_Toc197682476"/>
      <w:bookmarkStart w:id="103" w:name="_Toc166574843"/>
      <w:bookmarkStart w:id="104" w:name="_Toc197682477"/>
      <w:bookmarkStart w:id="105" w:name="_Toc197682478"/>
      <w:bookmarkStart w:id="106" w:name="_Toc197682479"/>
      <w:bookmarkStart w:id="107" w:name="_Toc197682480"/>
      <w:bookmarkStart w:id="108" w:name="_Toc197682481"/>
      <w:bookmarkStart w:id="109" w:name="_Toc197682482"/>
      <w:bookmarkStart w:id="110" w:name="_Toc197682483"/>
      <w:bookmarkStart w:id="111" w:name="_Toc208840568"/>
      <w:bookmarkStart w:id="112" w:name="_Toc133263454"/>
      <w:bookmarkStart w:id="113" w:name="_Toc135069825"/>
      <w:bookmarkEnd w:id="6"/>
      <w:bookmarkEnd w:id="7"/>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5C1DD9">
        <w:rPr>
          <w:rFonts w:ascii="Garamond" w:hAnsi="Garamond"/>
          <w:b w:val="0"/>
          <w:color w:val="auto"/>
          <w:sz w:val="24"/>
          <w:szCs w:val="24"/>
          <w:lang w:val="sq-AL"/>
        </w:rPr>
        <w:t xml:space="preserve">4. </w:t>
      </w:r>
      <w:r w:rsidR="00353F6D" w:rsidRPr="005C1DD9">
        <w:rPr>
          <w:rFonts w:ascii="Garamond" w:hAnsi="Garamond"/>
          <w:b w:val="0"/>
          <w:color w:val="auto"/>
          <w:sz w:val="24"/>
          <w:szCs w:val="24"/>
          <w:lang w:val="sq-AL"/>
        </w:rPr>
        <w:t>NJË QASJE</w:t>
      </w:r>
      <w:r w:rsidR="00FB5830">
        <w:rPr>
          <w:rFonts w:ascii="Garamond" w:hAnsi="Garamond"/>
          <w:b w:val="0"/>
          <w:color w:val="auto"/>
          <w:sz w:val="24"/>
          <w:szCs w:val="24"/>
          <w:lang w:val="sq-AL"/>
        </w:rPr>
        <w:t xml:space="preserve">, KUADËR DHE </w:t>
      </w:r>
      <w:r w:rsidR="00A021B5">
        <w:rPr>
          <w:rFonts w:ascii="Garamond" w:hAnsi="Garamond"/>
          <w:b w:val="0"/>
          <w:color w:val="auto"/>
          <w:sz w:val="24"/>
          <w:szCs w:val="24"/>
          <w:lang w:val="sq-AL"/>
        </w:rPr>
        <w:t>VIZION</w:t>
      </w:r>
      <w:r w:rsidR="00FB5830">
        <w:rPr>
          <w:rFonts w:ascii="Garamond" w:hAnsi="Garamond"/>
          <w:b w:val="0"/>
          <w:color w:val="auto"/>
          <w:sz w:val="24"/>
          <w:szCs w:val="24"/>
          <w:lang w:val="sq-AL"/>
        </w:rPr>
        <w:t>/QËLLIM/</w:t>
      </w:r>
      <w:r w:rsidR="008B2CB1" w:rsidRPr="005C1DD9">
        <w:rPr>
          <w:rFonts w:ascii="Garamond" w:hAnsi="Garamond"/>
          <w:b w:val="0"/>
          <w:color w:val="auto"/>
          <w:sz w:val="24"/>
          <w:szCs w:val="24"/>
          <w:lang w:val="sq-AL"/>
        </w:rPr>
        <w:t>OBJEKTIV</w:t>
      </w:r>
      <w:r w:rsidR="00511908" w:rsidRPr="005C1DD9">
        <w:rPr>
          <w:rFonts w:ascii="Garamond" w:hAnsi="Garamond"/>
          <w:b w:val="0"/>
          <w:color w:val="auto"/>
          <w:sz w:val="24"/>
          <w:szCs w:val="24"/>
          <w:lang w:val="sq-AL"/>
        </w:rPr>
        <w:t>A</w:t>
      </w:r>
      <w:r w:rsidR="00FB5830">
        <w:rPr>
          <w:rFonts w:ascii="Garamond" w:hAnsi="Garamond"/>
          <w:b w:val="0"/>
          <w:color w:val="auto"/>
          <w:sz w:val="24"/>
          <w:szCs w:val="24"/>
          <w:lang w:val="sq-AL"/>
        </w:rPr>
        <w:t>/</w:t>
      </w:r>
      <w:r w:rsidR="008B2CB1" w:rsidRPr="005C1DD9">
        <w:rPr>
          <w:rFonts w:ascii="Garamond" w:hAnsi="Garamond"/>
          <w:b w:val="0"/>
          <w:color w:val="auto"/>
          <w:sz w:val="24"/>
          <w:szCs w:val="24"/>
          <w:lang w:val="sq-AL"/>
        </w:rPr>
        <w:t xml:space="preserve">TARGETE </w:t>
      </w:r>
      <w:r w:rsidR="00353F6D" w:rsidRPr="005C1DD9">
        <w:rPr>
          <w:rFonts w:ascii="Garamond" w:hAnsi="Garamond"/>
          <w:b w:val="0"/>
          <w:color w:val="auto"/>
          <w:sz w:val="24"/>
          <w:szCs w:val="24"/>
          <w:lang w:val="sq-AL"/>
        </w:rPr>
        <w:t>STRATEGJIK</w:t>
      </w:r>
      <w:bookmarkEnd w:id="111"/>
      <w:r w:rsidR="00DB76F6">
        <w:rPr>
          <w:rFonts w:ascii="Garamond" w:hAnsi="Garamond"/>
          <w:b w:val="0"/>
          <w:color w:val="auto"/>
          <w:sz w:val="24"/>
          <w:szCs w:val="24"/>
          <w:lang w:val="sq-AL"/>
        </w:rPr>
        <w:t>Ë</w:t>
      </w:r>
    </w:p>
    <w:p w14:paraId="6C87FC33" w14:textId="308348BE" w:rsidR="00096C18" w:rsidRPr="00B907A3" w:rsidRDefault="00353F6D" w:rsidP="008C4E07">
      <w:pPr>
        <w:spacing w:after="0"/>
        <w:ind w:firstLine="284"/>
        <w:rPr>
          <w:rFonts w:ascii="Garamond" w:hAnsi="Garamond"/>
          <w:sz w:val="24"/>
        </w:rPr>
      </w:pPr>
      <w:r w:rsidRPr="00B907A3">
        <w:rPr>
          <w:rFonts w:ascii="Garamond" w:hAnsi="Garamond"/>
          <w:sz w:val="24"/>
        </w:rPr>
        <w:t xml:space="preserve">Strategjia kombëtare </w:t>
      </w:r>
      <w:r w:rsidR="008B2CB1" w:rsidRPr="00B907A3">
        <w:rPr>
          <w:rFonts w:ascii="Garamond" w:hAnsi="Garamond"/>
          <w:sz w:val="24"/>
        </w:rPr>
        <w:t xml:space="preserve">për </w:t>
      </w:r>
      <w:r w:rsidRPr="00B907A3">
        <w:rPr>
          <w:rFonts w:ascii="Garamond" w:hAnsi="Garamond"/>
          <w:sz w:val="24"/>
        </w:rPr>
        <w:t>Siguri</w:t>
      </w:r>
      <w:r w:rsidR="008B2CB1" w:rsidRPr="00B907A3">
        <w:rPr>
          <w:rFonts w:ascii="Garamond" w:hAnsi="Garamond"/>
          <w:sz w:val="24"/>
        </w:rPr>
        <w:t>n</w:t>
      </w:r>
      <w:r w:rsidRPr="00B907A3">
        <w:rPr>
          <w:rFonts w:ascii="Garamond" w:hAnsi="Garamond"/>
          <w:sz w:val="24"/>
        </w:rPr>
        <w:t xml:space="preserve">ë Rrugore në Shqipëri </w:t>
      </w:r>
      <w:r w:rsidR="005C1DD9" w:rsidRPr="00B907A3">
        <w:rPr>
          <w:rFonts w:ascii="Garamond" w:hAnsi="Garamond"/>
          <w:sz w:val="24"/>
        </w:rPr>
        <w:t>përqendrohet</w:t>
      </w:r>
      <w:r w:rsidRPr="00B907A3">
        <w:rPr>
          <w:rFonts w:ascii="Garamond" w:hAnsi="Garamond"/>
          <w:sz w:val="24"/>
        </w:rPr>
        <w:t xml:space="preserve"> në përmirësimin e sigurisë rrugore përmes një qasjeje të strukturuar. Ajo përfshin</w:t>
      </w:r>
      <w:r w:rsidR="00B01E3F" w:rsidRPr="00B907A3">
        <w:rPr>
          <w:rFonts w:ascii="Garamond" w:hAnsi="Garamond"/>
          <w:sz w:val="24"/>
        </w:rPr>
        <w:t>:</w:t>
      </w:r>
    </w:p>
    <w:p w14:paraId="691E686D" w14:textId="454AE842" w:rsidR="009141BA" w:rsidRPr="00B907A3" w:rsidRDefault="00864ABA" w:rsidP="008C4E07">
      <w:pPr>
        <w:pStyle w:val="Heading2"/>
        <w:numPr>
          <w:ilvl w:val="0"/>
          <w:numId w:val="0"/>
        </w:numPr>
        <w:spacing w:after="0"/>
        <w:ind w:firstLine="284"/>
        <w:rPr>
          <w:rFonts w:ascii="Garamond" w:hAnsi="Garamond"/>
          <w:color w:val="auto"/>
          <w:lang w:val="sq-AL"/>
        </w:rPr>
      </w:pPr>
      <w:bookmarkStart w:id="114" w:name="_Toc208840569"/>
      <w:bookmarkEnd w:id="112"/>
      <w:bookmarkEnd w:id="113"/>
      <w:r w:rsidRPr="00B907A3">
        <w:rPr>
          <w:rFonts w:ascii="Garamond" w:hAnsi="Garamond"/>
          <w:color w:val="auto"/>
          <w:lang w:val="sq-AL"/>
        </w:rPr>
        <w:t xml:space="preserve">4.1 </w:t>
      </w:r>
      <w:r w:rsidR="00353F6D" w:rsidRPr="00B907A3">
        <w:rPr>
          <w:rFonts w:ascii="Garamond" w:hAnsi="Garamond"/>
          <w:color w:val="auto"/>
          <w:lang w:val="sq-AL"/>
        </w:rPr>
        <w:t>Një qasje strategjike</w:t>
      </w:r>
      <w:bookmarkEnd w:id="114"/>
      <w:r w:rsidR="00947263" w:rsidRPr="00B907A3">
        <w:rPr>
          <w:rFonts w:ascii="Garamond" w:hAnsi="Garamond"/>
          <w:color w:val="auto"/>
          <w:lang w:val="sq-AL"/>
        </w:rPr>
        <w:t xml:space="preserve"> </w:t>
      </w:r>
    </w:p>
    <w:p w14:paraId="28D2CCEB" w14:textId="589CE77B" w:rsidR="00A2798A" w:rsidRPr="00B907A3" w:rsidRDefault="00AE7E70" w:rsidP="008C4E07">
      <w:pPr>
        <w:spacing w:after="0"/>
        <w:ind w:firstLine="284"/>
        <w:rPr>
          <w:rFonts w:ascii="Garamond" w:hAnsi="Garamond"/>
          <w:sz w:val="24"/>
        </w:rPr>
      </w:pPr>
      <w:r w:rsidRPr="00B907A3">
        <w:rPr>
          <w:rFonts w:ascii="Garamond" w:hAnsi="Garamond"/>
          <w:sz w:val="24"/>
        </w:rPr>
        <w:t xml:space="preserve">Themeli i Strategjisë </w:t>
      </w:r>
      <w:r w:rsidR="008B2CB1" w:rsidRPr="00B907A3">
        <w:rPr>
          <w:rFonts w:ascii="Garamond" w:hAnsi="Garamond"/>
          <w:sz w:val="24"/>
        </w:rPr>
        <w:t>p</w:t>
      </w:r>
      <w:bookmarkStart w:id="115" w:name="_Hlk205356516"/>
      <w:r w:rsidRPr="00B907A3">
        <w:rPr>
          <w:rFonts w:ascii="Garamond" w:hAnsi="Garamond"/>
          <w:sz w:val="24"/>
        </w:rPr>
        <w:t>ë</w:t>
      </w:r>
      <w:bookmarkEnd w:id="115"/>
      <w:r w:rsidR="008B2CB1" w:rsidRPr="00B907A3">
        <w:rPr>
          <w:rFonts w:ascii="Garamond" w:hAnsi="Garamond"/>
          <w:sz w:val="24"/>
        </w:rPr>
        <w:t>r</w:t>
      </w:r>
      <w:r w:rsidRPr="00B907A3">
        <w:rPr>
          <w:rFonts w:ascii="Garamond" w:hAnsi="Garamond"/>
          <w:sz w:val="24"/>
        </w:rPr>
        <w:t xml:space="preserve"> Sigurisë Rrugore të Shqipërisë do të bazohet në Qasjen e Sistemit të Sigurt </w:t>
      </w:r>
      <w:r w:rsidR="008B2CB1" w:rsidRPr="00B907A3">
        <w:rPr>
          <w:rFonts w:ascii="Garamond" w:hAnsi="Garamond"/>
          <w:sz w:val="24"/>
        </w:rPr>
        <w:t xml:space="preserve">(SSA) </w:t>
      </w:r>
      <w:r w:rsidRPr="00B907A3">
        <w:rPr>
          <w:rFonts w:ascii="Garamond" w:hAnsi="Garamond"/>
          <w:sz w:val="24"/>
        </w:rPr>
        <w:t xml:space="preserve">që përfaqëson një ndryshim </w:t>
      </w:r>
      <w:r w:rsidR="008B2CB1" w:rsidRPr="00B907A3">
        <w:rPr>
          <w:rFonts w:ascii="Garamond" w:hAnsi="Garamond"/>
          <w:sz w:val="24"/>
        </w:rPr>
        <w:t xml:space="preserve">të </w:t>
      </w:r>
      <w:r w:rsidRPr="00B907A3">
        <w:rPr>
          <w:rFonts w:ascii="Garamond" w:hAnsi="Garamond"/>
          <w:sz w:val="24"/>
        </w:rPr>
        <w:t>paradigm</w:t>
      </w:r>
      <w:r w:rsidR="008B2CB1" w:rsidRPr="00B907A3">
        <w:rPr>
          <w:rFonts w:ascii="Garamond" w:hAnsi="Garamond"/>
          <w:sz w:val="24"/>
        </w:rPr>
        <w:t xml:space="preserve">ës </w:t>
      </w:r>
      <w:r w:rsidRPr="00B907A3">
        <w:rPr>
          <w:rFonts w:ascii="Garamond" w:hAnsi="Garamond"/>
          <w:sz w:val="24"/>
        </w:rPr>
        <w:t>në menaxhimin e sigurisë rrugore, duke u larguar nga përqendrimi vetëm në sjelljen e përdoruesve të rrugës drejt krijimit të një sistemi transporti rrugor në thelb më të sigurt. E mbështetur nga organizatat kryesore ndërkombëtare,</w:t>
      </w:r>
      <w:r w:rsidR="008B2CB1" w:rsidRPr="00B907A3">
        <w:rPr>
          <w:rFonts w:ascii="Garamond" w:hAnsi="Garamond"/>
          <w:sz w:val="24"/>
        </w:rPr>
        <w:t xml:space="preserve"> e rajonale, si</w:t>
      </w:r>
      <w:r w:rsidR="00887CC6">
        <w:rPr>
          <w:rFonts w:ascii="Garamond" w:hAnsi="Garamond"/>
          <w:sz w:val="24"/>
        </w:rPr>
        <w:t xml:space="preserve"> </w:t>
      </w:r>
      <w:r w:rsidRPr="00B907A3">
        <w:rPr>
          <w:rFonts w:ascii="Garamond" w:hAnsi="Garamond"/>
          <w:sz w:val="24"/>
        </w:rPr>
        <w:t>OBSH</w:t>
      </w:r>
      <w:r w:rsidR="008B2CB1" w:rsidRPr="00B907A3">
        <w:rPr>
          <w:rFonts w:ascii="Garamond" w:hAnsi="Garamond"/>
          <w:sz w:val="24"/>
        </w:rPr>
        <w:t>-ja</w:t>
      </w:r>
      <w:r w:rsidRPr="00B907A3">
        <w:rPr>
          <w:rFonts w:ascii="Garamond" w:hAnsi="Garamond"/>
          <w:sz w:val="24"/>
        </w:rPr>
        <w:t>, OKB-</w:t>
      </w:r>
      <w:r w:rsidR="008B2CB1" w:rsidRPr="00B907A3">
        <w:rPr>
          <w:rFonts w:ascii="Garamond" w:hAnsi="Garamond"/>
          <w:sz w:val="24"/>
        </w:rPr>
        <w:t xml:space="preserve">ja </w:t>
      </w:r>
      <w:r w:rsidRPr="00B907A3">
        <w:rPr>
          <w:rFonts w:ascii="Garamond" w:hAnsi="Garamond"/>
          <w:sz w:val="24"/>
        </w:rPr>
        <w:t xml:space="preserve">dhe Bashkimi Evropian, kjo qasje pranon se njerëzit janë të gabueshëm dhe në mënyrë të </w:t>
      </w:r>
      <w:r w:rsidRPr="00B907A3">
        <w:rPr>
          <w:rFonts w:ascii="Garamond" w:hAnsi="Garamond"/>
          <w:sz w:val="24"/>
        </w:rPr>
        <w:lastRenderedPageBreak/>
        <w:t>pashmangshme do të bëjnë gabime. Si i tillë, sistemi rrugor duhet të jetë i projektuar për të minimizuar pasojat e këtyre gabimeve, duke parandaluar që ato të rezultojnë me vdekje ose lëndime serioze</w:t>
      </w:r>
      <w:r w:rsidR="00A2798A" w:rsidRPr="00B907A3">
        <w:rPr>
          <w:rFonts w:ascii="Garamond" w:hAnsi="Garamond"/>
          <w:sz w:val="24"/>
        </w:rPr>
        <w:t>.</w:t>
      </w:r>
    </w:p>
    <w:p w14:paraId="3A0C0D4B" w14:textId="11F2C31D" w:rsidR="00A2798A" w:rsidRPr="00B907A3" w:rsidRDefault="00AE7E70" w:rsidP="008C4E07">
      <w:pPr>
        <w:spacing w:after="0"/>
        <w:ind w:firstLine="284"/>
        <w:rPr>
          <w:rFonts w:ascii="Garamond" w:hAnsi="Garamond"/>
          <w:sz w:val="24"/>
        </w:rPr>
      </w:pPr>
      <w:r w:rsidRPr="00B907A3">
        <w:rPr>
          <w:rFonts w:ascii="Garamond" w:hAnsi="Garamond"/>
          <w:sz w:val="24"/>
        </w:rPr>
        <w:t>Në thelbin e saj, Qasja e Sistemit të Sigurt e përdorur në Shqipëri do të bazohet në parimet e mëposhtme</w:t>
      </w:r>
      <w:r w:rsidR="00A2798A" w:rsidRPr="00B907A3">
        <w:rPr>
          <w:rFonts w:ascii="Garamond" w:hAnsi="Garamond"/>
          <w:sz w:val="24"/>
        </w:rPr>
        <w:t>:</w:t>
      </w:r>
    </w:p>
    <w:p w14:paraId="7B66B961" w14:textId="1D1C910D"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AE7E70" w:rsidRPr="00B907A3">
        <w:rPr>
          <w:rFonts w:ascii="Garamond" w:hAnsi="Garamond"/>
          <w:b/>
          <w:bCs/>
          <w:sz w:val="24"/>
        </w:rPr>
        <w:t>Gabueshmëria</w:t>
      </w:r>
      <w:r w:rsidR="008B2CB1" w:rsidRPr="00B907A3">
        <w:rPr>
          <w:rFonts w:ascii="Garamond" w:hAnsi="Garamond"/>
          <w:b/>
          <w:bCs/>
          <w:sz w:val="24"/>
        </w:rPr>
        <w:t xml:space="preserve"> n</w:t>
      </w:r>
      <w:r w:rsidR="00AE7E70" w:rsidRPr="00B907A3">
        <w:rPr>
          <w:rFonts w:ascii="Garamond" w:hAnsi="Garamond"/>
          <w:b/>
          <w:bCs/>
          <w:sz w:val="24"/>
        </w:rPr>
        <w:t>jerëzore</w:t>
      </w:r>
      <w:r w:rsidR="00A2798A" w:rsidRPr="00B907A3">
        <w:rPr>
          <w:rFonts w:ascii="Garamond" w:hAnsi="Garamond"/>
          <w:b/>
          <w:bCs/>
          <w:sz w:val="24"/>
        </w:rPr>
        <w:t>:</w:t>
      </w:r>
      <w:r w:rsidR="00A2798A" w:rsidRPr="00B907A3">
        <w:rPr>
          <w:rFonts w:ascii="Garamond" w:hAnsi="Garamond"/>
          <w:sz w:val="24"/>
        </w:rPr>
        <w:t xml:space="preserve"> </w:t>
      </w:r>
      <w:r w:rsidR="00AE7E70" w:rsidRPr="00B907A3">
        <w:rPr>
          <w:rFonts w:ascii="Garamond" w:hAnsi="Garamond"/>
          <w:sz w:val="24"/>
        </w:rPr>
        <w:t>Duke pranuar se përdoruesit e rrugës do të bëjnë gabime, sistemi duhet të jetë falës, duke siguruar që gabimet të mos çojnë në rezultate të rënda</w:t>
      </w:r>
      <w:r w:rsidR="00A2798A" w:rsidRPr="00B907A3">
        <w:rPr>
          <w:rFonts w:ascii="Garamond" w:hAnsi="Garamond"/>
          <w:sz w:val="24"/>
        </w:rPr>
        <w:t>.</w:t>
      </w:r>
    </w:p>
    <w:p w14:paraId="2EE2B4DA" w14:textId="075015B5"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AE7E70" w:rsidRPr="00B907A3">
        <w:rPr>
          <w:rFonts w:ascii="Garamond" w:hAnsi="Garamond"/>
          <w:b/>
          <w:bCs/>
          <w:sz w:val="24"/>
        </w:rPr>
        <w:t xml:space="preserve">Përgjegjësi e </w:t>
      </w:r>
      <w:r w:rsidR="008B2CB1" w:rsidRPr="00B907A3">
        <w:rPr>
          <w:rFonts w:ascii="Garamond" w:hAnsi="Garamond"/>
          <w:b/>
          <w:bCs/>
          <w:sz w:val="24"/>
        </w:rPr>
        <w:t>përbashkët</w:t>
      </w:r>
      <w:r w:rsidR="00A2798A" w:rsidRPr="00B907A3">
        <w:rPr>
          <w:rFonts w:ascii="Garamond" w:hAnsi="Garamond"/>
          <w:b/>
          <w:bCs/>
          <w:sz w:val="24"/>
        </w:rPr>
        <w:t>:</w:t>
      </w:r>
      <w:r w:rsidR="00A2798A" w:rsidRPr="00B907A3">
        <w:rPr>
          <w:rFonts w:ascii="Garamond" w:hAnsi="Garamond"/>
          <w:sz w:val="24"/>
        </w:rPr>
        <w:t xml:space="preserve"> </w:t>
      </w:r>
      <w:r w:rsidR="008B2CB1" w:rsidRPr="00B907A3">
        <w:rPr>
          <w:rFonts w:ascii="Garamond" w:hAnsi="Garamond"/>
          <w:sz w:val="24"/>
        </w:rPr>
        <w:t>s</w:t>
      </w:r>
      <w:r w:rsidR="00AE7E70" w:rsidRPr="00B907A3">
        <w:rPr>
          <w:rFonts w:ascii="Garamond" w:hAnsi="Garamond"/>
          <w:sz w:val="24"/>
        </w:rPr>
        <w:t xml:space="preserve">iguria rrugore është një përgjegjësi kolektive </w:t>
      </w:r>
      <w:r w:rsidR="008B2CB1" w:rsidRPr="00B907A3">
        <w:rPr>
          <w:rFonts w:ascii="Garamond" w:hAnsi="Garamond"/>
          <w:sz w:val="24"/>
        </w:rPr>
        <w:t xml:space="preserve">e përbashkët midis </w:t>
      </w:r>
      <w:r w:rsidR="00AE7E70" w:rsidRPr="00B907A3">
        <w:rPr>
          <w:rFonts w:ascii="Garamond" w:hAnsi="Garamond"/>
          <w:sz w:val="24"/>
        </w:rPr>
        <w:t>politikëbërës</w:t>
      </w:r>
      <w:r w:rsidR="008B2CB1" w:rsidRPr="00B907A3">
        <w:rPr>
          <w:rFonts w:ascii="Garamond" w:hAnsi="Garamond"/>
          <w:sz w:val="24"/>
        </w:rPr>
        <w:t>ve</w:t>
      </w:r>
      <w:r w:rsidR="00AE7E70" w:rsidRPr="00B907A3">
        <w:rPr>
          <w:rFonts w:ascii="Garamond" w:hAnsi="Garamond"/>
          <w:sz w:val="24"/>
        </w:rPr>
        <w:t>, projektues</w:t>
      </w:r>
      <w:r w:rsidR="008B2CB1" w:rsidRPr="00B907A3">
        <w:rPr>
          <w:rFonts w:ascii="Garamond" w:hAnsi="Garamond"/>
          <w:sz w:val="24"/>
        </w:rPr>
        <w:t xml:space="preserve">ve të </w:t>
      </w:r>
      <w:r w:rsidR="00AE7E70" w:rsidRPr="00B907A3">
        <w:rPr>
          <w:rFonts w:ascii="Garamond" w:hAnsi="Garamond"/>
          <w:sz w:val="24"/>
        </w:rPr>
        <w:t>rrugëve, prodhues</w:t>
      </w:r>
      <w:r w:rsidR="008B2CB1" w:rsidRPr="00B907A3">
        <w:rPr>
          <w:rFonts w:ascii="Garamond" w:hAnsi="Garamond"/>
          <w:sz w:val="24"/>
        </w:rPr>
        <w:t xml:space="preserve">ve të </w:t>
      </w:r>
      <w:r w:rsidR="00AE7E70" w:rsidRPr="00B907A3">
        <w:rPr>
          <w:rFonts w:ascii="Garamond" w:hAnsi="Garamond"/>
          <w:sz w:val="24"/>
        </w:rPr>
        <w:t>automjeteve, agjenci</w:t>
      </w:r>
      <w:r w:rsidR="008B2CB1" w:rsidRPr="00B907A3">
        <w:rPr>
          <w:rFonts w:ascii="Garamond" w:hAnsi="Garamond"/>
          <w:sz w:val="24"/>
        </w:rPr>
        <w:t xml:space="preserve">ve të </w:t>
      </w:r>
      <w:r w:rsidR="00AE7E70" w:rsidRPr="00B907A3">
        <w:rPr>
          <w:rFonts w:ascii="Garamond" w:hAnsi="Garamond"/>
          <w:sz w:val="24"/>
        </w:rPr>
        <w:t>zbat</w:t>
      </w:r>
      <w:r w:rsidR="008B2CB1" w:rsidRPr="00B907A3">
        <w:rPr>
          <w:rFonts w:ascii="Garamond" w:hAnsi="Garamond"/>
          <w:sz w:val="24"/>
        </w:rPr>
        <w:t xml:space="preserve">imit të ligjit </w:t>
      </w:r>
      <w:r w:rsidR="00AE7E70" w:rsidRPr="00B907A3">
        <w:rPr>
          <w:rFonts w:ascii="Garamond" w:hAnsi="Garamond"/>
          <w:sz w:val="24"/>
        </w:rPr>
        <w:t>dhe përdorues</w:t>
      </w:r>
      <w:r w:rsidR="008B2CB1" w:rsidRPr="00B907A3">
        <w:rPr>
          <w:rFonts w:ascii="Garamond" w:hAnsi="Garamond"/>
          <w:sz w:val="24"/>
        </w:rPr>
        <w:t>ve të</w:t>
      </w:r>
      <w:r w:rsidR="00AE7E70" w:rsidRPr="00B907A3">
        <w:rPr>
          <w:rFonts w:ascii="Garamond" w:hAnsi="Garamond"/>
          <w:sz w:val="24"/>
        </w:rPr>
        <w:t xml:space="preserve"> rrugës</w:t>
      </w:r>
      <w:r w:rsidR="00A2798A" w:rsidRPr="00B907A3">
        <w:rPr>
          <w:rFonts w:ascii="Garamond" w:hAnsi="Garamond"/>
          <w:sz w:val="24"/>
        </w:rPr>
        <w:t>.</w:t>
      </w:r>
    </w:p>
    <w:p w14:paraId="4A40D75A" w14:textId="51D858A9"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AE7E70" w:rsidRPr="00B907A3">
        <w:rPr>
          <w:rFonts w:ascii="Garamond" w:hAnsi="Garamond"/>
          <w:b/>
          <w:bCs/>
          <w:sz w:val="24"/>
        </w:rPr>
        <w:t>C</w:t>
      </w:r>
      <w:r w:rsidR="005C1DD9">
        <w:rPr>
          <w:rFonts w:ascii="Garamond" w:hAnsi="Garamond"/>
          <w:b/>
          <w:bCs/>
          <w:sz w:val="24"/>
        </w:rPr>
        <w:t>e</w:t>
      </w:r>
      <w:r w:rsidR="00AE7E70" w:rsidRPr="00B907A3">
        <w:rPr>
          <w:rFonts w:ascii="Garamond" w:hAnsi="Garamond"/>
          <w:b/>
          <w:bCs/>
          <w:sz w:val="24"/>
        </w:rPr>
        <w:t xml:space="preserve">nueshmëria </w:t>
      </w:r>
      <w:r w:rsidR="008B2CB1" w:rsidRPr="00B907A3">
        <w:rPr>
          <w:rFonts w:ascii="Garamond" w:hAnsi="Garamond"/>
          <w:b/>
          <w:bCs/>
          <w:sz w:val="24"/>
        </w:rPr>
        <w:t>f</w:t>
      </w:r>
      <w:r w:rsidR="00AE7E70" w:rsidRPr="00B907A3">
        <w:rPr>
          <w:rFonts w:ascii="Garamond" w:hAnsi="Garamond"/>
          <w:b/>
          <w:bCs/>
          <w:sz w:val="24"/>
        </w:rPr>
        <w:t>izike</w:t>
      </w:r>
      <w:r w:rsidR="00A2798A" w:rsidRPr="00B907A3">
        <w:rPr>
          <w:rFonts w:ascii="Garamond" w:hAnsi="Garamond"/>
          <w:b/>
          <w:bCs/>
          <w:sz w:val="24"/>
        </w:rPr>
        <w:t>:</w:t>
      </w:r>
      <w:r w:rsidR="00A2798A" w:rsidRPr="00B907A3">
        <w:rPr>
          <w:rFonts w:ascii="Garamond" w:hAnsi="Garamond"/>
          <w:sz w:val="24"/>
        </w:rPr>
        <w:t xml:space="preserve"> </w:t>
      </w:r>
      <w:r w:rsidR="00AE7E70" w:rsidRPr="00B907A3">
        <w:rPr>
          <w:rFonts w:ascii="Garamond" w:hAnsi="Garamond"/>
          <w:sz w:val="24"/>
        </w:rPr>
        <w:t xml:space="preserve">Trupi i njeriut ka tolerancë të kufizuar ndaj forcave të përplasjes. Infrastruktura dhe automjetet duhet të projektohen </w:t>
      </w:r>
      <w:r w:rsidR="008B2CB1" w:rsidRPr="00B907A3">
        <w:rPr>
          <w:rFonts w:ascii="Garamond" w:hAnsi="Garamond"/>
          <w:sz w:val="24"/>
        </w:rPr>
        <w:t>n</w:t>
      </w:r>
      <w:r w:rsidR="00AE7E70" w:rsidRPr="00B907A3">
        <w:rPr>
          <w:rFonts w:ascii="Garamond" w:hAnsi="Garamond"/>
          <w:sz w:val="24"/>
        </w:rPr>
        <w:t>ë</w:t>
      </w:r>
      <w:r w:rsidR="008B2CB1" w:rsidRPr="00B907A3">
        <w:rPr>
          <w:rFonts w:ascii="Garamond" w:hAnsi="Garamond"/>
          <w:sz w:val="24"/>
        </w:rPr>
        <w:t xml:space="preserve"> përputhje me </w:t>
      </w:r>
      <w:r w:rsidR="00AE7E70" w:rsidRPr="00B907A3">
        <w:rPr>
          <w:rFonts w:ascii="Garamond" w:hAnsi="Garamond"/>
          <w:sz w:val="24"/>
        </w:rPr>
        <w:t>këto kufizime fizike</w:t>
      </w:r>
      <w:r w:rsidR="00A2798A" w:rsidRPr="00B907A3">
        <w:rPr>
          <w:rFonts w:ascii="Garamond" w:hAnsi="Garamond"/>
          <w:sz w:val="24"/>
        </w:rPr>
        <w:t>.</w:t>
      </w:r>
    </w:p>
    <w:p w14:paraId="34926E77" w14:textId="6C2C56FD" w:rsidR="00A2798A" w:rsidRPr="00B907A3" w:rsidRDefault="00864ABA" w:rsidP="008C4E07">
      <w:pPr>
        <w:shd w:val="clear" w:color="auto" w:fill="FFFFFF" w:themeFill="background1"/>
        <w:spacing w:after="0"/>
        <w:ind w:firstLine="284"/>
        <w:rPr>
          <w:rFonts w:ascii="Garamond" w:hAnsi="Garamond"/>
          <w:sz w:val="24"/>
        </w:rPr>
      </w:pPr>
      <w:r w:rsidRPr="00B907A3">
        <w:rPr>
          <w:rFonts w:ascii="Garamond" w:hAnsi="Garamond"/>
          <w:bCs/>
          <w:sz w:val="24"/>
        </w:rPr>
        <w:t xml:space="preserve">- </w:t>
      </w:r>
      <w:r w:rsidR="00511908" w:rsidRPr="00B907A3">
        <w:rPr>
          <w:rFonts w:ascii="Garamond" w:hAnsi="Garamond"/>
          <w:b/>
          <w:bCs/>
          <w:sz w:val="24"/>
        </w:rPr>
        <w:t xml:space="preserve">Redudanca (teprimi): </w:t>
      </w:r>
      <w:r w:rsidR="00AE7E70" w:rsidRPr="00B907A3">
        <w:rPr>
          <w:rFonts w:ascii="Garamond" w:hAnsi="Garamond"/>
          <w:sz w:val="24"/>
        </w:rPr>
        <w:t xml:space="preserve">Sistemi duhet të përfshijë shtresa të shumëfishta mbrojtjeje, në mënyrë që nëse një element dështon, të tjerët të parandalojnë përplasjet ose të zbusin </w:t>
      </w:r>
      <w:r w:rsidR="00762476" w:rsidRPr="00B907A3">
        <w:rPr>
          <w:rFonts w:ascii="Garamond" w:hAnsi="Garamond"/>
          <w:sz w:val="24"/>
        </w:rPr>
        <w:t xml:space="preserve">shkallën e </w:t>
      </w:r>
      <w:r w:rsidR="00AE7E70" w:rsidRPr="00B907A3">
        <w:rPr>
          <w:rFonts w:ascii="Garamond" w:hAnsi="Garamond"/>
          <w:sz w:val="24"/>
        </w:rPr>
        <w:t>tyre</w:t>
      </w:r>
      <w:r w:rsidR="00A2798A" w:rsidRPr="00B907A3">
        <w:rPr>
          <w:rFonts w:ascii="Garamond" w:hAnsi="Garamond"/>
          <w:sz w:val="24"/>
        </w:rPr>
        <w:t>.</w:t>
      </w:r>
    </w:p>
    <w:p w14:paraId="70A48BBE" w14:textId="7C121980"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Parandalimi</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Theksimi i masave proaktive për të zvogëluar r</w:t>
      </w:r>
      <w:r w:rsidR="00762476" w:rsidRPr="00B907A3">
        <w:rPr>
          <w:rFonts w:ascii="Garamond" w:hAnsi="Garamond"/>
          <w:sz w:val="24"/>
        </w:rPr>
        <w:t>isqet për</w:t>
      </w:r>
      <w:r w:rsidR="007401CA" w:rsidRPr="00B907A3">
        <w:rPr>
          <w:rFonts w:ascii="Garamond" w:hAnsi="Garamond"/>
          <w:sz w:val="24"/>
        </w:rPr>
        <w:t>para se të ndodhin përplasjet, në vend që të reagohet vetëm pas incidenteve</w:t>
      </w:r>
      <w:r w:rsidR="00A2798A" w:rsidRPr="00B907A3">
        <w:rPr>
          <w:rFonts w:ascii="Garamond" w:hAnsi="Garamond"/>
          <w:sz w:val="24"/>
        </w:rPr>
        <w:t>.</w:t>
      </w:r>
    </w:p>
    <w:p w14:paraId="7391E0EC" w14:textId="5D692B6D"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 xml:space="preserve">Shpejtësi </w:t>
      </w:r>
      <w:r w:rsidR="00762476" w:rsidRPr="00B907A3">
        <w:rPr>
          <w:rFonts w:ascii="Garamond" w:hAnsi="Garamond"/>
          <w:b/>
          <w:bCs/>
          <w:sz w:val="24"/>
        </w:rPr>
        <w:t>e p</w:t>
      </w:r>
      <w:r w:rsidR="007401CA" w:rsidRPr="00B907A3">
        <w:rPr>
          <w:rFonts w:ascii="Garamond" w:hAnsi="Garamond"/>
          <w:b/>
          <w:bCs/>
          <w:sz w:val="24"/>
        </w:rPr>
        <w:t>ërshtatshme</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Menaxhimi i shpejtësive në nivele në të cilat përplasjet janë të mbijetueshme, duke pasur parasysh mjedisin rrugor dhe sigurinë e automjeteve</w:t>
      </w:r>
      <w:r w:rsidR="00A2798A" w:rsidRPr="00B907A3">
        <w:rPr>
          <w:rFonts w:ascii="Garamond" w:hAnsi="Garamond"/>
          <w:sz w:val="24"/>
        </w:rPr>
        <w:t>.</w:t>
      </w:r>
    </w:p>
    <w:p w14:paraId="3E6EA2F7" w14:textId="26B3CC0A"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 xml:space="preserve">Infrastrukturë dhe </w:t>
      </w:r>
      <w:r w:rsidR="00762476" w:rsidRPr="00B907A3">
        <w:rPr>
          <w:rFonts w:ascii="Garamond" w:hAnsi="Garamond"/>
          <w:b/>
          <w:bCs/>
          <w:sz w:val="24"/>
        </w:rPr>
        <w:t xml:space="preserve">automjete </w:t>
      </w:r>
      <w:r w:rsidR="007401CA" w:rsidRPr="00B907A3">
        <w:rPr>
          <w:rFonts w:ascii="Garamond" w:hAnsi="Garamond"/>
          <w:b/>
          <w:bCs/>
          <w:sz w:val="24"/>
        </w:rPr>
        <w:t xml:space="preserve">të </w:t>
      </w:r>
      <w:r w:rsidR="00762476" w:rsidRPr="00B907A3">
        <w:rPr>
          <w:rFonts w:ascii="Garamond" w:hAnsi="Garamond"/>
          <w:b/>
          <w:bCs/>
          <w:sz w:val="24"/>
        </w:rPr>
        <w:t>sigurta</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Prioritizimi i projektimit të rrugëve dhe standardeve të automjeteve që minimizojnë r</w:t>
      </w:r>
      <w:r w:rsidR="00762476" w:rsidRPr="00B907A3">
        <w:rPr>
          <w:rFonts w:ascii="Garamond" w:hAnsi="Garamond"/>
          <w:sz w:val="24"/>
        </w:rPr>
        <w:t xml:space="preserve">iskun </w:t>
      </w:r>
      <w:r w:rsidR="007401CA" w:rsidRPr="00B907A3">
        <w:rPr>
          <w:rFonts w:ascii="Garamond" w:hAnsi="Garamond"/>
          <w:sz w:val="24"/>
        </w:rPr>
        <w:t>e përplasjes dhe mbrojnë përdoruesit e cenueshëm</w:t>
      </w:r>
      <w:r w:rsidR="00A2798A" w:rsidRPr="00B907A3">
        <w:rPr>
          <w:rFonts w:ascii="Garamond" w:hAnsi="Garamond"/>
          <w:sz w:val="24"/>
        </w:rPr>
        <w:t>.</w:t>
      </w:r>
    </w:p>
    <w:p w14:paraId="356EA07E" w14:textId="5AA7747F"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Kujdes</w:t>
      </w:r>
      <w:r w:rsidR="00762476" w:rsidRPr="00B907A3">
        <w:rPr>
          <w:rFonts w:ascii="Garamond" w:hAnsi="Garamond"/>
          <w:b/>
          <w:bCs/>
          <w:sz w:val="24"/>
        </w:rPr>
        <w:t>i</w:t>
      </w:r>
      <w:r w:rsidR="007401CA" w:rsidRPr="00B907A3">
        <w:rPr>
          <w:rFonts w:ascii="Garamond" w:hAnsi="Garamond"/>
          <w:b/>
          <w:bCs/>
          <w:sz w:val="24"/>
        </w:rPr>
        <w:t xml:space="preserve"> </w:t>
      </w:r>
      <w:r w:rsidR="00762476" w:rsidRPr="00B907A3">
        <w:rPr>
          <w:rFonts w:ascii="Garamond" w:hAnsi="Garamond"/>
          <w:b/>
          <w:bCs/>
          <w:sz w:val="24"/>
        </w:rPr>
        <w:t>efektiv pas aksidentit</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Sigurimi i reagimit të shpejtë dhe efektiv në raste urgjente dhe kujdesit mjekësor për të minimizuar vdekjet dhe paaftësinë afatgjatë</w:t>
      </w:r>
      <w:r w:rsidR="00A2798A" w:rsidRPr="00B907A3">
        <w:rPr>
          <w:rFonts w:ascii="Garamond" w:hAnsi="Garamond"/>
          <w:sz w:val="24"/>
        </w:rPr>
        <w:t>.</w:t>
      </w:r>
    </w:p>
    <w:p w14:paraId="700FD58A" w14:textId="489D3EC4" w:rsidR="00A2798A" w:rsidRPr="00B907A3" w:rsidRDefault="007401CA" w:rsidP="008C4E07">
      <w:pPr>
        <w:shd w:val="clear" w:color="auto" w:fill="E2EFD9" w:themeFill="accent6" w:themeFillTint="33"/>
        <w:spacing w:after="0"/>
        <w:ind w:firstLine="284"/>
        <w:rPr>
          <w:rFonts w:ascii="Garamond" w:hAnsi="Garamond"/>
          <w:sz w:val="24"/>
        </w:rPr>
      </w:pPr>
      <w:r w:rsidRPr="00B907A3">
        <w:rPr>
          <w:rFonts w:ascii="Garamond" w:hAnsi="Garamond"/>
          <w:sz w:val="24"/>
        </w:rPr>
        <w:t xml:space="preserve">Shqipëria është e përkushtuar për të zbatuar Qasjen e Sistemit të Sigurt si gurthemel të Strategjisë së saj </w:t>
      </w:r>
      <w:r w:rsidR="00762476" w:rsidRPr="00B907A3">
        <w:rPr>
          <w:rFonts w:ascii="Garamond" w:hAnsi="Garamond"/>
          <w:sz w:val="24"/>
        </w:rPr>
        <w:t>p</w:t>
      </w:r>
      <w:r w:rsidRPr="00B907A3">
        <w:rPr>
          <w:rFonts w:ascii="Garamond" w:hAnsi="Garamond"/>
          <w:sz w:val="24"/>
        </w:rPr>
        <w:t>ë</w:t>
      </w:r>
      <w:r w:rsidR="00762476" w:rsidRPr="00B907A3">
        <w:rPr>
          <w:rFonts w:ascii="Garamond" w:hAnsi="Garamond"/>
          <w:sz w:val="24"/>
        </w:rPr>
        <w:t>r</w:t>
      </w:r>
      <w:r w:rsidRPr="00B907A3">
        <w:rPr>
          <w:rFonts w:ascii="Garamond" w:hAnsi="Garamond"/>
          <w:sz w:val="24"/>
        </w:rPr>
        <w:t xml:space="preserve"> </w:t>
      </w:r>
      <w:r w:rsidR="00762476" w:rsidRPr="00B907A3">
        <w:rPr>
          <w:rFonts w:ascii="Garamond" w:hAnsi="Garamond"/>
          <w:sz w:val="24"/>
        </w:rPr>
        <w:t xml:space="preserve">Sigurinë </w:t>
      </w:r>
      <w:r w:rsidRPr="00B907A3">
        <w:rPr>
          <w:rFonts w:ascii="Garamond" w:hAnsi="Garamond"/>
          <w:sz w:val="24"/>
        </w:rPr>
        <w:t xml:space="preserve">Rrugore dhe </w:t>
      </w:r>
      <w:r w:rsidR="007951BD">
        <w:rPr>
          <w:rFonts w:ascii="Garamond" w:hAnsi="Garamond"/>
          <w:sz w:val="24"/>
        </w:rPr>
        <w:t>“</w:t>
      </w:r>
      <w:r w:rsidRPr="00B907A3">
        <w:rPr>
          <w:rFonts w:ascii="Garamond" w:hAnsi="Garamond"/>
          <w:sz w:val="24"/>
        </w:rPr>
        <w:t>Vizionit Zero</w:t>
      </w:r>
      <w:r w:rsidR="007951BD">
        <w:rPr>
          <w:rFonts w:ascii="Garamond" w:hAnsi="Garamond"/>
          <w:sz w:val="24"/>
        </w:rPr>
        <w:t>”</w:t>
      </w:r>
      <w:r w:rsidRPr="00B907A3">
        <w:rPr>
          <w:rFonts w:ascii="Garamond" w:hAnsi="Garamond"/>
          <w:sz w:val="24"/>
        </w:rPr>
        <w:t xml:space="preserve"> të miratuar. Kjo do të përfshijë një Strategji shumëplanëshe të përshtatur për sfidat dhe mundësitë specifike në vend, bazuar në sa vijon</w:t>
      </w:r>
      <w:r w:rsidR="00A2798A" w:rsidRPr="00B907A3">
        <w:rPr>
          <w:rFonts w:ascii="Garamond" w:hAnsi="Garamond"/>
          <w:sz w:val="24"/>
        </w:rPr>
        <w:t>:</w:t>
      </w:r>
    </w:p>
    <w:p w14:paraId="02D6FE4A" w14:textId="77777777" w:rsidR="00864ABA" w:rsidRPr="00B907A3" w:rsidRDefault="00864ABA" w:rsidP="008C4E07">
      <w:pPr>
        <w:spacing w:after="0"/>
        <w:ind w:firstLine="284"/>
        <w:rPr>
          <w:rFonts w:ascii="Garamond" w:hAnsi="Garamond"/>
          <w:sz w:val="24"/>
        </w:rPr>
      </w:pPr>
    </w:p>
    <w:p w14:paraId="7039B4AA" w14:textId="3D3ECFD4" w:rsidR="00864ABA" w:rsidRPr="00B907A3" w:rsidRDefault="00864ABA" w:rsidP="008C4E07">
      <w:pPr>
        <w:spacing w:after="0"/>
        <w:ind w:firstLine="284"/>
        <w:jc w:val="center"/>
        <w:rPr>
          <w:rFonts w:ascii="Garamond" w:hAnsi="Garamond"/>
          <w:sz w:val="24"/>
        </w:rPr>
      </w:pPr>
      <w:r w:rsidRPr="00B907A3">
        <w:rPr>
          <w:rFonts w:ascii="Garamond" w:hAnsi="Garamond"/>
          <w:noProof/>
          <w:sz w:val="24"/>
          <w:lang w:eastAsia="sq-AL"/>
        </w:rPr>
        <w:drawing>
          <wp:inline distT="0" distB="0" distL="0" distR="0" wp14:anchorId="14B8CCA9" wp14:editId="1C67BEFA">
            <wp:extent cx="2428503" cy="331688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30547" cy="3319679"/>
                    </a:xfrm>
                    <a:prstGeom prst="rect">
                      <a:avLst/>
                    </a:prstGeom>
                    <a:noFill/>
                  </pic:spPr>
                </pic:pic>
              </a:graphicData>
            </a:graphic>
          </wp:inline>
        </w:drawing>
      </w:r>
    </w:p>
    <w:p w14:paraId="119F8588" w14:textId="48ECC425" w:rsidR="00864ABA" w:rsidRPr="005C1DD9" w:rsidRDefault="00864ABA" w:rsidP="008C4E07">
      <w:pPr>
        <w:pStyle w:val="Caption"/>
        <w:spacing w:before="0" w:after="0"/>
        <w:ind w:firstLine="284"/>
        <w:rPr>
          <w:rFonts w:ascii="Garamond" w:hAnsi="Garamond" w:cs="Times New Roman"/>
          <w:i/>
          <w:noProof w:val="0"/>
          <w:sz w:val="24"/>
          <w:szCs w:val="24"/>
          <w:lang w:val="sq-AL" w:eastAsia="pl-PL"/>
        </w:rPr>
      </w:pPr>
      <w:bookmarkStart w:id="116" w:name="_Toc198298697"/>
      <w:bookmarkStart w:id="117" w:name="_Toc198298875"/>
      <w:bookmarkStart w:id="118" w:name="_Toc198299247"/>
      <w:bookmarkStart w:id="119" w:name="_Toc208841008"/>
      <w:r w:rsidRPr="005C1DD9">
        <w:rPr>
          <w:rFonts w:ascii="Garamond" w:hAnsi="Garamond" w:cs="Arial"/>
          <w:i/>
          <w:iCs w:val="0"/>
          <w:noProof w:val="0"/>
          <w:color w:val="002060"/>
          <w:sz w:val="24"/>
          <w:szCs w:val="24"/>
          <w:lang w:val="sq-AL" w:eastAsia="it-IT"/>
        </w:rPr>
        <w:t xml:space="preserve">Figura </w:t>
      </w:r>
      <w:r w:rsidRPr="005C1DD9">
        <w:rPr>
          <w:rFonts w:ascii="Garamond" w:hAnsi="Garamond" w:cs="Arial"/>
          <w:i/>
          <w:iCs w:val="0"/>
          <w:noProof w:val="0"/>
          <w:color w:val="002060"/>
          <w:sz w:val="24"/>
          <w:szCs w:val="24"/>
          <w:lang w:val="sq-AL" w:eastAsia="it-IT"/>
        </w:rPr>
        <w:fldChar w:fldCharType="begin"/>
      </w:r>
      <w:r w:rsidRPr="005C1DD9">
        <w:rPr>
          <w:rFonts w:ascii="Garamond" w:hAnsi="Garamond" w:cs="Arial"/>
          <w:i/>
          <w:iCs w:val="0"/>
          <w:noProof w:val="0"/>
          <w:color w:val="002060"/>
          <w:sz w:val="24"/>
          <w:szCs w:val="24"/>
          <w:lang w:val="sq-AL" w:eastAsia="it-IT"/>
        </w:rPr>
        <w:instrText xml:space="preserve"> STYLEREF 1 \s </w:instrText>
      </w:r>
      <w:r w:rsidRPr="005C1DD9">
        <w:rPr>
          <w:rFonts w:ascii="Garamond" w:hAnsi="Garamond" w:cs="Arial"/>
          <w:i/>
          <w:iCs w:val="0"/>
          <w:noProof w:val="0"/>
          <w:color w:val="002060"/>
          <w:sz w:val="24"/>
          <w:szCs w:val="24"/>
          <w:lang w:val="sq-AL" w:eastAsia="it-IT"/>
        </w:rPr>
        <w:fldChar w:fldCharType="separate"/>
      </w:r>
      <w:r w:rsidRPr="005C1DD9">
        <w:rPr>
          <w:rFonts w:ascii="Garamond" w:hAnsi="Garamond" w:cs="Arial"/>
          <w:i/>
          <w:iCs w:val="0"/>
          <w:noProof w:val="0"/>
          <w:color w:val="002060"/>
          <w:sz w:val="24"/>
          <w:szCs w:val="24"/>
          <w:lang w:val="sq-AL" w:eastAsia="it-IT"/>
        </w:rPr>
        <w:t>4</w:t>
      </w:r>
      <w:r w:rsidRPr="005C1DD9">
        <w:rPr>
          <w:rFonts w:ascii="Garamond" w:hAnsi="Garamond" w:cs="Arial"/>
          <w:i/>
          <w:iCs w:val="0"/>
          <w:noProof w:val="0"/>
          <w:color w:val="002060"/>
          <w:sz w:val="24"/>
          <w:szCs w:val="24"/>
          <w:lang w:val="sq-AL" w:eastAsia="it-IT"/>
        </w:rPr>
        <w:fldChar w:fldCharType="end"/>
      </w:r>
      <w:r w:rsidRPr="005C1DD9">
        <w:rPr>
          <w:rFonts w:ascii="Garamond" w:hAnsi="Garamond" w:cs="Arial"/>
          <w:i/>
          <w:iCs w:val="0"/>
          <w:noProof w:val="0"/>
          <w:color w:val="002060"/>
          <w:sz w:val="24"/>
          <w:szCs w:val="24"/>
          <w:lang w:val="sq-AL" w:eastAsia="it-IT"/>
        </w:rPr>
        <w:noBreakHyphen/>
        <w:t>1</w:t>
      </w:r>
      <w:r w:rsidR="005C1DD9" w:rsidRPr="005C1DD9">
        <w:rPr>
          <w:rFonts w:ascii="Garamond" w:hAnsi="Garamond" w:cs="Arial"/>
          <w:i/>
          <w:iCs w:val="0"/>
          <w:noProof w:val="0"/>
          <w:color w:val="002060"/>
          <w:sz w:val="24"/>
          <w:szCs w:val="24"/>
          <w:lang w:val="sq-AL" w:eastAsia="it-IT"/>
        </w:rPr>
        <w:t>.</w:t>
      </w:r>
      <w:r w:rsidRPr="005C1DD9">
        <w:rPr>
          <w:rFonts w:ascii="Garamond" w:hAnsi="Garamond" w:cs="Arial"/>
          <w:i/>
          <w:iCs w:val="0"/>
          <w:noProof w:val="0"/>
          <w:color w:val="002060"/>
          <w:sz w:val="24"/>
          <w:szCs w:val="24"/>
          <w:lang w:val="sq-AL" w:eastAsia="it-IT"/>
        </w:rPr>
        <w:t xml:space="preserve"> </w:t>
      </w:r>
      <w:bookmarkEnd w:id="116"/>
      <w:bookmarkEnd w:id="117"/>
      <w:bookmarkEnd w:id="118"/>
      <w:r w:rsidRPr="005C1DD9">
        <w:rPr>
          <w:rFonts w:ascii="Garamond" w:hAnsi="Garamond" w:cs="Arial"/>
          <w:i/>
          <w:iCs w:val="0"/>
          <w:noProof w:val="0"/>
          <w:color w:val="002060"/>
          <w:sz w:val="24"/>
          <w:szCs w:val="24"/>
          <w:lang w:val="sq-AL" w:eastAsia="it-IT"/>
        </w:rPr>
        <w:t>Hierarkia e rezultateve të Sistemit të Sigurt në nivelin e BE-së</w:t>
      </w:r>
      <w:bookmarkEnd w:id="119"/>
    </w:p>
    <w:p w14:paraId="25AA3801" w14:textId="77777777" w:rsidR="00864ABA" w:rsidRPr="00B907A3" w:rsidRDefault="00864ABA" w:rsidP="008C4E07">
      <w:pPr>
        <w:spacing w:after="0"/>
        <w:ind w:firstLine="284"/>
        <w:jc w:val="center"/>
        <w:rPr>
          <w:rFonts w:ascii="Garamond" w:hAnsi="Garamond" w:cs="Arial"/>
          <w:sz w:val="24"/>
          <w:lang w:eastAsia="x-none"/>
        </w:rPr>
      </w:pPr>
      <w:r w:rsidRPr="00B907A3">
        <w:rPr>
          <w:rFonts w:ascii="Garamond" w:hAnsi="Garamond" w:cs="Arial"/>
          <w:sz w:val="24"/>
        </w:rPr>
        <w:t xml:space="preserve">Burimi: </w:t>
      </w:r>
      <w:hyperlink r:id="rId28" w:history="1">
        <w:r w:rsidRPr="00B907A3">
          <w:rPr>
            <w:rStyle w:val="Hyperlink"/>
            <w:rFonts w:ascii="Garamond" w:hAnsi="Garamond" w:cs="Arial"/>
            <w:sz w:val="24"/>
            <w:lang w:eastAsia="x-none"/>
          </w:rPr>
          <w:t>https://www.krbrd.gov.pl/wp-content/uploads/2022/05/EU-Road-Safety-Policy-Framework-2021-2030.pdf</w:t>
        </w:r>
      </w:hyperlink>
    </w:p>
    <w:p w14:paraId="2A80122F" w14:textId="35E934EA"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 xml:space="preserve">Vendimmarrja e </w:t>
      </w:r>
      <w:r w:rsidR="00762476" w:rsidRPr="00B907A3">
        <w:rPr>
          <w:rFonts w:ascii="Garamond" w:hAnsi="Garamond"/>
          <w:b/>
          <w:bCs/>
          <w:sz w:val="24"/>
        </w:rPr>
        <w:t xml:space="preserve">bazuar </w:t>
      </w:r>
      <w:r w:rsidR="007401CA" w:rsidRPr="00B907A3">
        <w:rPr>
          <w:rFonts w:ascii="Garamond" w:hAnsi="Garamond"/>
          <w:b/>
          <w:bCs/>
          <w:sz w:val="24"/>
        </w:rPr>
        <w:t xml:space="preserve">në të </w:t>
      </w:r>
      <w:r w:rsidR="00762476" w:rsidRPr="00B907A3">
        <w:rPr>
          <w:rFonts w:ascii="Garamond" w:hAnsi="Garamond"/>
          <w:b/>
          <w:bCs/>
          <w:sz w:val="24"/>
        </w:rPr>
        <w:t>dhëna</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 xml:space="preserve">Krijimi i një sistemi </w:t>
      </w:r>
      <w:r w:rsidR="00762476" w:rsidRPr="00B907A3">
        <w:rPr>
          <w:rFonts w:ascii="Garamond" w:hAnsi="Garamond"/>
          <w:sz w:val="24"/>
        </w:rPr>
        <w:t xml:space="preserve">solid </w:t>
      </w:r>
      <w:r w:rsidR="007401CA" w:rsidRPr="00B907A3">
        <w:rPr>
          <w:rFonts w:ascii="Garamond" w:hAnsi="Garamond"/>
          <w:sz w:val="24"/>
        </w:rPr>
        <w:t>për mbledhjen dhe analizimin e Treguesve Kyç të Performancës (</w:t>
      </w:r>
      <w:r w:rsidR="004D5CCD" w:rsidRPr="00B907A3">
        <w:rPr>
          <w:rFonts w:ascii="Garamond" w:hAnsi="Garamond"/>
          <w:sz w:val="24"/>
        </w:rPr>
        <w:t>TKP</w:t>
      </w:r>
      <w:r w:rsidR="007401CA" w:rsidRPr="00B907A3">
        <w:rPr>
          <w:rFonts w:ascii="Garamond" w:hAnsi="Garamond"/>
          <w:sz w:val="24"/>
        </w:rPr>
        <w:t>) në përputhje me metodologjitë e BE-së. Kjo do</w:t>
      </w:r>
      <w:r w:rsidR="00887CC6">
        <w:rPr>
          <w:rFonts w:ascii="Garamond" w:hAnsi="Garamond"/>
          <w:sz w:val="24"/>
        </w:rPr>
        <w:t xml:space="preserve"> </w:t>
      </w:r>
      <w:r w:rsidR="007951BD">
        <w:rPr>
          <w:rFonts w:ascii="Garamond" w:hAnsi="Garamond"/>
          <w:sz w:val="24"/>
        </w:rPr>
        <w:t>t’i</w:t>
      </w:r>
      <w:r w:rsidR="00887CC6">
        <w:rPr>
          <w:rFonts w:ascii="Garamond" w:hAnsi="Garamond"/>
          <w:sz w:val="24"/>
        </w:rPr>
        <w:t xml:space="preserve"> </w:t>
      </w:r>
      <w:r w:rsidR="007401CA" w:rsidRPr="00B907A3">
        <w:rPr>
          <w:rFonts w:ascii="Garamond" w:hAnsi="Garamond"/>
          <w:sz w:val="24"/>
        </w:rPr>
        <w:t>lejojë Shqipërisë të monitorojë faktorët kritikë të r</w:t>
      </w:r>
      <w:r w:rsidR="00762476" w:rsidRPr="00B907A3">
        <w:rPr>
          <w:rFonts w:ascii="Garamond" w:hAnsi="Garamond"/>
          <w:sz w:val="24"/>
        </w:rPr>
        <w:t>iskut</w:t>
      </w:r>
      <w:r w:rsidR="00887CC6">
        <w:rPr>
          <w:rFonts w:ascii="Garamond" w:hAnsi="Garamond"/>
          <w:sz w:val="24"/>
        </w:rPr>
        <w:t xml:space="preserve"> </w:t>
      </w:r>
      <w:r w:rsidR="007401CA" w:rsidRPr="00B907A3">
        <w:rPr>
          <w:rFonts w:ascii="Garamond" w:hAnsi="Garamond"/>
          <w:sz w:val="24"/>
        </w:rPr>
        <w:t>(si shpejtësia, përdorimi i rripit të sigurimit dhe drejtimi i automjetit nën ndikimin e alkoolit), të vlerësojë efektivitetin e ndërhyrjeve dhe të udhëheqë përshtatjet e politikave në kohë, jo vetëm të mbështetet në rezultatet përfundimtare të sigurisë rrugore</w:t>
      </w:r>
      <w:r w:rsidR="00A2798A" w:rsidRPr="00B907A3">
        <w:rPr>
          <w:rFonts w:ascii="Garamond" w:hAnsi="Garamond"/>
          <w:sz w:val="24"/>
        </w:rPr>
        <w:t>.</w:t>
      </w:r>
    </w:p>
    <w:p w14:paraId="7FA34A3F" w14:textId="0D2EE49E" w:rsidR="00704C5D" w:rsidRPr="00B907A3" w:rsidRDefault="00864ABA" w:rsidP="008C4E07">
      <w:pPr>
        <w:spacing w:after="0"/>
        <w:ind w:firstLine="284"/>
        <w:rPr>
          <w:rFonts w:ascii="Garamond" w:hAnsi="Garamond"/>
          <w:sz w:val="24"/>
        </w:rPr>
      </w:pPr>
      <w:r w:rsidRPr="00B907A3">
        <w:rPr>
          <w:rFonts w:ascii="Garamond" w:hAnsi="Garamond"/>
          <w:bCs/>
          <w:sz w:val="24"/>
        </w:rPr>
        <w:lastRenderedPageBreak/>
        <w:t xml:space="preserve">- </w:t>
      </w:r>
      <w:r w:rsidR="007401CA" w:rsidRPr="00B907A3">
        <w:rPr>
          <w:rFonts w:ascii="Garamond" w:hAnsi="Garamond"/>
          <w:b/>
          <w:bCs/>
          <w:sz w:val="24"/>
        </w:rPr>
        <w:t>Forcimi institucional</w:t>
      </w:r>
      <w:r w:rsidR="00704C5D" w:rsidRPr="00B907A3">
        <w:rPr>
          <w:rFonts w:ascii="Garamond" w:hAnsi="Garamond"/>
          <w:b/>
          <w:bCs/>
          <w:sz w:val="24"/>
        </w:rPr>
        <w:t>:</w:t>
      </w:r>
      <w:r w:rsidR="00704C5D" w:rsidRPr="00B907A3">
        <w:rPr>
          <w:rFonts w:ascii="Garamond" w:hAnsi="Garamond"/>
          <w:sz w:val="24"/>
        </w:rPr>
        <w:t xml:space="preserve"> </w:t>
      </w:r>
      <w:r w:rsidR="007401CA" w:rsidRPr="00B907A3">
        <w:rPr>
          <w:rFonts w:ascii="Garamond" w:hAnsi="Garamond"/>
          <w:sz w:val="24"/>
        </w:rPr>
        <w:t xml:space="preserve">Zbatimi i njërit prej hapave të parë në </w:t>
      </w:r>
      <w:r w:rsidR="00EF5DD9" w:rsidRPr="00B907A3">
        <w:rPr>
          <w:rFonts w:ascii="Garamond" w:hAnsi="Garamond"/>
          <w:sz w:val="24"/>
        </w:rPr>
        <w:t>MSRR</w:t>
      </w:r>
      <w:r w:rsidR="007401CA" w:rsidRPr="00B907A3">
        <w:rPr>
          <w:rFonts w:ascii="Garamond" w:hAnsi="Garamond"/>
          <w:sz w:val="24"/>
        </w:rPr>
        <w:t xml:space="preserve"> bazohet në rishikimin e kapaciteteve dhe forcimin e kapaciteteve institucionale të nevojshme për ndërmarrjen e të gjitha ndërhyrjeve të tjera</w:t>
      </w:r>
      <w:r w:rsidR="002A386B" w:rsidRPr="00B907A3">
        <w:rPr>
          <w:rFonts w:ascii="Garamond" w:hAnsi="Garamond"/>
          <w:sz w:val="24"/>
        </w:rPr>
        <w:t>.</w:t>
      </w:r>
    </w:p>
    <w:p w14:paraId="0E466314" w14:textId="5B0530FA"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Përmirësimet e Infrastrukturës</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 xml:space="preserve">Investimi në përmirësime të infrastrukturës të bazuara në prova që i japin përparësi sigurisë së përdoruesve të prekshëm të rrugës. Kjo përfshin përmirësimin e </w:t>
      </w:r>
      <w:r w:rsidR="005907B7" w:rsidRPr="00B907A3">
        <w:rPr>
          <w:rFonts w:ascii="Garamond" w:hAnsi="Garamond"/>
          <w:sz w:val="24"/>
        </w:rPr>
        <w:t>lehtësi</w:t>
      </w:r>
      <w:r w:rsidR="00B87629" w:rsidRPr="00B907A3">
        <w:rPr>
          <w:rFonts w:ascii="Garamond" w:hAnsi="Garamond"/>
          <w:sz w:val="24"/>
        </w:rPr>
        <w:t>rav</w:t>
      </w:r>
      <w:r w:rsidR="00762476" w:rsidRPr="00B907A3">
        <w:rPr>
          <w:rFonts w:ascii="Garamond" w:hAnsi="Garamond"/>
          <w:sz w:val="24"/>
        </w:rPr>
        <w:t xml:space="preserve">e </w:t>
      </w:r>
      <w:r w:rsidR="007401CA" w:rsidRPr="00B907A3">
        <w:rPr>
          <w:rFonts w:ascii="Garamond" w:hAnsi="Garamond"/>
          <w:sz w:val="24"/>
        </w:rPr>
        <w:t>për këmbësorë</w:t>
      </w:r>
      <w:r w:rsidR="00762476" w:rsidRPr="00B907A3">
        <w:rPr>
          <w:rFonts w:ascii="Garamond" w:hAnsi="Garamond"/>
          <w:sz w:val="24"/>
        </w:rPr>
        <w:t>t</w:t>
      </w:r>
      <w:r w:rsidR="007401CA" w:rsidRPr="00B907A3">
        <w:rPr>
          <w:rFonts w:ascii="Garamond" w:hAnsi="Garamond"/>
          <w:sz w:val="24"/>
        </w:rPr>
        <w:t xml:space="preserve"> dhe çiklistë</w:t>
      </w:r>
      <w:r w:rsidR="00762476" w:rsidRPr="00B907A3">
        <w:rPr>
          <w:rFonts w:ascii="Garamond" w:hAnsi="Garamond"/>
          <w:sz w:val="24"/>
        </w:rPr>
        <w:t>t</w:t>
      </w:r>
      <w:r w:rsidR="007401CA" w:rsidRPr="00B907A3">
        <w:rPr>
          <w:rFonts w:ascii="Garamond" w:hAnsi="Garamond"/>
          <w:sz w:val="24"/>
        </w:rPr>
        <w:t xml:space="preserve">, zvogëlimin e pikave të zeza dhe përmirësimin e </w:t>
      </w:r>
      <w:r w:rsidR="00762476" w:rsidRPr="00B907A3">
        <w:rPr>
          <w:rFonts w:ascii="Garamond" w:hAnsi="Garamond"/>
          <w:sz w:val="24"/>
        </w:rPr>
        <w:t xml:space="preserve">niveleve </w:t>
      </w:r>
      <w:r w:rsidR="007401CA" w:rsidRPr="00B907A3">
        <w:rPr>
          <w:rFonts w:ascii="Garamond" w:hAnsi="Garamond"/>
          <w:sz w:val="24"/>
        </w:rPr>
        <w:t>të përgjithshme të sigurisë rrugore</w:t>
      </w:r>
      <w:r w:rsidR="00A2798A" w:rsidRPr="00B907A3">
        <w:rPr>
          <w:rFonts w:ascii="Garamond" w:hAnsi="Garamond"/>
          <w:sz w:val="24"/>
        </w:rPr>
        <w:t>.</w:t>
      </w:r>
    </w:p>
    <w:p w14:paraId="3D53AD1D" w14:textId="7134CDC5"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 xml:space="preserve">Promovimi i </w:t>
      </w:r>
      <w:r w:rsidR="00762476" w:rsidRPr="00B907A3">
        <w:rPr>
          <w:rFonts w:ascii="Garamond" w:hAnsi="Garamond"/>
          <w:b/>
          <w:bCs/>
          <w:sz w:val="24"/>
        </w:rPr>
        <w:t xml:space="preserve">automjeteve </w:t>
      </w:r>
      <w:r w:rsidR="007401CA" w:rsidRPr="00B907A3">
        <w:rPr>
          <w:rFonts w:ascii="Garamond" w:hAnsi="Garamond"/>
          <w:b/>
          <w:bCs/>
          <w:sz w:val="24"/>
        </w:rPr>
        <w:t xml:space="preserve">të </w:t>
      </w:r>
      <w:r w:rsidR="00762476" w:rsidRPr="00B907A3">
        <w:rPr>
          <w:rFonts w:ascii="Garamond" w:hAnsi="Garamond"/>
          <w:b/>
          <w:bCs/>
          <w:sz w:val="24"/>
        </w:rPr>
        <w:t>sigurta</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 xml:space="preserve">Inkurajimi i </w:t>
      </w:r>
      <w:r w:rsidR="00762476" w:rsidRPr="00B907A3">
        <w:rPr>
          <w:rFonts w:ascii="Garamond" w:hAnsi="Garamond"/>
          <w:sz w:val="24"/>
        </w:rPr>
        <w:t xml:space="preserve">adoptimit </w:t>
      </w:r>
      <w:r w:rsidR="007401CA" w:rsidRPr="00B907A3">
        <w:rPr>
          <w:rFonts w:ascii="Garamond" w:hAnsi="Garamond"/>
          <w:sz w:val="24"/>
        </w:rPr>
        <w:t>të automjeteve më të sigurta përmes fushatave të ndërgjegjësimit publik dhe përputhshmërisë me standardet e Programit Evropian të Vlerësimit të Makinave të Reja. Kjo mund të arrihet përmes stimujve, rregull</w:t>
      </w:r>
      <w:r w:rsidR="00AC739E" w:rsidRPr="00B907A3">
        <w:rPr>
          <w:rFonts w:ascii="Garamond" w:hAnsi="Garamond"/>
          <w:sz w:val="24"/>
        </w:rPr>
        <w:t xml:space="preserve">ave dhe </w:t>
      </w:r>
      <w:r w:rsidR="007401CA" w:rsidRPr="00B907A3">
        <w:rPr>
          <w:rFonts w:ascii="Garamond" w:hAnsi="Garamond"/>
          <w:sz w:val="24"/>
        </w:rPr>
        <w:t>programeve të informimit të konsumatorëve</w:t>
      </w:r>
      <w:r w:rsidR="00A2798A" w:rsidRPr="00B907A3">
        <w:rPr>
          <w:rFonts w:ascii="Garamond" w:hAnsi="Garamond"/>
          <w:sz w:val="24"/>
        </w:rPr>
        <w:t>.</w:t>
      </w:r>
    </w:p>
    <w:p w14:paraId="4E2509E0" w14:textId="11C6EE70"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7401CA" w:rsidRPr="00B907A3">
        <w:rPr>
          <w:rFonts w:ascii="Garamond" w:hAnsi="Garamond"/>
          <w:b/>
          <w:bCs/>
          <w:sz w:val="24"/>
        </w:rPr>
        <w:t xml:space="preserve">Forcimi i </w:t>
      </w:r>
      <w:r w:rsidR="00AC739E" w:rsidRPr="00B907A3">
        <w:rPr>
          <w:rFonts w:ascii="Garamond" w:hAnsi="Garamond"/>
          <w:b/>
          <w:bCs/>
          <w:sz w:val="24"/>
        </w:rPr>
        <w:t>zbatimit të ligjit</w:t>
      </w:r>
      <w:r w:rsidR="00A2798A" w:rsidRPr="00B907A3">
        <w:rPr>
          <w:rFonts w:ascii="Garamond" w:hAnsi="Garamond"/>
          <w:b/>
          <w:bCs/>
          <w:sz w:val="24"/>
        </w:rPr>
        <w:t>:</w:t>
      </w:r>
      <w:r w:rsidR="00A2798A" w:rsidRPr="00B907A3">
        <w:rPr>
          <w:rFonts w:ascii="Garamond" w:hAnsi="Garamond"/>
          <w:sz w:val="24"/>
        </w:rPr>
        <w:t xml:space="preserve"> </w:t>
      </w:r>
      <w:r w:rsidR="007401CA" w:rsidRPr="00B907A3">
        <w:rPr>
          <w:rFonts w:ascii="Garamond" w:hAnsi="Garamond"/>
          <w:sz w:val="24"/>
        </w:rPr>
        <w:t xml:space="preserve">Përmirësimi i zbatimit të </w:t>
      </w:r>
      <w:r w:rsidR="00AC739E" w:rsidRPr="00B907A3">
        <w:rPr>
          <w:rFonts w:ascii="Garamond" w:hAnsi="Garamond"/>
          <w:sz w:val="24"/>
        </w:rPr>
        <w:t>kuadrit ligjor për qarkullimin rrugor</w:t>
      </w:r>
      <w:r w:rsidR="007401CA" w:rsidRPr="00B907A3">
        <w:rPr>
          <w:rFonts w:ascii="Garamond" w:hAnsi="Garamond"/>
          <w:sz w:val="24"/>
        </w:rPr>
        <w:t xml:space="preserve">, veçanërisht në lidhje me shpejtësinë, drejtimin e automjetit nën ndikimin e alkoolit dhe drogës dhe përdorimin e </w:t>
      </w:r>
      <w:r w:rsidR="00AC739E" w:rsidRPr="00B907A3">
        <w:rPr>
          <w:rFonts w:ascii="Garamond" w:hAnsi="Garamond"/>
          <w:sz w:val="24"/>
        </w:rPr>
        <w:t xml:space="preserve">mjeteve </w:t>
      </w:r>
      <w:r w:rsidR="007401CA" w:rsidRPr="00B907A3">
        <w:rPr>
          <w:rFonts w:ascii="Garamond" w:hAnsi="Garamond"/>
          <w:sz w:val="24"/>
        </w:rPr>
        <w:t>mbrojtëse. Kjo kërkon burime të mjaftueshme, trajnim dhe koordinim efektiv midis agjencive të zbatimit të ligjit</w:t>
      </w:r>
      <w:r w:rsidR="00A2798A" w:rsidRPr="00B907A3">
        <w:rPr>
          <w:rFonts w:ascii="Garamond" w:hAnsi="Garamond"/>
          <w:sz w:val="24"/>
        </w:rPr>
        <w:t>.</w:t>
      </w:r>
    </w:p>
    <w:p w14:paraId="7DF8B621" w14:textId="17B5F982"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A57A43" w:rsidRPr="00B907A3">
        <w:rPr>
          <w:rFonts w:ascii="Garamond" w:hAnsi="Garamond"/>
          <w:b/>
          <w:bCs/>
          <w:sz w:val="24"/>
        </w:rPr>
        <w:t xml:space="preserve">Përmirësimi i </w:t>
      </w:r>
      <w:r w:rsidR="00AC739E" w:rsidRPr="00B907A3">
        <w:rPr>
          <w:rFonts w:ascii="Garamond" w:hAnsi="Garamond"/>
          <w:b/>
          <w:bCs/>
          <w:sz w:val="24"/>
        </w:rPr>
        <w:t>k</w:t>
      </w:r>
      <w:r w:rsidR="00A57A43" w:rsidRPr="00B907A3">
        <w:rPr>
          <w:rFonts w:ascii="Garamond" w:hAnsi="Garamond"/>
          <w:b/>
          <w:bCs/>
          <w:sz w:val="24"/>
        </w:rPr>
        <w:t xml:space="preserve">ujdesit </w:t>
      </w:r>
      <w:r w:rsidR="00AC739E" w:rsidRPr="00B907A3">
        <w:rPr>
          <w:rFonts w:ascii="Garamond" w:hAnsi="Garamond"/>
          <w:b/>
          <w:bCs/>
          <w:sz w:val="24"/>
        </w:rPr>
        <w:t>pas aksidenteve</w:t>
      </w:r>
      <w:r w:rsidR="00A2798A" w:rsidRPr="00B907A3">
        <w:rPr>
          <w:rFonts w:ascii="Garamond" w:hAnsi="Garamond"/>
          <w:b/>
          <w:bCs/>
          <w:sz w:val="24"/>
        </w:rPr>
        <w:t>:</w:t>
      </w:r>
      <w:r w:rsidR="00A2798A" w:rsidRPr="00B907A3">
        <w:rPr>
          <w:rFonts w:ascii="Garamond" w:hAnsi="Garamond"/>
          <w:sz w:val="24"/>
        </w:rPr>
        <w:t xml:space="preserve"> </w:t>
      </w:r>
      <w:r w:rsidR="00A57A43" w:rsidRPr="00B907A3">
        <w:rPr>
          <w:rFonts w:ascii="Garamond" w:hAnsi="Garamond"/>
          <w:sz w:val="24"/>
        </w:rPr>
        <w:t>Investimi në përmirësimin e sistemeve të reagimit ndaj emergjencave, qendrave të kujdesit ndaj traumave dhe shërbimeve të rehabilitimit. Ulja e kohës së reagimit dhe përmirësimi i cilësisë së kujdesit janë kritike për minimizimin e pasojave të aksidenteve</w:t>
      </w:r>
      <w:r w:rsidR="00A2798A" w:rsidRPr="00B907A3">
        <w:rPr>
          <w:rFonts w:ascii="Garamond" w:hAnsi="Garamond"/>
          <w:sz w:val="24"/>
        </w:rPr>
        <w:t>.</w:t>
      </w:r>
    </w:p>
    <w:p w14:paraId="4970156F" w14:textId="3B31BA42" w:rsidR="00A2798A" w:rsidRPr="00B907A3" w:rsidRDefault="00864ABA" w:rsidP="008C4E07">
      <w:pPr>
        <w:spacing w:after="0"/>
        <w:ind w:firstLine="284"/>
        <w:rPr>
          <w:rFonts w:ascii="Garamond" w:hAnsi="Garamond"/>
          <w:sz w:val="24"/>
        </w:rPr>
      </w:pPr>
      <w:r w:rsidRPr="00B907A3">
        <w:rPr>
          <w:rFonts w:ascii="Garamond" w:hAnsi="Garamond"/>
          <w:bCs/>
          <w:sz w:val="24"/>
        </w:rPr>
        <w:t xml:space="preserve">- </w:t>
      </w:r>
      <w:r w:rsidR="00A57A43" w:rsidRPr="00B907A3">
        <w:rPr>
          <w:rFonts w:ascii="Garamond" w:hAnsi="Garamond"/>
          <w:b/>
          <w:bCs/>
          <w:sz w:val="24"/>
        </w:rPr>
        <w:t xml:space="preserve">Integrimi i </w:t>
      </w:r>
      <w:r w:rsidR="00AC739E" w:rsidRPr="00B907A3">
        <w:rPr>
          <w:rFonts w:ascii="Garamond" w:hAnsi="Garamond"/>
          <w:b/>
          <w:bCs/>
          <w:sz w:val="24"/>
        </w:rPr>
        <w:t>teknologjive</w:t>
      </w:r>
      <w:r w:rsidR="00A2798A" w:rsidRPr="00B907A3">
        <w:rPr>
          <w:rFonts w:ascii="Garamond" w:hAnsi="Garamond"/>
          <w:b/>
          <w:bCs/>
          <w:sz w:val="24"/>
        </w:rPr>
        <w:t>:</w:t>
      </w:r>
      <w:r w:rsidR="00A2798A" w:rsidRPr="00B907A3">
        <w:rPr>
          <w:rFonts w:ascii="Garamond" w:hAnsi="Garamond"/>
          <w:sz w:val="24"/>
        </w:rPr>
        <w:t xml:space="preserve"> </w:t>
      </w:r>
      <w:r w:rsidR="00A57A43" w:rsidRPr="00B907A3">
        <w:rPr>
          <w:rFonts w:ascii="Garamond" w:hAnsi="Garamond"/>
          <w:sz w:val="24"/>
        </w:rPr>
        <w:t>Integrimi i sistemeve inteligjente të transportit (ITS) në rrjetet e transportit për të ofruar informacion në kohë reale, për të përmirësuar menaxhimin e trafikut dhe për të rritur sigurinë rrugore. Kjo përfshin përdorimin e kufijve të shpejtësisë së ndryshueshme, zbatimin automatik të ligjit dhe sistemet e paralajmërimit për përplasje, të njohura edhe si sisteme paralajmërimi për përplasje përpara</w:t>
      </w:r>
      <w:r w:rsidR="00992FA1" w:rsidRPr="00B907A3">
        <w:rPr>
          <w:rFonts w:ascii="Garamond" w:hAnsi="Garamond"/>
          <w:sz w:val="24"/>
        </w:rPr>
        <w:t>.</w:t>
      </w:r>
    </w:p>
    <w:p w14:paraId="5E391C76" w14:textId="08D1FE59" w:rsidR="00F02B3F" w:rsidRPr="00B907A3" w:rsidRDefault="00A57A43" w:rsidP="008C4E07">
      <w:pPr>
        <w:spacing w:after="0"/>
        <w:ind w:firstLine="284"/>
        <w:rPr>
          <w:rFonts w:ascii="Garamond" w:hAnsi="Garamond"/>
          <w:sz w:val="24"/>
        </w:rPr>
      </w:pPr>
      <w:r w:rsidRPr="00B907A3">
        <w:rPr>
          <w:rFonts w:ascii="Garamond" w:hAnsi="Garamond"/>
          <w:sz w:val="24"/>
        </w:rPr>
        <w:t xml:space="preserve">Duke e përafruar Strategjinë e saj </w:t>
      </w:r>
      <w:r w:rsidR="00AC739E" w:rsidRPr="00B907A3">
        <w:rPr>
          <w:rFonts w:ascii="Garamond" w:hAnsi="Garamond"/>
          <w:sz w:val="24"/>
        </w:rPr>
        <w:t>p</w:t>
      </w:r>
      <w:r w:rsidRPr="00B907A3">
        <w:rPr>
          <w:rFonts w:ascii="Garamond" w:hAnsi="Garamond"/>
          <w:sz w:val="24"/>
        </w:rPr>
        <w:t>ë</w:t>
      </w:r>
      <w:r w:rsidR="00AC739E" w:rsidRPr="00B907A3">
        <w:rPr>
          <w:rFonts w:ascii="Garamond" w:hAnsi="Garamond"/>
          <w:sz w:val="24"/>
        </w:rPr>
        <w:t>r</w:t>
      </w:r>
      <w:r w:rsidRPr="00B907A3">
        <w:rPr>
          <w:rFonts w:ascii="Garamond" w:hAnsi="Garamond"/>
          <w:sz w:val="24"/>
        </w:rPr>
        <w:t xml:space="preserve"> </w:t>
      </w:r>
      <w:r w:rsidR="00AC739E" w:rsidRPr="00B907A3">
        <w:rPr>
          <w:rFonts w:ascii="Garamond" w:hAnsi="Garamond"/>
          <w:sz w:val="24"/>
        </w:rPr>
        <w:t xml:space="preserve">Sigurinë </w:t>
      </w:r>
      <w:r w:rsidRPr="00B907A3">
        <w:rPr>
          <w:rFonts w:ascii="Garamond" w:hAnsi="Garamond"/>
          <w:sz w:val="24"/>
        </w:rPr>
        <w:t xml:space="preserve">Rrugore me parimet e Qasjes së Sistemit të Sigurt </w:t>
      </w:r>
      <w:r w:rsidR="00AC739E" w:rsidRPr="00B907A3">
        <w:rPr>
          <w:rFonts w:ascii="Garamond" w:hAnsi="Garamond"/>
          <w:sz w:val="24"/>
        </w:rPr>
        <w:t>(</w:t>
      </w:r>
      <w:r w:rsidR="00B87629" w:rsidRPr="00B907A3">
        <w:rPr>
          <w:rFonts w:ascii="Garamond" w:hAnsi="Garamond"/>
          <w:sz w:val="24"/>
        </w:rPr>
        <w:t>Q</w:t>
      </w:r>
      <w:r w:rsidR="00AC739E" w:rsidRPr="00B907A3">
        <w:rPr>
          <w:rFonts w:ascii="Garamond" w:hAnsi="Garamond"/>
          <w:sz w:val="24"/>
        </w:rPr>
        <w:t xml:space="preserve">SA) </w:t>
      </w:r>
      <w:r w:rsidRPr="00B907A3">
        <w:rPr>
          <w:rFonts w:ascii="Garamond" w:hAnsi="Garamond"/>
          <w:sz w:val="24"/>
        </w:rPr>
        <w:t xml:space="preserve">dhe duke zbatuar ndërhyrje të bazuara në prova, Shqipëria do të jetë në rrugën e sigurt për të arritur dhe mbështetur uljen e </w:t>
      </w:r>
      <w:r w:rsidR="00992FA1" w:rsidRPr="00B907A3">
        <w:rPr>
          <w:rFonts w:ascii="Garamond" w:hAnsi="Garamond"/>
          <w:sz w:val="24"/>
        </w:rPr>
        <w:t>fataliteteve</w:t>
      </w:r>
      <w:r w:rsidRPr="00B907A3">
        <w:rPr>
          <w:rFonts w:ascii="Garamond" w:hAnsi="Garamond"/>
          <w:sz w:val="24"/>
        </w:rPr>
        <w:t xml:space="preserve"> dhe lëndimeve të rënda në </w:t>
      </w:r>
      <w:r w:rsidR="00AC739E" w:rsidRPr="00B907A3">
        <w:rPr>
          <w:rFonts w:ascii="Garamond" w:hAnsi="Garamond"/>
          <w:sz w:val="24"/>
        </w:rPr>
        <w:t xml:space="preserve">qarkullimin </w:t>
      </w:r>
      <w:r w:rsidRPr="00B907A3">
        <w:rPr>
          <w:rFonts w:ascii="Garamond" w:hAnsi="Garamond"/>
          <w:sz w:val="24"/>
        </w:rPr>
        <w:t>rrugor.</w:t>
      </w:r>
    </w:p>
    <w:p w14:paraId="6DF71DCD" w14:textId="685B5A75" w:rsidR="009141BA" w:rsidRPr="00B907A3" w:rsidRDefault="00864ABA" w:rsidP="008C4E07">
      <w:pPr>
        <w:pStyle w:val="Heading2"/>
        <w:numPr>
          <w:ilvl w:val="0"/>
          <w:numId w:val="0"/>
        </w:numPr>
        <w:spacing w:after="0"/>
        <w:ind w:firstLine="284"/>
        <w:rPr>
          <w:rFonts w:ascii="Garamond" w:hAnsi="Garamond"/>
          <w:color w:val="auto"/>
          <w:lang w:val="sq-AL"/>
        </w:rPr>
      </w:pPr>
      <w:bookmarkStart w:id="120" w:name="_Toc208840570"/>
      <w:r w:rsidRPr="00B907A3">
        <w:rPr>
          <w:rFonts w:ascii="Garamond" w:hAnsi="Garamond"/>
          <w:color w:val="auto"/>
          <w:lang w:val="sq-AL"/>
        </w:rPr>
        <w:t xml:space="preserve">4.2 </w:t>
      </w:r>
      <w:r w:rsidR="00A57A43" w:rsidRPr="00B907A3">
        <w:rPr>
          <w:rFonts w:ascii="Garamond" w:hAnsi="Garamond"/>
          <w:color w:val="auto"/>
          <w:lang w:val="sq-AL"/>
        </w:rPr>
        <w:t>K</w:t>
      </w:r>
      <w:r w:rsidR="00AC739E" w:rsidRPr="00B907A3">
        <w:rPr>
          <w:rFonts w:ascii="Garamond" w:hAnsi="Garamond"/>
          <w:color w:val="auto"/>
          <w:lang w:val="sq-AL"/>
        </w:rPr>
        <w:t>uadri</w:t>
      </w:r>
      <w:bookmarkEnd w:id="120"/>
      <w:r w:rsidR="00AC739E" w:rsidRPr="00B907A3">
        <w:rPr>
          <w:rFonts w:ascii="Garamond" w:hAnsi="Garamond"/>
          <w:color w:val="auto"/>
          <w:lang w:val="sq-AL"/>
        </w:rPr>
        <w:t xml:space="preserve"> </w:t>
      </w:r>
    </w:p>
    <w:p w14:paraId="34880FBE" w14:textId="007D08BB" w:rsidR="00A2798A" w:rsidRPr="00B907A3" w:rsidRDefault="00A57A43" w:rsidP="008C4E07">
      <w:pPr>
        <w:spacing w:after="0"/>
        <w:ind w:firstLine="284"/>
        <w:rPr>
          <w:rFonts w:ascii="Garamond" w:hAnsi="Garamond"/>
          <w:sz w:val="24"/>
        </w:rPr>
      </w:pPr>
      <w:r w:rsidRPr="00B907A3">
        <w:rPr>
          <w:rFonts w:ascii="Garamond" w:hAnsi="Garamond"/>
          <w:sz w:val="24"/>
        </w:rPr>
        <w:t>Me miratimin e Strategjisë së re të Sigurisë Rrugore 2026</w:t>
      </w:r>
      <w:r w:rsidR="005C1DD9">
        <w:rPr>
          <w:rFonts w:ascii="Garamond" w:hAnsi="Garamond"/>
          <w:sz w:val="24"/>
        </w:rPr>
        <w:t>–</w:t>
      </w:r>
      <w:r w:rsidRPr="00B907A3">
        <w:rPr>
          <w:rFonts w:ascii="Garamond" w:hAnsi="Garamond"/>
          <w:sz w:val="24"/>
        </w:rPr>
        <w:t>2030 (</w:t>
      </w:r>
      <w:r w:rsidR="005B413A" w:rsidRPr="00B907A3">
        <w:rPr>
          <w:rFonts w:ascii="Garamond" w:hAnsi="Garamond"/>
          <w:sz w:val="24"/>
        </w:rPr>
        <w:t>SS</w:t>
      </w:r>
      <w:r w:rsidR="00AC739E" w:rsidRPr="00B907A3">
        <w:rPr>
          <w:rFonts w:ascii="Garamond" w:hAnsi="Garamond"/>
          <w:sz w:val="24"/>
        </w:rPr>
        <w:t>R</w:t>
      </w:r>
      <w:r w:rsidR="005B413A" w:rsidRPr="00B907A3">
        <w:rPr>
          <w:rFonts w:ascii="Garamond" w:hAnsi="Garamond"/>
          <w:sz w:val="24"/>
        </w:rPr>
        <w:t>R</w:t>
      </w:r>
      <w:r w:rsidRPr="00B907A3">
        <w:rPr>
          <w:rFonts w:ascii="Garamond" w:hAnsi="Garamond"/>
          <w:sz w:val="24"/>
        </w:rPr>
        <w:t>), Shqipëria po bën një hap të rëndësishëm në rrugën drejt arritjes së objektivave afatgjat</w:t>
      </w:r>
      <w:r w:rsidR="00D121E9">
        <w:rPr>
          <w:rFonts w:ascii="Garamond" w:hAnsi="Garamond"/>
          <w:sz w:val="24"/>
        </w:rPr>
        <w:t>ë</w:t>
      </w:r>
      <w:r w:rsidRPr="00B907A3">
        <w:rPr>
          <w:rFonts w:ascii="Garamond" w:hAnsi="Garamond"/>
          <w:sz w:val="24"/>
        </w:rPr>
        <w:t xml:space="preserve"> të </w:t>
      </w:r>
      <w:r w:rsidR="007951BD">
        <w:rPr>
          <w:rFonts w:ascii="Garamond" w:hAnsi="Garamond"/>
          <w:sz w:val="24"/>
        </w:rPr>
        <w:t>“</w:t>
      </w:r>
      <w:r w:rsidRPr="00B907A3">
        <w:rPr>
          <w:rFonts w:ascii="Garamond" w:hAnsi="Garamond"/>
          <w:sz w:val="24"/>
        </w:rPr>
        <w:t>Vizionit Zero</w:t>
      </w:r>
      <w:r w:rsidR="007951BD">
        <w:rPr>
          <w:rFonts w:ascii="Garamond" w:hAnsi="Garamond"/>
          <w:sz w:val="24"/>
        </w:rPr>
        <w:t>”</w:t>
      </w:r>
      <w:r w:rsidRPr="00B907A3">
        <w:rPr>
          <w:rFonts w:ascii="Garamond" w:hAnsi="Garamond"/>
          <w:sz w:val="24"/>
        </w:rPr>
        <w:t xml:space="preserve"> deri në vitin 2050. Kjo rrugë përbëhet nga disa faza, të mbështetura nga objektiva të ndërmjetëm që synojnë të ulin ndjeshëm num</w:t>
      </w:r>
      <w:r w:rsidR="0002613F" w:rsidRPr="00B907A3">
        <w:rPr>
          <w:rFonts w:ascii="Garamond" w:hAnsi="Garamond"/>
          <w:sz w:val="24"/>
        </w:rPr>
        <w:t xml:space="preserve">rin e </w:t>
      </w:r>
      <w:r w:rsidRPr="00B907A3">
        <w:rPr>
          <w:rFonts w:ascii="Garamond" w:hAnsi="Garamond"/>
          <w:sz w:val="24"/>
        </w:rPr>
        <w:t>vdekje</w:t>
      </w:r>
      <w:r w:rsidR="0002613F" w:rsidRPr="00B907A3">
        <w:rPr>
          <w:rFonts w:ascii="Garamond" w:hAnsi="Garamond"/>
          <w:sz w:val="24"/>
        </w:rPr>
        <w:t xml:space="preserve">ve dhe </w:t>
      </w:r>
      <w:r w:rsidRPr="00B907A3">
        <w:rPr>
          <w:rFonts w:ascii="Garamond" w:hAnsi="Garamond"/>
          <w:sz w:val="24"/>
        </w:rPr>
        <w:t>aksidente</w:t>
      </w:r>
      <w:r w:rsidR="0002613F" w:rsidRPr="00B907A3">
        <w:rPr>
          <w:rFonts w:ascii="Garamond" w:hAnsi="Garamond"/>
          <w:sz w:val="24"/>
        </w:rPr>
        <w:t>ve</w:t>
      </w:r>
      <w:r w:rsidRPr="00B907A3">
        <w:rPr>
          <w:rFonts w:ascii="Garamond" w:hAnsi="Garamond"/>
          <w:sz w:val="24"/>
        </w:rPr>
        <w:t xml:space="preserve"> rrugore dhe lëndime</w:t>
      </w:r>
      <w:r w:rsidR="0002613F" w:rsidRPr="00B907A3">
        <w:rPr>
          <w:rFonts w:ascii="Garamond" w:hAnsi="Garamond"/>
          <w:sz w:val="24"/>
        </w:rPr>
        <w:t xml:space="preserve">ve </w:t>
      </w:r>
      <w:r w:rsidRPr="00B907A3">
        <w:rPr>
          <w:rFonts w:ascii="Garamond" w:hAnsi="Garamond"/>
          <w:sz w:val="24"/>
        </w:rPr>
        <w:t>të rënda deri në vitin 2030. Objektivat e Strategjisë do të zbatohen bazuar në afatin kohor të strukturuar në Plane Veprimi me faza, të vendosura brenda një kuadri gjithëpërfshirës dhe të koordinuar</w:t>
      </w:r>
      <w:r w:rsidR="00A2798A" w:rsidRPr="00B907A3">
        <w:rPr>
          <w:rFonts w:ascii="Garamond" w:hAnsi="Garamond"/>
          <w:sz w:val="24"/>
        </w:rPr>
        <w:t>.</w:t>
      </w:r>
      <w:r w:rsidR="005A2599" w:rsidRPr="00B907A3">
        <w:rPr>
          <w:rFonts w:ascii="Garamond" w:hAnsi="Garamond"/>
          <w:sz w:val="24"/>
        </w:rPr>
        <w:t xml:space="preserve"> </w:t>
      </w:r>
    </w:p>
    <w:p w14:paraId="62D0C93C" w14:textId="16FFF6D9" w:rsidR="00A2798A" w:rsidRPr="00B907A3" w:rsidRDefault="00864ABA" w:rsidP="008C4E07">
      <w:pPr>
        <w:pStyle w:val="Heading3"/>
        <w:numPr>
          <w:ilvl w:val="0"/>
          <w:numId w:val="0"/>
        </w:numPr>
        <w:spacing w:before="0" w:after="0" w:line="240" w:lineRule="auto"/>
        <w:ind w:firstLine="284"/>
        <w:rPr>
          <w:rFonts w:ascii="Garamond" w:hAnsi="Garamond"/>
          <w:color w:val="auto"/>
          <w:lang w:val="sq-AL"/>
        </w:rPr>
      </w:pPr>
      <w:bookmarkStart w:id="121" w:name="_Toc208840571"/>
      <w:r w:rsidRPr="00B907A3">
        <w:rPr>
          <w:rFonts w:ascii="Garamond" w:hAnsi="Garamond"/>
          <w:color w:val="auto"/>
          <w:lang w:val="sq-AL"/>
        </w:rPr>
        <w:t xml:space="preserve">4.2.1 </w:t>
      </w:r>
      <w:r w:rsidR="00A021B5" w:rsidRPr="00B907A3">
        <w:rPr>
          <w:rFonts w:ascii="Garamond" w:hAnsi="Garamond"/>
          <w:color w:val="auto"/>
          <w:lang w:val="sq-AL"/>
        </w:rPr>
        <w:t xml:space="preserve">Një plan veprimi </w:t>
      </w:r>
      <w:r w:rsidR="00A57A43" w:rsidRPr="00B907A3">
        <w:rPr>
          <w:rFonts w:ascii="Garamond" w:hAnsi="Garamond"/>
          <w:color w:val="auto"/>
          <w:lang w:val="sq-AL"/>
        </w:rPr>
        <w:t>me faza</w:t>
      </w:r>
      <w:bookmarkEnd w:id="121"/>
    </w:p>
    <w:p w14:paraId="7EC4DB22" w14:textId="03B2991B" w:rsidR="00A2798A" w:rsidRPr="00B907A3" w:rsidRDefault="00A57A43" w:rsidP="008C4E07">
      <w:pPr>
        <w:spacing w:after="0"/>
        <w:ind w:firstLine="284"/>
        <w:rPr>
          <w:rFonts w:ascii="Garamond" w:hAnsi="Garamond"/>
          <w:sz w:val="24"/>
        </w:rPr>
      </w:pPr>
      <w:r w:rsidRPr="00B907A3">
        <w:rPr>
          <w:rFonts w:ascii="Garamond" w:hAnsi="Garamond"/>
          <w:sz w:val="24"/>
        </w:rPr>
        <w:t xml:space="preserve">Një objektiv kryesor i Strategjisë </w:t>
      </w:r>
      <w:r w:rsidR="0002613F" w:rsidRPr="00B907A3">
        <w:rPr>
          <w:rFonts w:ascii="Garamond" w:hAnsi="Garamond"/>
          <w:sz w:val="24"/>
        </w:rPr>
        <w:t>p</w:t>
      </w:r>
      <w:r w:rsidRPr="00B907A3">
        <w:rPr>
          <w:rFonts w:ascii="Garamond" w:hAnsi="Garamond"/>
          <w:sz w:val="24"/>
        </w:rPr>
        <w:t>ë</w:t>
      </w:r>
      <w:r w:rsidR="0002613F" w:rsidRPr="00B907A3">
        <w:rPr>
          <w:rFonts w:ascii="Garamond" w:hAnsi="Garamond"/>
          <w:sz w:val="24"/>
        </w:rPr>
        <w:t>r</w:t>
      </w:r>
      <w:r w:rsidRPr="00B907A3">
        <w:rPr>
          <w:rFonts w:ascii="Garamond" w:hAnsi="Garamond"/>
          <w:sz w:val="24"/>
        </w:rPr>
        <w:t xml:space="preserve"> </w:t>
      </w:r>
      <w:r w:rsidR="0002613F" w:rsidRPr="00B907A3">
        <w:rPr>
          <w:rFonts w:ascii="Garamond" w:hAnsi="Garamond"/>
          <w:sz w:val="24"/>
        </w:rPr>
        <w:t xml:space="preserve">Sigurinë </w:t>
      </w:r>
      <w:r w:rsidRPr="00B907A3">
        <w:rPr>
          <w:rFonts w:ascii="Garamond" w:hAnsi="Garamond"/>
          <w:sz w:val="24"/>
        </w:rPr>
        <w:t>Rrugore të Shqipërisë 2026–2030 është të sigurojë që të gjitha ndërhyrjet të jenë të planifikuara strategjikisht, të bazuara në prova dhe</w:t>
      </w:r>
      <w:r w:rsidR="00887CC6">
        <w:rPr>
          <w:rFonts w:ascii="Garamond" w:hAnsi="Garamond"/>
          <w:sz w:val="24"/>
        </w:rPr>
        <w:t xml:space="preserve"> </w:t>
      </w:r>
      <w:r w:rsidR="00DB76F6">
        <w:rPr>
          <w:rFonts w:ascii="Garamond" w:hAnsi="Garamond"/>
          <w:sz w:val="24"/>
        </w:rPr>
        <w:t>t’u</w:t>
      </w:r>
      <w:r w:rsidR="00887CC6">
        <w:rPr>
          <w:rFonts w:ascii="Garamond" w:hAnsi="Garamond"/>
          <w:sz w:val="24"/>
        </w:rPr>
        <w:t xml:space="preserve"> </w:t>
      </w:r>
      <w:r w:rsidRPr="00B907A3">
        <w:rPr>
          <w:rFonts w:ascii="Garamond" w:hAnsi="Garamond"/>
          <w:sz w:val="24"/>
        </w:rPr>
        <w:t xml:space="preserve">përgjigjen zhvillimeve të reja në sigurinë rrugore në vend dhe në nivel ndërkombëtar. </w:t>
      </w:r>
      <w:r w:rsidR="005B413A" w:rsidRPr="00B907A3">
        <w:rPr>
          <w:rFonts w:ascii="Garamond" w:hAnsi="Garamond"/>
          <w:sz w:val="24"/>
        </w:rPr>
        <w:t>SSR</w:t>
      </w:r>
      <w:r w:rsidR="0002613F" w:rsidRPr="00B907A3">
        <w:rPr>
          <w:rFonts w:ascii="Garamond" w:hAnsi="Garamond"/>
          <w:sz w:val="24"/>
        </w:rPr>
        <w:t>R</w:t>
      </w:r>
      <w:r w:rsidRPr="00B907A3">
        <w:rPr>
          <w:rFonts w:ascii="Garamond" w:hAnsi="Garamond"/>
          <w:sz w:val="24"/>
        </w:rPr>
        <w:t>-ja miraton një qasje me faza që lejon zhvillimin dhe zbatimin progresiv të ndërhyrjeve të parashikuara, të strukturuara si më poshtë</w:t>
      </w:r>
      <w:r w:rsidR="00A2798A" w:rsidRPr="00B907A3">
        <w:rPr>
          <w:rFonts w:ascii="Garamond" w:hAnsi="Garamond"/>
          <w:sz w:val="24"/>
        </w:rPr>
        <w:t>:</w:t>
      </w:r>
    </w:p>
    <w:p w14:paraId="441B950F" w14:textId="3DD6350F" w:rsidR="00506663" w:rsidRPr="005C1DD9" w:rsidRDefault="00E7719F" w:rsidP="008C4E07">
      <w:pPr>
        <w:spacing w:after="0"/>
        <w:ind w:firstLine="284"/>
        <w:rPr>
          <w:rFonts w:ascii="Garamond" w:hAnsi="Garamond"/>
          <w:i/>
          <w:iCs/>
          <w:sz w:val="24"/>
        </w:rPr>
      </w:pPr>
      <w:bookmarkStart w:id="122" w:name="_Toc208841009"/>
      <w:r w:rsidRPr="005C1DD9">
        <w:rPr>
          <w:rFonts w:ascii="Garamond" w:hAnsi="Garamond"/>
          <w:i/>
          <w:sz w:val="24"/>
        </w:rPr>
        <w:t>Figur</w:t>
      </w:r>
      <w:r w:rsidR="00A57A43" w:rsidRPr="005C1DD9">
        <w:rPr>
          <w:rFonts w:ascii="Garamond" w:hAnsi="Garamond"/>
          <w:i/>
          <w:sz w:val="24"/>
        </w:rPr>
        <w:t>a</w:t>
      </w:r>
      <w:r w:rsidRPr="005C1DD9">
        <w:rPr>
          <w:rFonts w:ascii="Garamond" w:hAnsi="Garamond"/>
          <w:i/>
          <w:sz w:val="24"/>
        </w:rPr>
        <w:t xml:space="preserve"> </w:t>
      </w:r>
      <w:r w:rsidR="00B430D5" w:rsidRPr="005C1DD9">
        <w:rPr>
          <w:rFonts w:ascii="Garamond" w:hAnsi="Garamond"/>
          <w:i/>
          <w:sz w:val="24"/>
        </w:rPr>
        <w:fldChar w:fldCharType="begin"/>
      </w:r>
      <w:r w:rsidR="00B430D5" w:rsidRPr="005C1DD9">
        <w:rPr>
          <w:rFonts w:ascii="Garamond" w:hAnsi="Garamond"/>
          <w:i/>
          <w:sz w:val="24"/>
        </w:rPr>
        <w:instrText xml:space="preserve"> STYLEREF 1 \s </w:instrText>
      </w:r>
      <w:r w:rsidR="00B430D5" w:rsidRPr="005C1DD9">
        <w:rPr>
          <w:rFonts w:ascii="Garamond" w:hAnsi="Garamond"/>
          <w:i/>
          <w:sz w:val="24"/>
        </w:rPr>
        <w:fldChar w:fldCharType="separate"/>
      </w:r>
      <w:r w:rsidR="00D13C76" w:rsidRPr="005C1DD9">
        <w:rPr>
          <w:rFonts w:ascii="Garamond" w:hAnsi="Garamond"/>
          <w:i/>
          <w:sz w:val="24"/>
        </w:rPr>
        <w:t>4</w:t>
      </w:r>
      <w:r w:rsidR="00B430D5" w:rsidRPr="005C1DD9">
        <w:rPr>
          <w:rFonts w:ascii="Garamond" w:hAnsi="Garamond"/>
          <w:i/>
          <w:sz w:val="24"/>
        </w:rPr>
        <w:fldChar w:fldCharType="end"/>
      </w:r>
      <w:r w:rsidR="00B430D5" w:rsidRPr="005C1DD9">
        <w:rPr>
          <w:rFonts w:ascii="Garamond" w:hAnsi="Garamond"/>
          <w:i/>
          <w:sz w:val="24"/>
        </w:rPr>
        <w:noBreakHyphen/>
      </w:r>
      <w:r w:rsidR="000451D4" w:rsidRPr="005C1DD9">
        <w:rPr>
          <w:rFonts w:ascii="Garamond" w:hAnsi="Garamond"/>
          <w:i/>
          <w:sz w:val="24"/>
        </w:rPr>
        <w:t>2</w:t>
      </w:r>
      <w:r w:rsidR="005C1DD9" w:rsidRPr="005C1DD9">
        <w:rPr>
          <w:rFonts w:ascii="Garamond" w:hAnsi="Garamond"/>
          <w:i/>
          <w:sz w:val="24"/>
        </w:rPr>
        <w:t xml:space="preserve">. </w:t>
      </w:r>
      <w:r w:rsidR="00A57A43" w:rsidRPr="005C1DD9">
        <w:rPr>
          <w:rFonts w:ascii="Garamond" w:hAnsi="Garamond"/>
          <w:i/>
          <w:sz w:val="24"/>
        </w:rPr>
        <w:t>Veprime me faza gjatë periudhës 2021</w:t>
      </w:r>
      <w:r w:rsidR="005C1DD9" w:rsidRPr="005C1DD9">
        <w:rPr>
          <w:rFonts w:ascii="Garamond" w:hAnsi="Garamond"/>
          <w:i/>
          <w:sz w:val="24"/>
        </w:rPr>
        <w:t>–</w:t>
      </w:r>
      <w:r w:rsidR="00A57A43" w:rsidRPr="005C1DD9">
        <w:rPr>
          <w:rFonts w:ascii="Garamond" w:hAnsi="Garamond"/>
          <w:i/>
          <w:sz w:val="24"/>
        </w:rPr>
        <w:t>2030, me disa rezultate të mundshme</w:t>
      </w:r>
      <w:bookmarkEnd w:id="122"/>
    </w:p>
    <w:p w14:paraId="3F23BBB8" w14:textId="74D2D436" w:rsidR="00D50D28" w:rsidRPr="00B907A3" w:rsidRDefault="00D50D28" w:rsidP="008C4E07">
      <w:pPr>
        <w:spacing w:after="0"/>
        <w:ind w:firstLine="284"/>
        <w:rPr>
          <w:rFonts w:ascii="Garamond" w:hAnsi="Garamond"/>
          <w:sz w:val="24"/>
        </w:rPr>
      </w:pPr>
    </w:p>
    <w:p w14:paraId="0651DAC0" w14:textId="426DA66C" w:rsidR="008C4E07" w:rsidRPr="00B907A3" w:rsidRDefault="008C4E07" w:rsidP="008C4E07">
      <w:pPr>
        <w:spacing w:after="0"/>
        <w:ind w:firstLine="284"/>
        <w:rPr>
          <w:rFonts w:ascii="Garamond" w:hAnsi="Garamond"/>
          <w:sz w:val="24"/>
        </w:rPr>
      </w:pPr>
      <w:r w:rsidRPr="00B907A3">
        <w:rPr>
          <w:rFonts w:ascii="Garamond" w:hAnsi="Garamond"/>
          <w:noProof/>
          <w:sz w:val="24"/>
          <w:lang w:eastAsia="sq-AL"/>
        </w:rPr>
        <w:lastRenderedPageBreak/>
        <w:drawing>
          <wp:inline distT="0" distB="0" distL="0" distR="0" wp14:anchorId="039647B8" wp14:editId="5860897B">
            <wp:extent cx="5872933" cy="334290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878337" cy="3345980"/>
                    </a:xfrm>
                    <a:prstGeom prst="rect">
                      <a:avLst/>
                    </a:prstGeom>
                  </pic:spPr>
                </pic:pic>
              </a:graphicData>
            </a:graphic>
          </wp:inline>
        </w:drawing>
      </w:r>
    </w:p>
    <w:p w14:paraId="509D856B" w14:textId="77777777" w:rsidR="008C4E07" w:rsidRPr="00B907A3" w:rsidRDefault="008C4E07" w:rsidP="008C4E07">
      <w:pPr>
        <w:spacing w:after="0"/>
        <w:ind w:firstLine="284"/>
        <w:rPr>
          <w:rFonts w:ascii="Garamond" w:hAnsi="Garamond"/>
          <w:sz w:val="24"/>
        </w:rPr>
      </w:pPr>
    </w:p>
    <w:p w14:paraId="58CD5E78" w14:textId="5DBE4708" w:rsidR="00A2798A" w:rsidRPr="00B907A3" w:rsidRDefault="00864ABA" w:rsidP="008C4E07">
      <w:pPr>
        <w:shd w:val="clear" w:color="auto" w:fill="E2EFD9" w:themeFill="accent6" w:themeFillTint="33"/>
        <w:spacing w:after="0"/>
        <w:ind w:firstLine="284"/>
        <w:rPr>
          <w:rFonts w:ascii="Garamond" w:hAnsi="Garamond"/>
          <w:sz w:val="24"/>
        </w:rPr>
      </w:pPr>
      <w:r w:rsidRPr="00B907A3">
        <w:rPr>
          <w:rFonts w:ascii="Garamond" w:hAnsi="Garamond"/>
          <w:bCs/>
          <w:sz w:val="24"/>
        </w:rPr>
        <w:t xml:space="preserve">- </w:t>
      </w:r>
      <w:r w:rsidR="007A7368" w:rsidRPr="00B907A3">
        <w:rPr>
          <w:rFonts w:ascii="Garamond" w:hAnsi="Garamond"/>
          <w:b/>
          <w:bCs/>
          <w:sz w:val="24"/>
        </w:rPr>
        <w:t xml:space="preserve">Faza 1 (2021–2023): Faza e </w:t>
      </w:r>
      <w:r w:rsidR="0002613F" w:rsidRPr="00B907A3">
        <w:rPr>
          <w:rFonts w:ascii="Garamond" w:hAnsi="Garamond"/>
          <w:b/>
          <w:bCs/>
          <w:sz w:val="24"/>
        </w:rPr>
        <w:t>Vijimit</w:t>
      </w:r>
      <w:r w:rsidR="005C1DD9">
        <w:rPr>
          <w:rFonts w:ascii="Garamond" w:hAnsi="Garamond"/>
          <w:b/>
          <w:bCs/>
          <w:sz w:val="24"/>
        </w:rPr>
        <w:t xml:space="preserve"> </w:t>
      </w:r>
      <w:r w:rsidR="007A7368" w:rsidRPr="00B907A3">
        <w:rPr>
          <w:rFonts w:ascii="Garamond" w:hAnsi="Garamond"/>
          <w:b/>
          <w:bCs/>
          <w:sz w:val="24"/>
        </w:rPr>
        <w:t>– Zgjerimi dhe vazhdimi i aktiviteteve të sigurisë rrugore pas</w:t>
      </w:r>
      <w:r w:rsidR="0002613F" w:rsidRPr="00B907A3">
        <w:rPr>
          <w:rFonts w:ascii="Garamond" w:hAnsi="Garamond"/>
          <w:b/>
          <w:bCs/>
          <w:sz w:val="24"/>
        </w:rPr>
        <w:t xml:space="preserve"> përfundimit të afatit të </w:t>
      </w:r>
      <w:r w:rsidR="005B413A" w:rsidRPr="00B907A3">
        <w:rPr>
          <w:rFonts w:ascii="Garamond" w:hAnsi="Garamond"/>
          <w:b/>
          <w:bCs/>
          <w:sz w:val="24"/>
        </w:rPr>
        <w:t>SSR</w:t>
      </w:r>
      <w:r w:rsidR="0002613F" w:rsidRPr="00B907A3">
        <w:rPr>
          <w:rFonts w:ascii="Garamond" w:hAnsi="Garamond"/>
          <w:b/>
          <w:bCs/>
          <w:sz w:val="24"/>
        </w:rPr>
        <w:t>R</w:t>
      </w:r>
      <w:r w:rsidR="007A7368" w:rsidRPr="00B907A3">
        <w:rPr>
          <w:rFonts w:ascii="Garamond" w:hAnsi="Garamond"/>
          <w:b/>
          <w:bCs/>
          <w:sz w:val="24"/>
        </w:rPr>
        <w:t>-së së parë.</w:t>
      </w:r>
    </w:p>
    <w:p w14:paraId="13720DFD" w14:textId="4D68D198" w:rsidR="00CA465D" w:rsidRPr="00B907A3" w:rsidRDefault="007A7368" w:rsidP="008C4E07">
      <w:pPr>
        <w:spacing w:after="0"/>
        <w:ind w:firstLine="284"/>
        <w:rPr>
          <w:rFonts w:ascii="Garamond" w:hAnsi="Garamond"/>
          <w:sz w:val="24"/>
        </w:rPr>
      </w:pPr>
      <w:r w:rsidRPr="00B907A3">
        <w:rPr>
          <w:rFonts w:ascii="Garamond" w:hAnsi="Garamond"/>
          <w:sz w:val="24"/>
        </w:rPr>
        <w:t xml:space="preserve">Kjo ishte e ashtuquajtura </w:t>
      </w:r>
      <w:r w:rsidR="007951BD">
        <w:rPr>
          <w:rFonts w:ascii="Garamond" w:hAnsi="Garamond"/>
          <w:sz w:val="24"/>
        </w:rPr>
        <w:t>“</w:t>
      </w:r>
      <w:r w:rsidRPr="00B907A3">
        <w:rPr>
          <w:rFonts w:ascii="Garamond" w:hAnsi="Garamond"/>
          <w:sz w:val="24"/>
        </w:rPr>
        <w:t xml:space="preserve">Faza e </w:t>
      </w:r>
      <w:r w:rsidR="0002613F" w:rsidRPr="00B907A3">
        <w:rPr>
          <w:rFonts w:ascii="Garamond" w:hAnsi="Garamond"/>
          <w:sz w:val="24"/>
        </w:rPr>
        <w:t>Vijimit</w:t>
      </w:r>
      <w:r w:rsidR="007951BD">
        <w:rPr>
          <w:rFonts w:ascii="Garamond" w:hAnsi="Garamond"/>
          <w:sz w:val="24"/>
        </w:rPr>
        <w:t>”</w:t>
      </w:r>
      <w:r w:rsidRPr="00B907A3">
        <w:rPr>
          <w:rFonts w:ascii="Garamond" w:hAnsi="Garamond"/>
          <w:sz w:val="24"/>
        </w:rPr>
        <w:t xml:space="preserve"> që në fakt ishte një zgjatim dhe vazhdim i aktiviteteve të parashikuara në </w:t>
      </w:r>
      <w:r w:rsidR="005B413A" w:rsidRPr="00B907A3">
        <w:rPr>
          <w:rFonts w:ascii="Garamond" w:hAnsi="Garamond"/>
          <w:sz w:val="24"/>
        </w:rPr>
        <w:t>SSR</w:t>
      </w:r>
      <w:r w:rsidR="0002613F" w:rsidRPr="00B907A3">
        <w:rPr>
          <w:rFonts w:ascii="Garamond" w:hAnsi="Garamond"/>
          <w:sz w:val="24"/>
        </w:rPr>
        <w:t>R</w:t>
      </w:r>
      <w:r w:rsidRPr="00B907A3">
        <w:rPr>
          <w:rFonts w:ascii="Garamond" w:hAnsi="Garamond"/>
          <w:sz w:val="24"/>
        </w:rPr>
        <w:t>-në e parë (2011</w:t>
      </w:r>
      <w:r w:rsidR="005C1DD9">
        <w:rPr>
          <w:rFonts w:ascii="Garamond" w:hAnsi="Garamond"/>
          <w:sz w:val="24"/>
        </w:rPr>
        <w:t>–</w:t>
      </w:r>
      <w:r w:rsidRPr="00B907A3">
        <w:rPr>
          <w:rFonts w:ascii="Garamond" w:hAnsi="Garamond"/>
          <w:sz w:val="24"/>
        </w:rPr>
        <w:t xml:space="preserve">2020), ku palët kryesore të </w:t>
      </w:r>
      <w:r w:rsidR="0002613F" w:rsidRPr="00B907A3">
        <w:rPr>
          <w:rFonts w:ascii="Garamond" w:hAnsi="Garamond"/>
          <w:sz w:val="24"/>
        </w:rPr>
        <w:t>interes</w:t>
      </w:r>
      <w:r w:rsidR="005C1DD9">
        <w:rPr>
          <w:rFonts w:ascii="Garamond" w:hAnsi="Garamond"/>
          <w:sz w:val="24"/>
        </w:rPr>
        <w:t>i</w:t>
      </w:r>
      <w:r w:rsidR="0002613F" w:rsidRPr="00B907A3">
        <w:rPr>
          <w:rFonts w:ascii="Garamond" w:hAnsi="Garamond"/>
          <w:sz w:val="24"/>
        </w:rPr>
        <w:t>t p</w:t>
      </w:r>
      <w:r w:rsidRPr="00B907A3">
        <w:rPr>
          <w:rFonts w:ascii="Garamond" w:hAnsi="Garamond"/>
          <w:sz w:val="24"/>
        </w:rPr>
        <w:t>ë</w:t>
      </w:r>
      <w:r w:rsidR="0002613F" w:rsidRPr="00B907A3">
        <w:rPr>
          <w:rFonts w:ascii="Garamond" w:hAnsi="Garamond"/>
          <w:sz w:val="24"/>
        </w:rPr>
        <w:t>r</w:t>
      </w:r>
      <w:r w:rsidRPr="00B907A3">
        <w:rPr>
          <w:rFonts w:ascii="Garamond" w:hAnsi="Garamond"/>
          <w:sz w:val="24"/>
        </w:rPr>
        <w:t xml:space="preserve"> sigurinë rrugore ndoqën a</w:t>
      </w:r>
      <w:r w:rsidR="005C1DD9">
        <w:rPr>
          <w:rFonts w:ascii="Garamond" w:hAnsi="Garamond"/>
          <w:sz w:val="24"/>
        </w:rPr>
        <w:t>gj</w:t>
      </w:r>
      <w:r w:rsidRPr="00B907A3">
        <w:rPr>
          <w:rFonts w:ascii="Garamond" w:hAnsi="Garamond"/>
          <w:sz w:val="24"/>
        </w:rPr>
        <w:t>endat e tyre të brendshme të sigurisë rrugore, duke synuar në një farë mënyre arritjen e përmirësimit të sigurisë rrugore</w:t>
      </w:r>
      <w:r w:rsidR="00CA465D" w:rsidRPr="00B907A3">
        <w:rPr>
          <w:rFonts w:ascii="Garamond" w:hAnsi="Garamond"/>
          <w:sz w:val="24"/>
        </w:rPr>
        <w:t xml:space="preserve">. </w:t>
      </w:r>
    </w:p>
    <w:p w14:paraId="04095230" w14:textId="38FCC61B" w:rsidR="00A2798A" w:rsidRPr="00B907A3" w:rsidRDefault="00864ABA" w:rsidP="008C4E07">
      <w:pPr>
        <w:shd w:val="clear" w:color="auto" w:fill="E2EFD9" w:themeFill="accent6" w:themeFillTint="33"/>
        <w:spacing w:after="0"/>
        <w:ind w:firstLine="284"/>
        <w:rPr>
          <w:rFonts w:ascii="Garamond" w:hAnsi="Garamond"/>
          <w:sz w:val="24"/>
        </w:rPr>
      </w:pPr>
      <w:r w:rsidRPr="00B907A3">
        <w:rPr>
          <w:rFonts w:ascii="Garamond" w:hAnsi="Garamond"/>
          <w:bCs/>
          <w:sz w:val="24"/>
        </w:rPr>
        <w:t xml:space="preserve">- </w:t>
      </w:r>
      <w:r w:rsidR="007A7368" w:rsidRPr="00B907A3">
        <w:rPr>
          <w:rFonts w:ascii="Garamond" w:hAnsi="Garamond"/>
          <w:b/>
          <w:bCs/>
          <w:sz w:val="24"/>
        </w:rPr>
        <w:t>Faza 2 (2024–202</w:t>
      </w:r>
      <w:r w:rsidR="00CB1951" w:rsidRPr="00B907A3">
        <w:rPr>
          <w:rFonts w:ascii="Garamond" w:hAnsi="Garamond"/>
          <w:b/>
          <w:bCs/>
          <w:sz w:val="24"/>
        </w:rPr>
        <w:t>6</w:t>
      </w:r>
      <w:r w:rsidR="007A7368" w:rsidRPr="00B907A3">
        <w:rPr>
          <w:rFonts w:ascii="Garamond" w:hAnsi="Garamond"/>
          <w:b/>
          <w:bCs/>
          <w:sz w:val="24"/>
        </w:rPr>
        <w:t>): Faza e Përgatitjes së Strategjisë.</w:t>
      </w:r>
    </w:p>
    <w:p w14:paraId="74A2AFCF" w14:textId="4B51A3CD" w:rsidR="00A2798A" w:rsidRPr="00B907A3" w:rsidRDefault="007A7368" w:rsidP="008C4E07">
      <w:pPr>
        <w:spacing w:after="0"/>
        <w:ind w:firstLine="284"/>
        <w:rPr>
          <w:rFonts w:ascii="Garamond" w:hAnsi="Garamond"/>
          <w:sz w:val="24"/>
        </w:rPr>
      </w:pPr>
      <w:r w:rsidRPr="00B907A3">
        <w:rPr>
          <w:rFonts w:ascii="Garamond" w:hAnsi="Garamond"/>
          <w:sz w:val="24"/>
        </w:rPr>
        <w:t xml:space="preserve">Gjatë kësaj faze u zhvillua metodologjia gjithëpërfshirëse për Strategjinë, e shoqëruar me përfundimin e punës teknike përgatitore kyçe dhe hartimin e dokumentit të </w:t>
      </w:r>
      <w:r w:rsidR="0002613F" w:rsidRPr="00B907A3">
        <w:rPr>
          <w:rFonts w:ascii="Garamond" w:hAnsi="Garamond"/>
          <w:sz w:val="24"/>
        </w:rPr>
        <w:t xml:space="preserve">kuadrit </w:t>
      </w:r>
      <w:r w:rsidRPr="00B907A3">
        <w:rPr>
          <w:rFonts w:ascii="Garamond" w:hAnsi="Garamond"/>
          <w:sz w:val="24"/>
        </w:rPr>
        <w:t xml:space="preserve">strategjik. Kjo fazë shënon krijimin zyrtar të gjeneratës së dytë të një Strategjie afatgjatë për Sigurinë Rrugore të Shqipërisë me </w:t>
      </w:r>
      <w:r w:rsidR="007951BD">
        <w:rPr>
          <w:rFonts w:ascii="Garamond" w:hAnsi="Garamond"/>
          <w:sz w:val="24"/>
        </w:rPr>
        <w:t>“</w:t>
      </w:r>
      <w:r w:rsidRPr="00B907A3">
        <w:rPr>
          <w:rFonts w:ascii="Garamond" w:hAnsi="Garamond"/>
          <w:sz w:val="24"/>
        </w:rPr>
        <w:t>Vizionin Zero</w:t>
      </w:r>
      <w:r w:rsidR="007951BD">
        <w:rPr>
          <w:rFonts w:ascii="Garamond" w:hAnsi="Garamond"/>
          <w:sz w:val="24"/>
        </w:rPr>
        <w:t>”</w:t>
      </w:r>
      <w:r w:rsidRPr="00B907A3">
        <w:rPr>
          <w:rFonts w:ascii="Garamond" w:hAnsi="Garamond"/>
          <w:sz w:val="24"/>
        </w:rPr>
        <w:t xml:space="preserve"> si parim udhëzues</w:t>
      </w:r>
      <w:r w:rsidR="00A2798A" w:rsidRPr="00B907A3">
        <w:rPr>
          <w:rFonts w:ascii="Garamond" w:hAnsi="Garamond"/>
          <w:sz w:val="24"/>
        </w:rPr>
        <w:t>.</w:t>
      </w:r>
    </w:p>
    <w:p w14:paraId="203F9721" w14:textId="5448D7EB" w:rsidR="00A2798A" w:rsidRPr="00B907A3" w:rsidRDefault="00864ABA" w:rsidP="008C4E07">
      <w:pPr>
        <w:shd w:val="clear" w:color="auto" w:fill="E2EFD9" w:themeFill="accent6" w:themeFillTint="33"/>
        <w:spacing w:after="0"/>
        <w:ind w:firstLine="284"/>
        <w:rPr>
          <w:rFonts w:ascii="Garamond" w:hAnsi="Garamond"/>
          <w:sz w:val="24"/>
        </w:rPr>
      </w:pPr>
      <w:r w:rsidRPr="00B907A3">
        <w:rPr>
          <w:rFonts w:ascii="Garamond" w:hAnsi="Garamond"/>
          <w:bCs/>
          <w:sz w:val="24"/>
        </w:rPr>
        <w:t xml:space="preserve">- </w:t>
      </w:r>
      <w:r w:rsidR="007A7368" w:rsidRPr="00B907A3">
        <w:rPr>
          <w:rFonts w:ascii="Garamond" w:hAnsi="Garamond"/>
          <w:b/>
          <w:bCs/>
          <w:sz w:val="24"/>
        </w:rPr>
        <w:t>Faza 3 (202</w:t>
      </w:r>
      <w:r w:rsidR="00CB1951" w:rsidRPr="00B907A3">
        <w:rPr>
          <w:rFonts w:ascii="Garamond" w:hAnsi="Garamond"/>
          <w:b/>
          <w:bCs/>
          <w:sz w:val="24"/>
        </w:rPr>
        <w:t>7</w:t>
      </w:r>
      <w:r w:rsidR="007A7368" w:rsidRPr="00B907A3">
        <w:rPr>
          <w:rFonts w:ascii="Garamond" w:hAnsi="Garamond"/>
          <w:b/>
          <w:bCs/>
          <w:sz w:val="24"/>
        </w:rPr>
        <w:t>–202</w:t>
      </w:r>
      <w:r w:rsidR="00CB1951" w:rsidRPr="00B907A3">
        <w:rPr>
          <w:rFonts w:ascii="Garamond" w:hAnsi="Garamond"/>
          <w:b/>
          <w:bCs/>
          <w:sz w:val="24"/>
        </w:rPr>
        <w:t>9</w:t>
      </w:r>
      <w:r w:rsidR="007A7368" w:rsidRPr="00B907A3">
        <w:rPr>
          <w:rFonts w:ascii="Garamond" w:hAnsi="Garamond"/>
          <w:b/>
          <w:bCs/>
          <w:sz w:val="24"/>
        </w:rPr>
        <w:t xml:space="preserve">): Zbatimi i Planit të </w:t>
      </w:r>
      <w:r w:rsidR="0002613F" w:rsidRPr="00B907A3">
        <w:rPr>
          <w:rFonts w:ascii="Garamond" w:hAnsi="Garamond"/>
          <w:b/>
          <w:bCs/>
          <w:sz w:val="24"/>
        </w:rPr>
        <w:t>parë t</w:t>
      </w:r>
      <w:r w:rsidR="007A7368" w:rsidRPr="00B907A3">
        <w:rPr>
          <w:rFonts w:ascii="Garamond" w:hAnsi="Garamond"/>
          <w:b/>
          <w:bCs/>
          <w:sz w:val="24"/>
        </w:rPr>
        <w:t>revjeçar të Veprimit.</w:t>
      </w:r>
    </w:p>
    <w:p w14:paraId="42959B70" w14:textId="2BE17CCC" w:rsidR="00A2798A" w:rsidRPr="00B907A3" w:rsidRDefault="007A7368" w:rsidP="008C4E07">
      <w:pPr>
        <w:spacing w:after="0"/>
        <w:ind w:firstLine="284"/>
        <w:rPr>
          <w:rFonts w:ascii="Garamond" w:hAnsi="Garamond"/>
          <w:sz w:val="24"/>
        </w:rPr>
      </w:pPr>
      <w:r w:rsidRPr="00B907A3">
        <w:rPr>
          <w:rFonts w:ascii="Garamond" w:hAnsi="Garamond"/>
          <w:sz w:val="24"/>
        </w:rPr>
        <w:t xml:space="preserve">Kjo fazë do të përqendrohet në ekzekutimin e një Plani Veprimi të synuar dhe të orientuar drejt rezultateve, në përputhje me Qasjen e Sistemit të Sigurt dhe </w:t>
      </w:r>
      <w:r w:rsidR="007951BD">
        <w:rPr>
          <w:rFonts w:ascii="Garamond" w:hAnsi="Garamond"/>
          <w:sz w:val="24"/>
        </w:rPr>
        <w:t>“</w:t>
      </w:r>
      <w:r w:rsidRPr="00B907A3">
        <w:rPr>
          <w:rFonts w:ascii="Garamond" w:hAnsi="Garamond"/>
          <w:sz w:val="24"/>
        </w:rPr>
        <w:t>Vizionin Zero</w:t>
      </w:r>
      <w:r w:rsidR="007951BD">
        <w:rPr>
          <w:rFonts w:ascii="Garamond" w:hAnsi="Garamond"/>
          <w:sz w:val="24"/>
        </w:rPr>
        <w:t>”</w:t>
      </w:r>
      <w:r w:rsidRPr="00B907A3">
        <w:rPr>
          <w:rFonts w:ascii="Garamond" w:hAnsi="Garamond"/>
          <w:sz w:val="24"/>
        </w:rPr>
        <w:t>. Do të përfshijë ndërhyrje me ndikim të lartë të hartuara për të ulur ndjeshëm vdekjet në aksidentet rrugore dhe lëndimet serioze, në përputhje me objektivat kombëtar</w:t>
      </w:r>
      <w:r w:rsidR="00D121E9">
        <w:rPr>
          <w:rFonts w:ascii="Garamond" w:hAnsi="Garamond"/>
          <w:sz w:val="24"/>
        </w:rPr>
        <w:t>ë</w:t>
      </w:r>
      <w:r w:rsidRPr="00B907A3">
        <w:rPr>
          <w:rFonts w:ascii="Garamond" w:hAnsi="Garamond"/>
          <w:sz w:val="24"/>
        </w:rPr>
        <w:t xml:space="preserve"> të performancës</w:t>
      </w:r>
      <w:r w:rsidR="00A2798A" w:rsidRPr="00B907A3">
        <w:rPr>
          <w:rFonts w:ascii="Garamond" w:hAnsi="Garamond"/>
          <w:sz w:val="24"/>
        </w:rPr>
        <w:t>.</w:t>
      </w:r>
    </w:p>
    <w:p w14:paraId="0078F859" w14:textId="57922E45" w:rsidR="00A2798A" w:rsidRPr="00B907A3" w:rsidRDefault="00D51215" w:rsidP="008C4E07">
      <w:pPr>
        <w:shd w:val="clear" w:color="auto" w:fill="E2EFD9" w:themeFill="accent6" w:themeFillTint="33"/>
        <w:spacing w:after="0"/>
        <w:ind w:firstLine="284"/>
        <w:rPr>
          <w:rFonts w:ascii="Garamond" w:hAnsi="Garamond"/>
          <w:sz w:val="24"/>
        </w:rPr>
      </w:pPr>
      <w:r w:rsidRPr="00B907A3">
        <w:rPr>
          <w:rFonts w:ascii="Garamond" w:hAnsi="Garamond"/>
          <w:bCs/>
          <w:sz w:val="24"/>
        </w:rPr>
        <w:t xml:space="preserve">- </w:t>
      </w:r>
      <w:r w:rsidR="007A7368" w:rsidRPr="00B907A3">
        <w:rPr>
          <w:rFonts w:ascii="Garamond" w:hAnsi="Garamond"/>
          <w:b/>
          <w:bCs/>
          <w:sz w:val="24"/>
        </w:rPr>
        <w:t xml:space="preserve">Faza 4 (2029–2030): Zbatimi i Planit të </w:t>
      </w:r>
      <w:r w:rsidR="0002613F" w:rsidRPr="00B907A3">
        <w:rPr>
          <w:rFonts w:ascii="Garamond" w:hAnsi="Garamond"/>
          <w:b/>
          <w:bCs/>
          <w:sz w:val="24"/>
        </w:rPr>
        <w:t xml:space="preserve">dytë dyvjeçar </w:t>
      </w:r>
      <w:r w:rsidR="007A7368" w:rsidRPr="00B907A3">
        <w:rPr>
          <w:rFonts w:ascii="Garamond" w:hAnsi="Garamond"/>
          <w:b/>
          <w:bCs/>
          <w:sz w:val="24"/>
        </w:rPr>
        <w:t>të Veprimit.</w:t>
      </w:r>
    </w:p>
    <w:p w14:paraId="3BDC2DF2" w14:textId="0AB0593B" w:rsidR="00A2798A" w:rsidRPr="00B907A3" w:rsidRDefault="007A7368" w:rsidP="005C1DD9">
      <w:pPr>
        <w:spacing w:after="0"/>
        <w:ind w:firstLine="284"/>
        <w:rPr>
          <w:rFonts w:ascii="Garamond" w:hAnsi="Garamond"/>
          <w:sz w:val="24"/>
        </w:rPr>
      </w:pPr>
      <w:r w:rsidRPr="00B907A3">
        <w:rPr>
          <w:rFonts w:ascii="Garamond" w:hAnsi="Garamond"/>
          <w:sz w:val="24"/>
        </w:rPr>
        <w:t>Faza përfundimtare do të ndërtohet mbi rezultatet dhe mësimet e nxjerra nga Faza 3, mbi ekzekutimin e një Plani Veprimi të synuar dhe të orientuar drejt rezultateve, duke rafinuar dhe zgjeruar zbatimin e masave bazuar në prioritetet e azhurnuara, gjetjet e vlerësimit dhe praktikat më të mira ndërkombëtare</w:t>
      </w:r>
      <w:r w:rsidR="00A2798A" w:rsidRPr="00B907A3">
        <w:rPr>
          <w:rFonts w:ascii="Garamond" w:hAnsi="Garamond"/>
          <w:sz w:val="24"/>
        </w:rPr>
        <w:t>.</w:t>
      </w:r>
    </w:p>
    <w:p w14:paraId="3C3F250E" w14:textId="7D49A70D" w:rsidR="009141BA" w:rsidRPr="00B907A3" w:rsidRDefault="007A7368" w:rsidP="005C1DD9">
      <w:pPr>
        <w:spacing w:after="0"/>
        <w:ind w:firstLine="284"/>
        <w:rPr>
          <w:rFonts w:ascii="Garamond" w:eastAsia="Calibri" w:hAnsi="Garamond"/>
          <w:spacing w:val="-2"/>
          <w:w w:val="105"/>
          <w:sz w:val="24"/>
          <w:lang w:eastAsia="en-US"/>
        </w:rPr>
      </w:pPr>
      <w:r w:rsidRPr="00B907A3">
        <w:rPr>
          <w:rFonts w:ascii="Garamond" w:hAnsi="Garamond"/>
          <w:sz w:val="24"/>
        </w:rPr>
        <w:t>Këto dy Plane Veprimi do të bazohen në vlerësimin sistematik të progresit drejt arritjes së qëllimit të përgjithshëm dhe Treguesve Kryesorë të Performancës (</w:t>
      </w:r>
      <w:r w:rsidR="004D5CCD" w:rsidRPr="00B907A3">
        <w:rPr>
          <w:rFonts w:ascii="Garamond" w:hAnsi="Garamond"/>
          <w:sz w:val="24"/>
        </w:rPr>
        <w:t>TKP</w:t>
      </w:r>
      <w:r w:rsidRPr="00B907A3">
        <w:rPr>
          <w:rFonts w:ascii="Garamond" w:hAnsi="Garamond"/>
          <w:sz w:val="24"/>
        </w:rPr>
        <w:t>), si dhe në shqyrtimin e zhvillimeve kombëtare dhe kontekstit evropian në zhvillim të sigurisë rrugore. Çdo Plan Veprimi do të përbëhet nga një kombinim i veprimeve prioritare me ndikim të lartë dhe masave plotësuese mbështetëse, që synojnë të sigurojnë një ulje të koordinuar dhe të qëndrueshme të vdekjeve në aksidentet rrugore dhe lëndimeve serioze gjatë periudhës së zbatimit të Strategjisë</w:t>
      </w:r>
      <w:r w:rsidR="00A2798A" w:rsidRPr="00B907A3">
        <w:rPr>
          <w:rFonts w:ascii="Garamond" w:hAnsi="Garamond"/>
          <w:sz w:val="24"/>
        </w:rPr>
        <w:t>.</w:t>
      </w:r>
      <w:r w:rsidR="009141BA" w:rsidRPr="00B907A3">
        <w:rPr>
          <w:rFonts w:ascii="Garamond" w:eastAsia="Calibri" w:hAnsi="Garamond"/>
          <w:spacing w:val="-2"/>
          <w:w w:val="105"/>
          <w:sz w:val="24"/>
          <w:lang w:eastAsia="en-US"/>
        </w:rPr>
        <w:t xml:space="preserve"> </w:t>
      </w:r>
    </w:p>
    <w:p w14:paraId="7F49B84F" w14:textId="6C4555AA" w:rsidR="00E077CD" w:rsidRPr="00B907A3" w:rsidRDefault="00D51215" w:rsidP="005C1DD9">
      <w:pPr>
        <w:pStyle w:val="Heading3"/>
        <w:numPr>
          <w:ilvl w:val="0"/>
          <w:numId w:val="0"/>
        </w:numPr>
        <w:spacing w:before="0" w:after="0" w:line="240" w:lineRule="auto"/>
        <w:ind w:firstLine="284"/>
        <w:rPr>
          <w:rFonts w:ascii="Garamond" w:hAnsi="Garamond"/>
          <w:color w:val="auto"/>
          <w:lang w:val="sq-AL"/>
        </w:rPr>
      </w:pPr>
      <w:bookmarkStart w:id="123" w:name="_Toc208840572"/>
      <w:r w:rsidRPr="00B907A3">
        <w:rPr>
          <w:rFonts w:ascii="Garamond" w:hAnsi="Garamond"/>
          <w:color w:val="auto"/>
          <w:lang w:val="sq-AL"/>
        </w:rPr>
        <w:t xml:space="preserve">4.2.2 </w:t>
      </w:r>
      <w:r w:rsidR="007A7368" w:rsidRPr="00B907A3">
        <w:rPr>
          <w:rFonts w:ascii="Garamond" w:hAnsi="Garamond"/>
          <w:color w:val="auto"/>
          <w:lang w:val="sq-AL"/>
        </w:rPr>
        <w:t>Skenarët e Sigurisë Rrugore</w:t>
      </w:r>
      <w:bookmarkEnd w:id="123"/>
    </w:p>
    <w:p w14:paraId="16CECF36" w14:textId="58465537" w:rsidR="002C38E5" w:rsidRPr="00B907A3" w:rsidRDefault="007A7368" w:rsidP="005C1DD9">
      <w:pPr>
        <w:pStyle w:val="NormalWeb"/>
        <w:spacing w:line="240" w:lineRule="auto"/>
        <w:ind w:firstLine="284"/>
        <w:jc w:val="both"/>
        <w:rPr>
          <w:rFonts w:ascii="Garamond" w:hAnsi="Garamond"/>
          <w:sz w:val="24"/>
          <w:lang w:val="sq-AL"/>
        </w:rPr>
      </w:pPr>
      <w:r w:rsidRPr="00B907A3">
        <w:rPr>
          <w:rFonts w:ascii="Garamond" w:hAnsi="Garamond"/>
          <w:sz w:val="24"/>
          <w:lang w:val="sq-AL"/>
        </w:rPr>
        <w:t>Bazuar në zbatimin e objektivave të Strategjisë së zbatueshme së fundmi, së bashku me monitorimin e të dhënave statistikore dhe njohuritë mbi trendet aktuale dhe efektive të sigurisë rrugore, mund të parashikohen skenarët e mëposhtëm (</w:t>
      </w:r>
      <w:r w:rsidR="005C1DD9">
        <w:rPr>
          <w:rFonts w:ascii="Garamond" w:hAnsi="Garamond"/>
          <w:sz w:val="24"/>
          <w:lang w:val="sq-AL"/>
        </w:rPr>
        <w:t>f</w:t>
      </w:r>
      <w:r w:rsidRPr="00B907A3">
        <w:rPr>
          <w:rFonts w:ascii="Garamond" w:hAnsi="Garamond"/>
          <w:sz w:val="24"/>
          <w:lang w:val="sq-AL"/>
        </w:rPr>
        <w:t>igura 4-4</w:t>
      </w:r>
      <w:r w:rsidR="002C38E5" w:rsidRPr="00B907A3">
        <w:rPr>
          <w:rFonts w:ascii="Garamond" w:hAnsi="Garamond"/>
          <w:sz w:val="24"/>
          <w:lang w:val="sq-AL"/>
        </w:rPr>
        <w:t>).</w:t>
      </w:r>
    </w:p>
    <w:p w14:paraId="40211C29" w14:textId="3AF45D82" w:rsidR="002C38E5" w:rsidRPr="00B907A3" w:rsidRDefault="00D51215" w:rsidP="005C1DD9">
      <w:pPr>
        <w:pStyle w:val="NormalWeb"/>
        <w:spacing w:line="240" w:lineRule="auto"/>
        <w:ind w:firstLine="284"/>
        <w:jc w:val="both"/>
        <w:rPr>
          <w:rFonts w:ascii="Garamond" w:hAnsi="Garamond"/>
          <w:sz w:val="24"/>
          <w:lang w:val="sq-AL" w:eastAsia="sl-SI"/>
        </w:rPr>
      </w:pPr>
      <w:r w:rsidRPr="00B907A3">
        <w:rPr>
          <w:rFonts w:ascii="Garamond" w:hAnsi="Garamond"/>
          <w:bCs/>
          <w:sz w:val="24"/>
          <w:lang w:val="sq-AL"/>
        </w:rPr>
        <w:t xml:space="preserve">- </w:t>
      </w:r>
      <w:r w:rsidR="007A7368" w:rsidRPr="00B907A3">
        <w:rPr>
          <w:rFonts w:ascii="Garamond" w:hAnsi="Garamond"/>
          <w:b/>
          <w:sz w:val="24"/>
          <w:lang w:val="sq-AL" w:eastAsia="sl-SI"/>
        </w:rPr>
        <w:t>Skenari 1: Asnjë aktivitet shtesë me trend të ngjashëm krahasuar me periudhën e mëparshme</w:t>
      </w:r>
    </w:p>
    <w:p w14:paraId="15C0D2DE" w14:textId="4AB39628" w:rsidR="002523C7" w:rsidRPr="00B907A3" w:rsidRDefault="007A7368"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lastRenderedPageBreak/>
        <w:t xml:space="preserve">Aktivitetet e të </w:t>
      </w:r>
      <w:r w:rsidR="002523C7" w:rsidRPr="00B907A3">
        <w:rPr>
          <w:rFonts w:ascii="Garamond" w:hAnsi="Garamond"/>
          <w:sz w:val="24"/>
          <w:lang w:val="sq-AL" w:eastAsia="sl-SI"/>
        </w:rPr>
        <w:t xml:space="preserve">gjitha </w:t>
      </w:r>
      <w:r w:rsidRPr="00B907A3">
        <w:rPr>
          <w:rFonts w:ascii="Garamond" w:hAnsi="Garamond"/>
          <w:sz w:val="24"/>
          <w:lang w:val="sq-AL" w:eastAsia="sl-SI"/>
        </w:rPr>
        <w:t>palëve të interes</w:t>
      </w:r>
      <w:r w:rsidR="002523C7" w:rsidRPr="00B907A3">
        <w:rPr>
          <w:rFonts w:ascii="Garamond" w:hAnsi="Garamond"/>
          <w:sz w:val="24"/>
          <w:lang w:val="sq-AL" w:eastAsia="sl-SI"/>
        </w:rPr>
        <w:t xml:space="preserve">it </w:t>
      </w:r>
      <w:r w:rsidRPr="00B907A3">
        <w:rPr>
          <w:rFonts w:ascii="Garamond" w:hAnsi="Garamond"/>
          <w:sz w:val="24"/>
          <w:lang w:val="sq-AL" w:eastAsia="sl-SI"/>
        </w:rPr>
        <w:t xml:space="preserve">do të mbeten në nivelin e periudhës së mëparshme, siç është hartuar në Strategjinë e mëparshme. Aktivitetet dhe fushëveprimi i tyre do të ulen për shkak të mungesës së burimeve, dhe kursimet e rritura në të gjitha fushat do të ulen pak. Në këtë skenar, mund të ketë edhe periudha të rritjes së ndjeshme të numrit të vdekjeve, pasi shoqërohet me rritje të investimeve në motorizim dhe infrastrukturë. Ky skenar bazohet në një ulje graduale të numrit të vdekjeve me 5 për çdo vit. Kjo do të thotë që numri i personave </w:t>
      </w:r>
      <w:r w:rsidR="002523C7" w:rsidRPr="00B907A3">
        <w:rPr>
          <w:rFonts w:ascii="Garamond" w:hAnsi="Garamond"/>
          <w:sz w:val="24"/>
          <w:lang w:val="sq-AL" w:eastAsia="sl-SI"/>
        </w:rPr>
        <w:t>q</w:t>
      </w:r>
      <w:r w:rsidRPr="00B907A3">
        <w:rPr>
          <w:rFonts w:ascii="Garamond" w:hAnsi="Garamond"/>
          <w:sz w:val="24"/>
          <w:lang w:val="sq-AL" w:eastAsia="sl-SI"/>
        </w:rPr>
        <w:t>ë</w:t>
      </w:r>
      <w:r w:rsidR="002523C7" w:rsidRPr="00B907A3">
        <w:rPr>
          <w:rFonts w:ascii="Garamond" w:hAnsi="Garamond"/>
          <w:sz w:val="24"/>
          <w:lang w:val="sq-AL" w:eastAsia="sl-SI"/>
        </w:rPr>
        <w:t xml:space="preserve"> humbin jet</w:t>
      </w:r>
      <w:r w:rsidR="002523C7" w:rsidRPr="00B907A3">
        <w:rPr>
          <w:rFonts w:ascii="Garamond" w:hAnsi="Garamond"/>
          <w:sz w:val="24"/>
          <w:lang w:val="sq-AL"/>
        </w:rPr>
        <w:t xml:space="preserve">ën </w:t>
      </w:r>
      <w:r w:rsidRPr="00B907A3">
        <w:rPr>
          <w:rFonts w:ascii="Garamond" w:hAnsi="Garamond"/>
          <w:sz w:val="24"/>
          <w:lang w:val="sq-AL" w:eastAsia="sl-SI"/>
        </w:rPr>
        <w:t xml:space="preserve">në rrugët e Shqipërisë do të bjerë me 26% midis viteve 2021 dhe 2030. Në vitin 2030, 145 përdorues të rrugës do të </w:t>
      </w:r>
      <w:r w:rsidR="002523C7" w:rsidRPr="00B907A3">
        <w:rPr>
          <w:rFonts w:ascii="Garamond" w:hAnsi="Garamond"/>
          <w:sz w:val="24"/>
          <w:lang w:val="sq-AL" w:eastAsia="sl-SI"/>
        </w:rPr>
        <w:t>humbin jet</w:t>
      </w:r>
      <w:r w:rsidR="002523C7" w:rsidRPr="00B907A3">
        <w:rPr>
          <w:rFonts w:ascii="Garamond" w:hAnsi="Garamond"/>
          <w:sz w:val="24"/>
          <w:lang w:val="sq-AL"/>
        </w:rPr>
        <w:t xml:space="preserve">ën </w:t>
      </w:r>
      <w:r w:rsidRPr="00B907A3">
        <w:rPr>
          <w:rFonts w:ascii="Garamond" w:hAnsi="Garamond"/>
          <w:sz w:val="24"/>
          <w:lang w:val="sq-AL" w:eastAsia="sl-SI"/>
        </w:rPr>
        <w:t xml:space="preserve">në këtë skenar, që korrespondon me 53 </w:t>
      </w:r>
      <w:r w:rsidR="00FE1B31" w:rsidRPr="00B907A3">
        <w:rPr>
          <w:rFonts w:ascii="Garamond" w:hAnsi="Garamond"/>
          <w:sz w:val="24"/>
          <w:lang w:val="sq-AL" w:eastAsia="sl-SI"/>
        </w:rPr>
        <w:t>fatalitete</w:t>
      </w:r>
      <w:r w:rsidRPr="00B907A3">
        <w:rPr>
          <w:rFonts w:ascii="Garamond" w:hAnsi="Garamond"/>
          <w:sz w:val="24"/>
          <w:lang w:val="sq-AL" w:eastAsia="sl-SI"/>
        </w:rPr>
        <w:t xml:space="preserve"> për 1 milion banorë</w:t>
      </w:r>
      <w:r w:rsidR="00437990" w:rsidRPr="00B907A3">
        <w:rPr>
          <w:rFonts w:ascii="Garamond" w:hAnsi="Garamond"/>
          <w:sz w:val="24"/>
          <w:lang w:val="sq-AL" w:eastAsia="sl-SI"/>
        </w:rPr>
        <w:t>.</w:t>
      </w:r>
    </w:p>
    <w:p w14:paraId="3C1BCC55" w14:textId="4BB41CB7" w:rsidR="002C38E5" w:rsidRPr="00B907A3" w:rsidRDefault="00D51215" w:rsidP="008C4E07">
      <w:pPr>
        <w:pStyle w:val="NormalWeb"/>
        <w:spacing w:line="240" w:lineRule="auto"/>
        <w:ind w:firstLine="284"/>
        <w:rPr>
          <w:rFonts w:ascii="Garamond" w:hAnsi="Garamond"/>
          <w:b/>
          <w:sz w:val="24"/>
          <w:lang w:val="sq-AL" w:eastAsia="sl-SI"/>
        </w:rPr>
      </w:pPr>
      <w:r w:rsidRPr="00B907A3">
        <w:rPr>
          <w:rFonts w:ascii="Garamond" w:hAnsi="Garamond"/>
          <w:bCs/>
          <w:sz w:val="24"/>
          <w:lang w:val="sq-AL"/>
        </w:rPr>
        <w:t xml:space="preserve">- </w:t>
      </w:r>
      <w:r w:rsidR="001B4D65" w:rsidRPr="00B907A3">
        <w:rPr>
          <w:rFonts w:ascii="Garamond" w:hAnsi="Garamond"/>
          <w:b/>
          <w:sz w:val="24"/>
          <w:lang w:val="sq-AL" w:eastAsia="sl-SI"/>
        </w:rPr>
        <w:t>Skenari 2: Kryerja e disa aktiviteteve shtesë (skenari i ndërmjetëm</w:t>
      </w:r>
      <w:r w:rsidR="001D4545" w:rsidRPr="00B907A3">
        <w:rPr>
          <w:rFonts w:ascii="Garamond" w:hAnsi="Garamond"/>
          <w:b/>
          <w:sz w:val="24"/>
          <w:lang w:val="sq-AL" w:eastAsia="sl-SI"/>
        </w:rPr>
        <w:t>)</w:t>
      </w:r>
    </w:p>
    <w:p w14:paraId="1C15E42C" w14:textId="296E7D11" w:rsidR="001D4545" w:rsidRPr="00B907A3" w:rsidRDefault="001B4D65"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Në këtë skenar, palët e interes</w:t>
      </w:r>
      <w:r w:rsidR="002523C7" w:rsidRPr="00B907A3">
        <w:rPr>
          <w:rFonts w:ascii="Garamond" w:hAnsi="Garamond"/>
          <w:sz w:val="24"/>
          <w:lang w:val="sq-AL" w:eastAsia="sl-SI"/>
        </w:rPr>
        <w:t>it</w:t>
      </w:r>
      <w:r w:rsidR="00B76223" w:rsidRPr="00B907A3">
        <w:rPr>
          <w:rFonts w:ascii="Garamond" w:hAnsi="Garamond"/>
          <w:sz w:val="24"/>
          <w:lang w:val="sq-AL" w:eastAsia="sl-SI"/>
        </w:rPr>
        <w:t xml:space="preserve"> </w:t>
      </w:r>
      <w:r w:rsidRPr="00B907A3">
        <w:rPr>
          <w:rFonts w:ascii="Garamond" w:hAnsi="Garamond"/>
          <w:sz w:val="24"/>
          <w:lang w:val="sq-AL" w:eastAsia="sl-SI"/>
        </w:rPr>
        <w:t>do të vazhdojnë aktivitetet e tyre aktuale, ndërkohë që zbatojnë veprime ekzistuese dhe të reja, më të përditësuara, duke iu përgjigjur shpejt mangësive të identifikuara dhe, mbi të gjitha, duke vepruar në një mënyrë më proaktive, të koordinuar dhe të synuar për të zvogëluar numrin e vdekjeve në aksidente rrugore. Ky skenar mund të ndodhë edhe nëse ka vonesë në zbatimin e masave të planifikuara (masat zbatohen më vonë se sa është planifikuar në Planet përkatëse të Veprimit</w:t>
      </w:r>
      <w:r w:rsidR="001D4545" w:rsidRPr="00B907A3">
        <w:rPr>
          <w:rFonts w:ascii="Garamond" w:hAnsi="Garamond"/>
          <w:sz w:val="24"/>
          <w:lang w:val="sq-AL" w:eastAsia="sl-SI"/>
        </w:rPr>
        <w:t>).</w:t>
      </w:r>
    </w:p>
    <w:p w14:paraId="087E0098" w14:textId="3E3B93CB" w:rsidR="003D1320" w:rsidRPr="00B907A3" w:rsidRDefault="001B4D65" w:rsidP="008C4E07">
      <w:pPr>
        <w:pStyle w:val="NormalWeb"/>
        <w:spacing w:line="240" w:lineRule="auto"/>
        <w:ind w:firstLine="284"/>
        <w:jc w:val="both"/>
        <w:rPr>
          <w:rFonts w:ascii="Garamond" w:hAnsi="Garamond"/>
          <w:sz w:val="24"/>
          <w:lang w:val="sq-AL" w:eastAsia="sl-SI"/>
        </w:rPr>
      </w:pPr>
      <w:r w:rsidRPr="00B907A3">
        <w:rPr>
          <w:rFonts w:ascii="Garamond" w:hAnsi="Garamond"/>
          <w:sz w:val="24"/>
          <w:lang w:val="sq-AL" w:eastAsia="sl-SI"/>
        </w:rPr>
        <w:t>Kështu, Shqipëria do të ndjekë trendin mesatar të BE-së të dekadës së kaluar në uljen e numrit të vdekjeve në rrugët evropiane. Në këtë rast, në periudhën 2021</w:t>
      </w:r>
      <w:r w:rsidR="005C1DD9">
        <w:rPr>
          <w:rFonts w:ascii="Garamond" w:hAnsi="Garamond"/>
          <w:sz w:val="24"/>
        </w:rPr>
        <w:t>–</w:t>
      </w:r>
      <w:r w:rsidRPr="00B907A3">
        <w:rPr>
          <w:rFonts w:ascii="Garamond" w:hAnsi="Garamond"/>
          <w:sz w:val="24"/>
          <w:lang w:val="sq-AL" w:eastAsia="sl-SI"/>
        </w:rPr>
        <w:t xml:space="preserve">2030, numri i vdekjeve në rrugët shqiptare do të ulet me 36%. Në vitin 2030, 125 përdorues të rrugës do </w:t>
      </w:r>
      <w:r w:rsidR="00D77DCE" w:rsidRPr="00B907A3">
        <w:rPr>
          <w:rFonts w:ascii="Garamond" w:hAnsi="Garamond"/>
          <w:sz w:val="24"/>
          <w:lang w:val="sq-AL" w:eastAsia="sl-SI"/>
        </w:rPr>
        <w:t>regjistrohen</w:t>
      </w:r>
      <w:r w:rsidRPr="00B907A3">
        <w:rPr>
          <w:rFonts w:ascii="Garamond" w:hAnsi="Garamond"/>
          <w:sz w:val="24"/>
          <w:lang w:val="sq-AL" w:eastAsia="sl-SI"/>
        </w:rPr>
        <w:t xml:space="preserve"> në këtë skenar, që korrespondon me 46 </w:t>
      </w:r>
      <w:r w:rsidR="00E52D43" w:rsidRPr="00B907A3">
        <w:rPr>
          <w:rFonts w:ascii="Garamond" w:hAnsi="Garamond"/>
          <w:sz w:val="24"/>
          <w:lang w:val="sq-AL" w:eastAsia="sl-SI"/>
        </w:rPr>
        <w:t>fatalitete</w:t>
      </w:r>
      <w:r w:rsidRPr="00B907A3">
        <w:rPr>
          <w:rFonts w:ascii="Garamond" w:hAnsi="Garamond"/>
          <w:sz w:val="24"/>
          <w:lang w:val="sq-AL" w:eastAsia="sl-SI"/>
        </w:rPr>
        <w:t xml:space="preserve"> për 1 milion banorë</w:t>
      </w:r>
      <w:r w:rsidR="00437990" w:rsidRPr="00B907A3">
        <w:rPr>
          <w:rFonts w:ascii="Garamond" w:hAnsi="Garamond"/>
          <w:sz w:val="24"/>
          <w:lang w:val="sq-AL" w:eastAsia="sl-SI"/>
        </w:rPr>
        <w:t>.</w:t>
      </w:r>
    </w:p>
    <w:p w14:paraId="7AD5F24E" w14:textId="57BE862D" w:rsidR="006201D9" w:rsidRPr="00B907A3" w:rsidRDefault="00D51215" w:rsidP="008C4E07">
      <w:pPr>
        <w:pStyle w:val="NormalWeb"/>
        <w:spacing w:line="240" w:lineRule="auto"/>
        <w:ind w:firstLine="284"/>
        <w:jc w:val="both"/>
        <w:rPr>
          <w:rFonts w:ascii="Garamond" w:hAnsi="Garamond"/>
          <w:b/>
          <w:sz w:val="24"/>
          <w:lang w:val="sq-AL" w:eastAsia="sl-SI"/>
        </w:rPr>
      </w:pPr>
      <w:r w:rsidRPr="00B907A3">
        <w:rPr>
          <w:rFonts w:ascii="Garamond" w:hAnsi="Garamond"/>
          <w:bCs/>
          <w:sz w:val="24"/>
          <w:lang w:val="sq-AL"/>
        </w:rPr>
        <w:t xml:space="preserve">- </w:t>
      </w:r>
      <w:r w:rsidR="00993031" w:rsidRPr="00B907A3">
        <w:rPr>
          <w:rFonts w:ascii="Garamond" w:hAnsi="Garamond"/>
          <w:b/>
          <w:sz w:val="24"/>
          <w:lang w:val="sq-AL" w:eastAsia="sl-SI"/>
        </w:rPr>
        <w:t>Skenari 3: Zbatimi i shumicës së aktiviteteve të parashikuara në Strategji dhe Planin e Veprimit</w:t>
      </w:r>
    </w:p>
    <w:p w14:paraId="33D13B15" w14:textId="432E4331" w:rsidR="007E6792" w:rsidRPr="00B907A3" w:rsidRDefault="00993031" w:rsidP="008C4E07">
      <w:pPr>
        <w:spacing w:after="0"/>
        <w:ind w:firstLine="284"/>
        <w:rPr>
          <w:rFonts w:ascii="Garamond" w:hAnsi="Garamond"/>
          <w:sz w:val="24"/>
          <w:lang w:eastAsia="sl-SI"/>
        </w:rPr>
      </w:pPr>
      <w:r w:rsidRPr="00B907A3">
        <w:rPr>
          <w:rFonts w:ascii="Garamond" w:hAnsi="Garamond"/>
          <w:sz w:val="24"/>
          <w:lang w:eastAsia="sl-SI"/>
        </w:rPr>
        <w:t>Ky skenar përfshin zgjidhje sistemike afatgjata në të gjitha fushat e veprimit nga palët e interes</w:t>
      </w:r>
      <w:r w:rsidR="00D36385" w:rsidRPr="00B907A3">
        <w:rPr>
          <w:rFonts w:ascii="Garamond" w:hAnsi="Garamond"/>
          <w:sz w:val="24"/>
          <w:lang w:eastAsia="sl-SI"/>
        </w:rPr>
        <w:t xml:space="preserve">it </w:t>
      </w:r>
      <w:r w:rsidRPr="00B907A3">
        <w:rPr>
          <w:rFonts w:ascii="Garamond" w:hAnsi="Garamond"/>
          <w:sz w:val="24"/>
          <w:lang w:eastAsia="sl-SI"/>
        </w:rPr>
        <w:t>të sigurisë rrugore, përfshirje në shkallë të gjerë në të pesë shtyllat, e ndjekur nga fushata efikase publike të mbështetura nga media. Një monitorim i shtuar dhe i vazhdueshëm, veprime të menjëhershme në rrugë dhe ndëshkim i menjëhershëm i shkelësve me dënime të rënda do të jenë gjithashtu pjesë e këtij skenari. Përveç kësaj, legjislacioni do të duhet të forcohet, veçanërisht në fushën e dënimeve më të ashpra për ata që janë më të rrezikuar nga aksidente të rënda rrugore, të shoqëruara me zbatimin e ligjit. Do të jetë gjithashtu e nevojshme të kryhen punime thelbësore në infrastrukturë duke ndërtuar lidhje të reja dhe më të sigurta rrugore për të akomoduar trafikun tranzit, duke marrë në konsideratë ndryshimin sezonal të trafikut, dhe të përshpejtohet zbatimi i rregullave të trafikut dhe i gjendjes së automjeteve. Do të merren masa të suksesshme për të përmirësuar sigurinë e grupeve të cenueshme përmes edukimit dhe trajnimit dhe infrastrukturës më të sigurt</w:t>
      </w:r>
      <w:r w:rsidR="006201D9" w:rsidRPr="00B907A3">
        <w:rPr>
          <w:rFonts w:ascii="Garamond" w:hAnsi="Garamond"/>
          <w:sz w:val="24"/>
          <w:lang w:eastAsia="sl-SI"/>
        </w:rPr>
        <w:t xml:space="preserve">. </w:t>
      </w:r>
    </w:p>
    <w:p w14:paraId="7D22FD50" w14:textId="57F1AAAE" w:rsidR="007E6792" w:rsidRPr="00B907A3" w:rsidRDefault="00993031" w:rsidP="008C4E07">
      <w:pPr>
        <w:spacing w:after="0"/>
        <w:ind w:firstLine="284"/>
        <w:rPr>
          <w:rFonts w:ascii="Garamond" w:hAnsi="Garamond"/>
          <w:sz w:val="24"/>
          <w:lang w:eastAsia="sl-SI"/>
        </w:rPr>
      </w:pPr>
      <w:r w:rsidRPr="00B907A3">
        <w:rPr>
          <w:rFonts w:ascii="Garamond" w:hAnsi="Garamond"/>
          <w:b/>
          <w:bCs/>
          <w:sz w:val="24"/>
          <w:lang w:eastAsia="sl-SI"/>
        </w:rPr>
        <w:t xml:space="preserve">Objektivi i përgjysmimit të numrit të </w:t>
      </w:r>
      <w:r w:rsidR="00EC026F" w:rsidRPr="00B907A3">
        <w:rPr>
          <w:rFonts w:ascii="Garamond" w:hAnsi="Garamond"/>
          <w:b/>
          <w:bCs/>
          <w:sz w:val="24"/>
          <w:lang w:eastAsia="sl-SI"/>
        </w:rPr>
        <w:t>fataliteteve</w:t>
      </w:r>
      <w:r w:rsidRPr="00B907A3">
        <w:rPr>
          <w:rFonts w:ascii="Garamond" w:hAnsi="Garamond"/>
          <w:b/>
          <w:bCs/>
          <w:sz w:val="24"/>
          <w:lang w:eastAsia="sl-SI"/>
        </w:rPr>
        <w:t xml:space="preserve"> në aksidente rrugore deri në fund të vitit 2030 është i arritshëm vetëm nëse të gjitha ndryshimet sistemike të përshkruara në </w:t>
      </w:r>
      <w:r w:rsidR="005B413A" w:rsidRPr="00B907A3">
        <w:rPr>
          <w:rFonts w:ascii="Garamond" w:hAnsi="Garamond"/>
          <w:b/>
          <w:bCs/>
          <w:sz w:val="24"/>
          <w:lang w:eastAsia="sl-SI"/>
        </w:rPr>
        <w:t>SS</w:t>
      </w:r>
      <w:r w:rsidR="00D36385" w:rsidRPr="00B907A3">
        <w:rPr>
          <w:rFonts w:ascii="Garamond" w:hAnsi="Garamond"/>
          <w:b/>
          <w:bCs/>
          <w:sz w:val="24"/>
          <w:lang w:eastAsia="sl-SI"/>
        </w:rPr>
        <w:t>R</w:t>
      </w:r>
      <w:r w:rsidR="005B413A" w:rsidRPr="00B907A3">
        <w:rPr>
          <w:rFonts w:ascii="Garamond" w:hAnsi="Garamond"/>
          <w:b/>
          <w:bCs/>
          <w:sz w:val="24"/>
          <w:lang w:eastAsia="sl-SI"/>
        </w:rPr>
        <w:t>R</w:t>
      </w:r>
      <w:r w:rsidRPr="00B907A3">
        <w:rPr>
          <w:rFonts w:ascii="Garamond" w:hAnsi="Garamond"/>
          <w:b/>
          <w:bCs/>
          <w:sz w:val="24"/>
          <w:lang w:eastAsia="sl-SI"/>
        </w:rPr>
        <w:t xml:space="preserve"> dhe </w:t>
      </w:r>
      <w:r w:rsidR="000B1794" w:rsidRPr="00B907A3">
        <w:rPr>
          <w:rFonts w:ascii="Garamond" w:hAnsi="Garamond"/>
          <w:b/>
          <w:bCs/>
          <w:sz w:val="24"/>
          <w:lang w:eastAsia="sl-SI"/>
        </w:rPr>
        <w:t>PVSSRR</w:t>
      </w:r>
      <w:r w:rsidRPr="00B907A3">
        <w:rPr>
          <w:rFonts w:ascii="Garamond" w:hAnsi="Garamond"/>
          <w:b/>
          <w:bCs/>
          <w:sz w:val="24"/>
          <w:lang w:eastAsia="sl-SI"/>
        </w:rPr>
        <w:t xml:space="preserve"> zbatohen në kohë.</w:t>
      </w:r>
      <w:r w:rsidRPr="00B907A3">
        <w:rPr>
          <w:rFonts w:ascii="Garamond" w:hAnsi="Garamond"/>
          <w:sz w:val="24"/>
          <w:lang w:eastAsia="sl-SI"/>
        </w:rPr>
        <w:t xml:space="preserve"> Kjo do të kërkojë bashkëpunim aktiv </w:t>
      </w:r>
      <w:r w:rsidR="00D36385" w:rsidRPr="00B907A3">
        <w:rPr>
          <w:rFonts w:ascii="Garamond" w:hAnsi="Garamond"/>
          <w:sz w:val="24"/>
          <w:lang w:eastAsia="sl-SI"/>
        </w:rPr>
        <w:t xml:space="preserve">si </w:t>
      </w:r>
      <w:r w:rsidRPr="00B907A3">
        <w:rPr>
          <w:rFonts w:ascii="Garamond" w:hAnsi="Garamond"/>
          <w:sz w:val="24"/>
          <w:lang w:eastAsia="sl-SI"/>
        </w:rPr>
        <w:t xml:space="preserve">në nivel kombëtar dhe </w:t>
      </w:r>
      <w:r w:rsidR="00D36385" w:rsidRPr="00B907A3">
        <w:rPr>
          <w:rFonts w:ascii="Garamond" w:hAnsi="Garamond"/>
          <w:sz w:val="24"/>
          <w:lang w:eastAsia="sl-SI"/>
        </w:rPr>
        <w:t>vendor</w:t>
      </w:r>
      <w:r w:rsidRPr="00B907A3">
        <w:rPr>
          <w:rFonts w:ascii="Garamond" w:hAnsi="Garamond"/>
          <w:sz w:val="24"/>
          <w:lang w:eastAsia="sl-SI"/>
        </w:rPr>
        <w:t>, si dhe lidership dhe koordinim të fortë midis të gjithë palëve të interes</w:t>
      </w:r>
      <w:r w:rsidR="00D36385" w:rsidRPr="00B907A3">
        <w:rPr>
          <w:rFonts w:ascii="Garamond" w:hAnsi="Garamond"/>
          <w:sz w:val="24"/>
          <w:lang w:eastAsia="sl-SI"/>
        </w:rPr>
        <w:t xml:space="preserve">it </w:t>
      </w:r>
      <w:r w:rsidRPr="00B907A3">
        <w:rPr>
          <w:rFonts w:ascii="Garamond" w:hAnsi="Garamond"/>
          <w:sz w:val="24"/>
          <w:lang w:eastAsia="sl-SI"/>
        </w:rPr>
        <w:t>dhe aktorëve përkatës. Siguria rrugore do të integrohet në objektiva më të gjer</w:t>
      </w:r>
      <w:r w:rsidR="00D121E9">
        <w:rPr>
          <w:rFonts w:ascii="Garamond" w:hAnsi="Garamond"/>
          <w:sz w:val="24"/>
          <w:lang w:eastAsia="sl-SI"/>
        </w:rPr>
        <w:t>ë</w:t>
      </w:r>
      <w:r w:rsidRPr="00B907A3">
        <w:rPr>
          <w:rFonts w:ascii="Garamond" w:hAnsi="Garamond"/>
          <w:sz w:val="24"/>
          <w:lang w:eastAsia="sl-SI"/>
        </w:rPr>
        <w:t xml:space="preserve"> të qëndrueshmërisë, do të zhvillohen zgjidhje inovative të infrastrukturës dhe përdorimi i transportit publik do të rritet. Parandalimi dhe edukimi për sigurinë rrugore do të forcohen si në nivel kombëtar ashtu edhe në nivel </w:t>
      </w:r>
      <w:r w:rsidR="00FB5830">
        <w:rPr>
          <w:rFonts w:ascii="Garamond" w:hAnsi="Garamond"/>
          <w:sz w:val="24"/>
          <w:lang w:eastAsia="sl-SI"/>
        </w:rPr>
        <w:t>vendor</w:t>
      </w:r>
      <w:r w:rsidRPr="00B907A3">
        <w:rPr>
          <w:rFonts w:ascii="Garamond" w:hAnsi="Garamond"/>
          <w:sz w:val="24"/>
          <w:lang w:eastAsia="sl-SI"/>
        </w:rPr>
        <w:t xml:space="preserve">. Kultura e </w:t>
      </w:r>
      <w:r w:rsidR="005F0C79" w:rsidRPr="00B907A3">
        <w:rPr>
          <w:rFonts w:ascii="Garamond" w:hAnsi="Garamond"/>
          <w:sz w:val="24"/>
          <w:lang w:eastAsia="sl-SI"/>
        </w:rPr>
        <w:t xml:space="preserve">qarkullimit </w:t>
      </w:r>
      <w:r w:rsidRPr="00B907A3">
        <w:rPr>
          <w:rFonts w:ascii="Garamond" w:hAnsi="Garamond"/>
          <w:sz w:val="24"/>
          <w:lang w:eastAsia="sl-SI"/>
        </w:rPr>
        <w:t xml:space="preserve">do të përmirësohet nëpërmjet parandalimit </w:t>
      </w:r>
      <w:r w:rsidR="005F0C79" w:rsidRPr="00B907A3">
        <w:rPr>
          <w:rFonts w:ascii="Garamond" w:hAnsi="Garamond"/>
          <w:sz w:val="24"/>
          <w:lang w:eastAsia="sl-SI"/>
        </w:rPr>
        <w:t xml:space="preserve">e </w:t>
      </w:r>
      <w:r w:rsidRPr="00B907A3">
        <w:rPr>
          <w:rFonts w:ascii="Garamond" w:hAnsi="Garamond"/>
          <w:sz w:val="24"/>
          <w:lang w:eastAsia="sl-SI"/>
        </w:rPr>
        <w:t>edukimit të vazhdueshëm dhe monitorimit aktiv të të gjithë përdoruesve të rrugës</w:t>
      </w:r>
      <w:r w:rsidR="007E6792" w:rsidRPr="00B907A3">
        <w:rPr>
          <w:rFonts w:ascii="Garamond" w:hAnsi="Garamond"/>
          <w:sz w:val="24"/>
          <w:lang w:eastAsia="sl-SI"/>
        </w:rPr>
        <w:t>.</w:t>
      </w:r>
    </w:p>
    <w:p w14:paraId="7AC3F6B6" w14:textId="3D1751E9" w:rsidR="000451D4" w:rsidRPr="00B907A3" w:rsidRDefault="00993031" w:rsidP="005C1DD9">
      <w:pPr>
        <w:spacing w:after="0"/>
        <w:ind w:firstLine="284"/>
        <w:rPr>
          <w:rFonts w:ascii="Garamond" w:hAnsi="Garamond"/>
          <w:sz w:val="24"/>
          <w:lang w:eastAsia="sl-SI"/>
        </w:rPr>
      </w:pPr>
      <w:r w:rsidRPr="00B907A3">
        <w:rPr>
          <w:rFonts w:ascii="Garamond" w:hAnsi="Garamond"/>
          <w:sz w:val="24"/>
          <w:lang w:eastAsia="sl-SI"/>
        </w:rPr>
        <w:t xml:space="preserve">Në këtë mënyrë, Shqipëria do ta ulë numrin e </w:t>
      </w:r>
      <w:r w:rsidR="0033218C" w:rsidRPr="00B907A3">
        <w:rPr>
          <w:rFonts w:ascii="Garamond" w:hAnsi="Garamond"/>
          <w:sz w:val="24"/>
          <w:lang w:eastAsia="sl-SI"/>
        </w:rPr>
        <w:t>fataliteteve</w:t>
      </w:r>
      <w:r w:rsidRPr="00B907A3">
        <w:rPr>
          <w:rFonts w:ascii="Garamond" w:hAnsi="Garamond"/>
          <w:sz w:val="24"/>
          <w:lang w:eastAsia="sl-SI"/>
        </w:rPr>
        <w:t xml:space="preserve"> në aksidente rrugore në 99 deri në vitin 2030 (një ulje prej 50% në periudhën 2021</w:t>
      </w:r>
      <w:r w:rsidR="005C1DD9">
        <w:rPr>
          <w:rFonts w:ascii="Garamond" w:hAnsi="Garamond"/>
          <w:sz w:val="24"/>
        </w:rPr>
        <w:t>–</w:t>
      </w:r>
      <w:r w:rsidRPr="00B907A3">
        <w:rPr>
          <w:rFonts w:ascii="Garamond" w:hAnsi="Garamond"/>
          <w:sz w:val="24"/>
          <w:lang w:eastAsia="sl-SI"/>
        </w:rPr>
        <w:t xml:space="preserve">2030), që do të ishte e krahasueshme me vendet anëtare të BE-së me numrin më të ulët të </w:t>
      </w:r>
      <w:r w:rsidR="0033218C" w:rsidRPr="00B907A3">
        <w:rPr>
          <w:rFonts w:ascii="Garamond" w:hAnsi="Garamond"/>
          <w:sz w:val="24"/>
          <w:lang w:eastAsia="sl-SI"/>
        </w:rPr>
        <w:t>fataliteteve</w:t>
      </w:r>
      <w:r w:rsidRPr="00B907A3">
        <w:rPr>
          <w:rFonts w:ascii="Garamond" w:hAnsi="Garamond"/>
          <w:sz w:val="24"/>
          <w:lang w:eastAsia="sl-SI"/>
        </w:rPr>
        <w:t xml:space="preserve"> në aksidente rrugore për milion banorë sot. Në vitin 2030, 99 përdorues të rrugës do të</w:t>
      </w:r>
      <w:r w:rsidR="005F0C79" w:rsidRPr="00B907A3">
        <w:rPr>
          <w:rFonts w:ascii="Garamond" w:hAnsi="Garamond"/>
          <w:sz w:val="24"/>
          <w:lang w:eastAsia="sl-SI"/>
        </w:rPr>
        <w:t xml:space="preserve"> humbin jet</w:t>
      </w:r>
      <w:r w:rsidR="005F0C79" w:rsidRPr="00B907A3">
        <w:rPr>
          <w:rFonts w:ascii="Garamond" w:hAnsi="Garamond"/>
          <w:sz w:val="24"/>
        </w:rPr>
        <w:t xml:space="preserve">ën </w:t>
      </w:r>
      <w:r w:rsidRPr="00B907A3">
        <w:rPr>
          <w:rFonts w:ascii="Garamond" w:hAnsi="Garamond"/>
          <w:sz w:val="24"/>
          <w:lang w:eastAsia="sl-SI"/>
        </w:rPr>
        <w:t xml:space="preserve">në këtë skenar, që korrespondon me 36 </w:t>
      </w:r>
      <w:r w:rsidR="003F623B" w:rsidRPr="00B907A3">
        <w:rPr>
          <w:rFonts w:ascii="Garamond" w:hAnsi="Garamond"/>
          <w:sz w:val="24"/>
          <w:lang w:eastAsia="sl-SI"/>
        </w:rPr>
        <w:t>fatalitete</w:t>
      </w:r>
      <w:r w:rsidRPr="00B907A3">
        <w:rPr>
          <w:rFonts w:ascii="Garamond" w:hAnsi="Garamond"/>
          <w:sz w:val="24"/>
          <w:lang w:eastAsia="sl-SI"/>
        </w:rPr>
        <w:t xml:space="preserve"> për </w:t>
      </w:r>
      <w:r w:rsidR="005F0C79" w:rsidRPr="00B907A3">
        <w:rPr>
          <w:rFonts w:ascii="Garamond" w:hAnsi="Garamond"/>
          <w:sz w:val="24"/>
          <w:lang w:eastAsia="sl-SI"/>
        </w:rPr>
        <w:t>nj</w:t>
      </w:r>
      <w:r w:rsidR="005F0C79" w:rsidRPr="00B907A3">
        <w:rPr>
          <w:rFonts w:ascii="Garamond" w:hAnsi="Garamond"/>
          <w:sz w:val="24"/>
        </w:rPr>
        <w:t xml:space="preserve">ë </w:t>
      </w:r>
      <w:r w:rsidRPr="00B907A3">
        <w:rPr>
          <w:rFonts w:ascii="Garamond" w:hAnsi="Garamond"/>
          <w:sz w:val="24"/>
          <w:lang w:eastAsia="sl-SI"/>
        </w:rPr>
        <w:t>milion banorë</w:t>
      </w:r>
      <w:r w:rsidR="00957C4A" w:rsidRPr="00B907A3">
        <w:rPr>
          <w:rFonts w:ascii="Garamond" w:hAnsi="Garamond"/>
          <w:sz w:val="24"/>
          <w:lang w:eastAsia="sl-SI"/>
        </w:rPr>
        <w:t>.</w:t>
      </w:r>
      <w:bookmarkStart w:id="124" w:name="_Toc208841010"/>
    </w:p>
    <w:p w14:paraId="56C092CE" w14:textId="69530016" w:rsidR="00CF134F" w:rsidRPr="005C1DD9" w:rsidRDefault="00E7719F" w:rsidP="008C4E07">
      <w:pPr>
        <w:spacing w:after="0"/>
        <w:ind w:firstLine="284"/>
        <w:rPr>
          <w:rFonts w:ascii="Garamond" w:hAnsi="Garamond"/>
          <w:i/>
          <w:iCs/>
          <w:sz w:val="24"/>
        </w:rPr>
      </w:pPr>
      <w:r w:rsidRPr="005C1DD9">
        <w:rPr>
          <w:rFonts w:ascii="Garamond" w:hAnsi="Garamond"/>
          <w:i/>
          <w:sz w:val="24"/>
        </w:rPr>
        <w:t>Figur</w:t>
      </w:r>
      <w:r w:rsidR="00F44AF8" w:rsidRPr="005C1DD9">
        <w:rPr>
          <w:rFonts w:ascii="Garamond" w:hAnsi="Garamond"/>
          <w:i/>
          <w:sz w:val="24"/>
        </w:rPr>
        <w:t>a</w:t>
      </w:r>
      <w:r w:rsidRPr="005C1DD9">
        <w:rPr>
          <w:rFonts w:ascii="Garamond" w:hAnsi="Garamond"/>
          <w:i/>
          <w:sz w:val="24"/>
        </w:rPr>
        <w:t xml:space="preserve"> </w:t>
      </w:r>
      <w:r w:rsidR="00B430D5" w:rsidRPr="005C1DD9">
        <w:rPr>
          <w:rFonts w:ascii="Garamond" w:hAnsi="Garamond"/>
          <w:i/>
          <w:sz w:val="24"/>
        </w:rPr>
        <w:fldChar w:fldCharType="begin"/>
      </w:r>
      <w:r w:rsidR="00B430D5" w:rsidRPr="005C1DD9">
        <w:rPr>
          <w:rFonts w:ascii="Garamond" w:hAnsi="Garamond"/>
          <w:i/>
          <w:sz w:val="24"/>
        </w:rPr>
        <w:instrText xml:space="preserve"> STYLEREF 1 \s </w:instrText>
      </w:r>
      <w:r w:rsidR="00B430D5" w:rsidRPr="005C1DD9">
        <w:rPr>
          <w:rFonts w:ascii="Garamond" w:hAnsi="Garamond"/>
          <w:i/>
          <w:sz w:val="24"/>
        </w:rPr>
        <w:fldChar w:fldCharType="separate"/>
      </w:r>
      <w:r w:rsidR="00D13C76" w:rsidRPr="005C1DD9">
        <w:rPr>
          <w:rFonts w:ascii="Garamond" w:hAnsi="Garamond"/>
          <w:i/>
          <w:sz w:val="24"/>
        </w:rPr>
        <w:t>4</w:t>
      </w:r>
      <w:r w:rsidR="00B430D5" w:rsidRPr="005C1DD9">
        <w:rPr>
          <w:rFonts w:ascii="Garamond" w:hAnsi="Garamond"/>
          <w:i/>
          <w:sz w:val="24"/>
        </w:rPr>
        <w:fldChar w:fldCharType="end"/>
      </w:r>
      <w:r w:rsidR="00B430D5" w:rsidRPr="005C1DD9">
        <w:rPr>
          <w:rFonts w:ascii="Garamond" w:hAnsi="Garamond"/>
          <w:i/>
          <w:sz w:val="24"/>
        </w:rPr>
        <w:noBreakHyphen/>
      </w:r>
      <w:r w:rsidR="000451D4" w:rsidRPr="005C1DD9">
        <w:rPr>
          <w:rFonts w:ascii="Garamond" w:hAnsi="Garamond"/>
          <w:i/>
          <w:sz w:val="24"/>
        </w:rPr>
        <w:t>3</w:t>
      </w:r>
      <w:r w:rsidR="005C1DD9" w:rsidRPr="005C1DD9">
        <w:rPr>
          <w:rFonts w:ascii="Garamond" w:hAnsi="Garamond"/>
          <w:i/>
          <w:sz w:val="24"/>
        </w:rPr>
        <w:t>.</w:t>
      </w:r>
      <w:r w:rsidRPr="005C1DD9">
        <w:rPr>
          <w:rFonts w:ascii="Garamond" w:hAnsi="Garamond"/>
          <w:i/>
          <w:sz w:val="24"/>
        </w:rPr>
        <w:t xml:space="preserve"> </w:t>
      </w:r>
      <w:r w:rsidR="00F44AF8" w:rsidRPr="005C1DD9">
        <w:rPr>
          <w:rFonts w:ascii="Garamond" w:hAnsi="Garamond"/>
          <w:i/>
          <w:iCs/>
          <w:sz w:val="24"/>
        </w:rPr>
        <w:t>Skenarët e Sigurisë Rrugore për periudhën 2021–2030</w:t>
      </w:r>
      <w:bookmarkEnd w:id="124"/>
    </w:p>
    <w:p w14:paraId="19C9B8C0" w14:textId="63DB47C5" w:rsidR="002C38E5" w:rsidRPr="00B907A3" w:rsidRDefault="00194C5E" w:rsidP="008C4E07">
      <w:pPr>
        <w:pStyle w:val="NormalWeb"/>
        <w:spacing w:line="240" w:lineRule="auto"/>
        <w:ind w:firstLine="284"/>
        <w:jc w:val="center"/>
        <w:rPr>
          <w:rFonts w:ascii="Garamond" w:hAnsi="Garamond"/>
          <w:sz w:val="24"/>
          <w:lang w:val="sq-AL" w:eastAsia="sl-SI"/>
        </w:rPr>
      </w:pPr>
      <w:r w:rsidRPr="00B907A3">
        <w:rPr>
          <w:rFonts w:ascii="Garamond" w:hAnsi="Garamond"/>
          <w:noProof/>
          <w:sz w:val="24"/>
          <w:lang w:val="sq-AL" w:eastAsia="sq-AL"/>
        </w:rPr>
        <w:lastRenderedPageBreak/>
        <mc:AlternateContent>
          <mc:Choice Requires="wps">
            <w:drawing>
              <wp:anchor distT="0" distB="0" distL="114300" distR="114300" simplePos="0" relativeHeight="251658240" behindDoc="0" locked="0" layoutInCell="1" allowOverlap="1" wp14:anchorId="32F271D7" wp14:editId="69C3DDBB">
                <wp:simplePos x="0" y="0"/>
                <wp:positionH relativeFrom="column">
                  <wp:posOffset>1475448</wp:posOffset>
                </wp:positionH>
                <wp:positionV relativeFrom="paragraph">
                  <wp:posOffset>38032</wp:posOffset>
                </wp:positionV>
                <wp:extent cx="4001985" cy="303170"/>
                <wp:effectExtent l="0" t="0" r="17780" b="20955"/>
                <wp:wrapNone/>
                <wp:docPr id="19" name="Text Box 19"/>
                <wp:cNvGraphicFramePr/>
                <a:graphic xmlns:a="http://schemas.openxmlformats.org/drawingml/2006/main">
                  <a:graphicData uri="http://schemas.microsoft.com/office/word/2010/wordprocessingShape">
                    <wps:wsp>
                      <wps:cNvSpPr txBox="1"/>
                      <wps:spPr>
                        <a:xfrm>
                          <a:off x="0" y="0"/>
                          <a:ext cx="4001985" cy="303170"/>
                        </a:xfrm>
                        <a:prstGeom prst="rect">
                          <a:avLst/>
                        </a:prstGeom>
                        <a:solidFill>
                          <a:schemeClr val="lt1"/>
                        </a:solidFill>
                        <a:ln w="6350">
                          <a:solidFill>
                            <a:schemeClr val="bg1"/>
                          </a:solidFill>
                        </a:ln>
                      </wps:spPr>
                      <wps:txbx>
                        <w:txbxContent>
                          <w:p w14:paraId="637250EA" w14:textId="320C7ACA" w:rsidR="00A41523" w:rsidRPr="00584583" w:rsidRDefault="00A41523">
                            <w:pPr>
                              <w:rPr>
                                <w:lang w:val="it-IT"/>
                              </w:rPr>
                            </w:pPr>
                            <w:r w:rsidRPr="0059360A">
                              <w:rPr>
                                <w:rFonts w:ascii="Arial" w:hAnsi="Arial" w:cs="Arial"/>
                                <w:iCs/>
                                <w:color w:val="002060"/>
                                <w:szCs w:val="22"/>
                                <w:lang w:val="it-IT"/>
                              </w:rPr>
                              <w:t>Skenarët e Sigurisë Rrugore për periudhën 2021–2030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F271D7" id="Text Box 19" o:spid="_x0000_s1027" type="#_x0000_t202" style="position:absolute;left:0;text-align:left;margin-left:116.2pt;margin-top:3pt;width:315.1pt;height:23.8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" fillcolor="white [3201]" strokecolor="white [3212]" strokeweight=".5pt">
                <v:textbox>
                  <w:txbxContent>
                    <w:p w14:paraId="637250EA" w14:textId="320C7ACA" w:rsidR="00A41523" w:rsidRPr="00584583" w:rsidRDefault="00A41523">
                      <w:pPr>
                        <w:rPr>
                          <w:lang w:val="it-IT"/>
                        </w:rPr>
                      </w:pPr>
                      <w:r w:rsidRPr="0059360A">
                        <w:rPr>
                          <w:rFonts w:ascii="Arial" w:hAnsi="Arial" w:cs="Arial"/>
                          <w:iCs/>
                          <w:color w:val="002060"/>
                          <w:szCs w:val="22"/>
                          <w:lang w:val="it-IT"/>
                        </w:rPr>
                        <w:t>Skenarët e Sigurisë Rrugore për periudhën 2021–2030</w:t>
                      </w:r>
                    </w:p>
                  </w:txbxContent>
                </v:textbox>
              </v:shape>
            </w:pict>
          </mc:Fallback>
        </mc:AlternateContent>
      </w:r>
      <w:r w:rsidR="006B3C51" w:rsidRPr="00B907A3">
        <w:rPr>
          <w:rFonts w:ascii="Garamond" w:hAnsi="Garamond"/>
          <w:noProof/>
          <w:sz w:val="24"/>
          <w:lang w:val="sq-AL" w:eastAsia="sq-AL"/>
        </w:rPr>
        <w:drawing>
          <wp:inline distT="0" distB="0" distL="0" distR="0" wp14:anchorId="49282507" wp14:editId="5244A5FD">
            <wp:extent cx="5735781" cy="32023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7632" cy="3203339"/>
                    </a:xfrm>
                    <a:prstGeom prst="rect">
                      <a:avLst/>
                    </a:prstGeom>
                    <a:noFill/>
                  </pic:spPr>
                </pic:pic>
              </a:graphicData>
            </a:graphic>
          </wp:inline>
        </w:drawing>
      </w:r>
    </w:p>
    <w:p w14:paraId="12F53C4F" w14:textId="1D1BD79A" w:rsidR="008A259A" w:rsidRPr="00B907A3" w:rsidRDefault="008A259A" w:rsidP="008C4E07">
      <w:pPr>
        <w:pStyle w:val="NormalWeb"/>
        <w:spacing w:line="240" w:lineRule="auto"/>
        <w:ind w:firstLine="284"/>
        <w:rPr>
          <w:rFonts w:ascii="Garamond" w:hAnsi="Garamond"/>
          <w:sz w:val="24"/>
          <w:lang w:val="sq-AL" w:eastAsia="sl-SI"/>
        </w:rPr>
      </w:pPr>
      <w:r w:rsidRPr="00B907A3">
        <w:rPr>
          <w:rFonts w:ascii="Garamond" w:hAnsi="Garamond"/>
          <w:sz w:val="24"/>
          <w:lang w:val="sq-AL" w:eastAsia="sl-SI"/>
        </w:rPr>
        <w:br/>
      </w:r>
      <w:r w:rsidR="006B3C51" w:rsidRPr="00B907A3">
        <w:rPr>
          <w:rFonts w:ascii="Garamond" w:hAnsi="Garamond"/>
          <w:sz w:val="24"/>
          <w:lang w:val="sq-AL" w:eastAsia="sl-SI"/>
        </w:rPr>
        <w:t xml:space="preserve">Shënim: Këto tre skenarë do të lidhen me ndërhyrjet përkatëse sipas </w:t>
      </w:r>
      <w:r w:rsidR="000B1794" w:rsidRPr="00B907A3">
        <w:rPr>
          <w:rFonts w:ascii="Garamond" w:hAnsi="Garamond"/>
          <w:sz w:val="24"/>
          <w:lang w:val="sq-AL" w:eastAsia="sl-SI"/>
        </w:rPr>
        <w:t>PVSSRR</w:t>
      </w:r>
      <w:r w:rsidRPr="00B907A3">
        <w:rPr>
          <w:rFonts w:ascii="Garamond" w:hAnsi="Garamond"/>
          <w:sz w:val="24"/>
          <w:lang w:val="sq-AL" w:eastAsia="sl-SI"/>
        </w:rPr>
        <w:t>.</w:t>
      </w:r>
    </w:p>
    <w:p w14:paraId="40BC372C" w14:textId="77777777" w:rsidR="005F0C79" w:rsidRPr="00B907A3" w:rsidRDefault="005F0C79" w:rsidP="008C4E07">
      <w:pPr>
        <w:pStyle w:val="NormalWeb"/>
        <w:spacing w:line="240" w:lineRule="auto"/>
        <w:ind w:firstLine="284"/>
        <w:rPr>
          <w:rFonts w:ascii="Garamond" w:hAnsi="Garamond"/>
          <w:sz w:val="24"/>
          <w:lang w:val="sq-AL" w:eastAsia="sl-SI"/>
        </w:rPr>
      </w:pPr>
    </w:p>
    <w:p w14:paraId="137EE8C5" w14:textId="4B1412CD" w:rsidR="006B3C51" w:rsidRPr="00B907A3" w:rsidRDefault="00D51215" w:rsidP="008C4E07">
      <w:pPr>
        <w:pStyle w:val="Heading2"/>
        <w:numPr>
          <w:ilvl w:val="0"/>
          <w:numId w:val="0"/>
        </w:numPr>
        <w:spacing w:after="0"/>
        <w:ind w:firstLine="284"/>
        <w:rPr>
          <w:rFonts w:ascii="Garamond" w:hAnsi="Garamond"/>
          <w:color w:val="auto"/>
          <w:lang w:val="sq-AL"/>
        </w:rPr>
      </w:pPr>
      <w:bookmarkStart w:id="125" w:name="_Toc208840573"/>
      <w:r w:rsidRPr="00B907A3">
        <w:rPr>
          <w:rFonts w:ascii="Garamond" w:hAnsi="Garamond"/>
          <w:color w:val="auto"/>
          <w:lang w:val="sq-AL"/>
        </w:rPr>
        <w:t xml:space="preserve">4.3 </w:t>
      </w:r>
      <w:r w:rsidR="006B3C51" w:rsidRPr="00B907A3">
        <w:rPr>
          <w:rFonts w:ascii="Garamond" w:hAnsi="Garamond"/>
          <w:color w:val="auto"/>
          <w:lang w:val="sq-AL"/>
        </w:rPr>
        <w:t>Vizioni/</w:t>
      </w:r>
      <w:r w:rsidR="00A021B5" w:rsidRPr="00B907A3">
        <w:rPr>
          <w:rFonts w:ascii="Garamond" w:hAnsi="Garamond"/>
          <w:color w:val="auto"/>
          <w:lang w:val="sq-AL"/>
        </w:rPr>
        <w:t>qëllimi/objektivat/synimet</w:t>
      </w:r>
      <w:bookmarkEnd w:id="125"/>
    </w:p>
    <w:p w14:paraId="5967CAE5" w14:textId="6C85065A" w:rsidR="006B3C51" w:rsidRPr="00B907A3" w:rsidRDefault="00D51215" w:rsidP="008C4E07">
      <w:pPr>
        <w:pStyle w:val="ListParagraph"/>
        <w:ind w:left="0" w:firstLine="284"/>
        <w:rPr>
          <w:rFonts w:ascii="Garamond" w:eastAsia="Calibri" w:hAnsi="Garamond"/>
          <w:b/>
          <w:bCs/>
          <w:sz w:val="24"/>
          <w:lang w:eastAsia="x-none"/>
        </w:rPr>
      </w:pPr>
      <w:r w:rsidRPr="00B907A3">
        <w:rPr>
          <w:rFonts w:ascii="Garamond" w:hAnsi="Garamond"/>
          <w:bCs/>
          <w:sz w:val="24"/>
        </w:rPr>
        <w:t xml:space="preserve">- </w:t>
      </w:r>
      <w:r w:rsidR="007951BD">
        <w:rPr>
          <w:rFonts w:ascii="Garamond" w:eastAsia="Calibri" w:hAnsi="Garamond"/>
          <w:b/>
          <w:bCs/>
          <w:sz w:val="24"/>
          <w:lang w:eastAsia="x-none"/>
        </w:rPr>
        <w:t>“</w:t>
      </w:r>
      <w:r w:rsidR="006B3C51" w:rsidRPr="00B907A3">
        <w:rPr>
          <w:rFonts w:ascii="Garamond" w:eastAsia="Calibri" w:hAnsi="Garamond"/>
          <w:b/>
          <w:bCs/>
          <w:sz w:val="24"/>
          <w:lang w:eastAsia="x-none"/>
        </w:rPr>
        <w:t xml:space="preserve">Angazhimi </w:t>
      </w:r>
      <w:r w:rsidR="007951BD">
        <w:rPr>
          <w:rFonts w:ascii="Garamond" w:eastAsia="Calibri" w:hAnsi="Garamond"/>
          <w:b/>
          <w:bCs/>
          <w:sz w:val="24"/>
          <w:lang w:eastAsia="x-none"/>
        </w:rPr>
        <w:t>“</w:t>
      </w:r>
      <w:r w:rsidR="006B3C51" w:rsidRPr="00B907A3">
        <w:rPr>
          <w:rFonts w:ascii="Garamond" w:eastAsia="Calibri" w:hAnsi="Garamond"/>
          <w:b/>
          <w:bCs/>
          <w:sz w:val="24"/>
          <w:lang w:eastAsia="x-none"/>
        </w:rPr>
        <w:t>Vizioni Zero</w:t>
      </w:r>
      <w:r w:rsidR="007951BD">
        <w:rPr>
          <w:rFonts w:ascii="Garamond" w:eastAsia="Calibri" w:hAnsi="Garamond"/>
          <w:b/>
          <w:bCs/>
          <w:sz w:val="24"/>
          <w:lang w:eastAsia="x-none"/>
        </w:rPr>
        <w:t>”</w:t>
      </w:r>
    </w:p>
    <w:p w14:paraId="7DDF9831" w14:textId="47BC0298" w:rsidR="006B3C51" w:rsidRPr="00B907A3" w:rsidRDefault="006B3C51" w:rsidP="008C4E07">
      <w:pPr>
        <w:spacing w:after="0"/>
        <w:ind w:firstLine="284"/>
        <w:rPr>
          <w:rFonts w:ascii="Garamond" w:hAnsi="Garamond"/>
          <w:sz w:val="24"/>
        </w:rPr>
      </w:pPr>
      <w:r w:rsidRPr="00B907A3">
        <w:rPr>
          <w:rFonts w:ascii="Garamond" w:hAnsi="Garamond"/>
          <w:sz w:val="24"/>
        </w:rPr>
        <w:t xml:space="preserve">Në zemër të Strategjisë </w:t>
      </w:r>
      <w:r w:rsidR="005F0C79" w:rsidRPr="00B907A3">
        <w:rPr>
          <w:rFonts w:ascii="Garamond" w:hAnsi="Garamond"/>
          <w:sz w:val="24"/>
        </w:rPr>
        <w:t>p</w:t>
      </w:r>
      <w:r w:rsidRPr="00B907A3">
        <w:rPr>
          <w:rFonts w:ascii="Garamond" w:hAnsi="Garamond"/>
          <w:sz w:val="24"/>
        </w:rPr>
        <w:t>ë</w:t>
      </w:r>
      <w:r w:rsidR="005F0C79" w:rsidRPr="00B907A3">
        <w:rPr>
          <w:rFonts w:ascii="Garamond" w:hAnsi="Garamond"/>
          <w:sz w:val="24"/>
        </w:rPr>
        <w:t>r</w:t>
      </w:r>
      <w:r w:rsidRPr="00B907A3">
        <w:rPr>
          <w:rFonts w:ascii="Garamond" w:hAnsi="Garamond"/>
          <w:sz w:val="24"/>
        </w:rPr>
        <w:t xml:space="preserve"> Siguri</w:t>
      </w:r>
      <w:r w:rsidR="005F0C79" w:rsidRPr="00B907A3">
        <w:rPr>
          <w:rFonts w:ascii="Garamond" w:hAnsi="Garamond"/>
          <w:sz w:val="24"/>
        </w:rPr>
        <w:t>n</w:t>
      </w:r>
      <w:r w:rsidRPr="00B907A3">
        <w:rPr>
          <w:rFonts w:ascii="Garamond" w:hAnsi="Garamond"/>
          <w:sz w:val="24"/>
        </w:rPr>
        <w:t xml:space="preserve">ë Rrugore të Shqipërisë 2030, ekziston një riafirmim i angazhimit të vendit ndaj </w:t>
      </w:r>
      <w:r w:rsidR="007951BD">
        <w:rPr>
          <w:rFonts w:ascii="Garamond" w:hAnsi="Garamond"/>
          <w:sz w:val="24"/>
        </w:rPr>
        <w:t>“</w:t>
      </w:r>
      <w:r w:rsidRPr="00B907A3">
        <w:rPr>
          <w:rFonts w:ascii="Garamond" w:hAnsi="Garamond"/>
          <w:sz w:val="24"/>
        </w:rPr>
        <w:t>Vizionit Zero</w:t>
      </w:r>
      <w:r w:rsidR="007951BD">
        <w:rPr>
          <w:rFonts w:ascii="Garamond" w:hAnsi="Garamond"/>
          <w:sz w:val="24"/>
        </w:rPr>
        <w:t>”</w:t>
      </w:r>
      <w:r w:rsidRPr="00B907A3">
        <w:rPr>
          <w:rFonts w:ascii="Garamond" w:hAnsi="Garamond"/>
          <w:sz w:val="24"/>
        </w:rPr>
        <w:t xml:space="preserve">, i cili pohon se asnjë vdekje ose lëndim serioz në rrugë nuk është i pranueshëm dhe i jep përparësi zhvillimit të një sistemi transporti rrugor që është i sigurt, tolerant dhe i projektuar për të akomoduar gabimet njerëzore. Në këtë kontekst, duhet theksuar se </w:t>
      </w:r>
      <w:r w:rsidR="007951BD">
        <w:rPr>
          <w:rFonts w:ascii="Garamond" w:hAnsi="Garamond"/>
          <w:sz w:val="24"/>
        </w:rPr>
        <w:t>“</w:t>
      </w:r>
      <w:r w:rsidRPr="00B907A3">
        <w:rPr>
          <w:rFonts w:ascii="Garamond" w:hAnsi="Garamond"/>
          <w:sz w:val="24"/>
        </w:rPr>
        <w:t>Vizioni Zero</w:t>
      </w:r>
      <w:r w:rsidR="007951BD">
        <w:rPr>
          <w:rFonts w:ascii="Garamond" w:hAnsi="Garamond"/>
          <w:sz w:val="24"/>
        </w:rPr>
        <w:t>”</w:t>
      </w:r>
      <w:r w:rsidRPr="00B907A3">
        <w:rPr>
          <w:rFonts w:ascii="Garamond" w:hAnsi="Garamond"/>
          <w:sz w:val="24"/>
        </w:rPr>
        <w:t xml:space="preserve"> nuk është i ri për Shqipërinë. Ai u prezantua për herë të parë si një parim udhëzues në SSRR-në e parë të vendit (2011–2020), duke shënuar fillimin e përafrimit formal të Shqipërisë me praktikat më të mira globale të sigurisë rrugore.</w:t>
      </w:r>
    </w:p>
    <w:p w14:paraId="05DE8A50" w14:textId="690193AF" w:rsidR="006B3C51" w:rsidRPr="00B907A3" w:rsidRDefault="006B3C51" w:rsidP="008C4E07">
      <w:pPr>
        <w:shd w:val="clear" w:color="auto" w:fill="E2EFD9" w:themeFill="accent6" w:themeFillTint="33"/>
        <w:spacing w:after="0"/>
        <w:ind w:firstLine="284"/>
        <w:rPr>
          <w:rFonts w:ascii="Garamond" w:hAnsi="Garamond"/>
          <w:sz w:val="24"/>
        </w:rPr>
      </w:pPr>
      <w:r w:rsidRPr="00B907A3">
        <w:rPr>
          <w:rFonts w:ascii="Garamond" w:hAnsi="Garamond"/>
          <w:sz w:val="24"/>
        </w:rPr>
        <w:t xml:space="preserve">Strategjia aktuale ndërton mbi këtë themel, duke përforcuar </w:t>
      </w:r>
      <w:r w:rsidR="007951BD">
        <w:rPr>
          <w:rFonts w:ascii="Garamond" w:hAnsi="Garamond"/>
          <w:sz w:val="24"/>
        </w:rPr>
        <w:t>“</w:t>
      </w:r>
      <w:r w:rsidRPr="00B907A3">
        <w:rPr>
          <w:rFonts w:ascii="Garamond" w:hAnsi="Garamond"/>
          <w:sz w:val="24"/>
        </w:rPr>
        <w:t>Vizionin Zero</w:t>
      </w:r>
      <w:r w:rsidR="007951BD">
        <w:rPr>
          <w:rFonts w:ascii="Garamond" w:hAnsi="Garamond"/>
          <w:sz w:val="24"/>
        </w:rPr>
        <w:t>”</w:t>
      </w:r>
      <w:r w:rsidRPr="00B907A3">
        <w:rPr>
          <w:rFonts w:ascii="Garamond" w:hAnsi="Garamond"/>
          <w:sz w:val="24"/>
        </w:rPr>
        <w:t xml:space="preserve"> si një forcë </w:t>
      </w:r>
      <w:r w:rsidR="005F0C79" w:rsidRPr="00B907A3">
        <w:rPr>
          <w:rFonts w:ascii="Garamond" w:hAnsi="Garamond"/>
          <w:sz w:val="24"/>
        </w:rPr>
        <w:t>shtyt</w:t>
      </w:r>
      <w:r w:rsidRPr="00B907A3">
        <w:rPr>
          <w:rFonts w:ascii="Garamond" w:hAnsi="Garamond"/>
          <w:sz w:val="24"/>
        </w:rPr>
        <w:t>ë</w:t>
      </w:r>
      <w:r w:rsidR="005F0C79" w:rsidRPr="00B907A3">
        <w:rPr>
          <w:rFonts w:ascii="Garamond" w:hAnsi="Garamond"/>
          <w:sz w:val="24"/>
        </w:rPr>
        <w:t xml:space="preserve">se </w:t>
      </w:r>
      <w:r w:rsidRPr="00B907A3">
        <w:rPr>
          <w:rFonts w:ascii="Garamond" w:hAnsi="Garamond"/>
          <w:sz w:val="24"/>
        </w:rPr>
        <w:t xml:space="preserve">të </w:t>
      </w:r>
      <w:r w:rsidR="00FB5830">
        <w:rPr>
          <w:rFonts w:ascii="Garamond" w:hAnsi="Garamond"/>
          <w:sz w:val="24"/>
        </w:rPr>
        <w:t>objektivit</w:t>
      </w:r>
      <w:r w:rsidR="005F0C79" w:rsidRPr="00B907A3">
        <w:rPr>
          <w:rFonts w:ascii="Garamond" w:hAnsi="Garamond"/>
          <w:sz w:val="24"/>
        </w:rPr>
        <w:t xml:space="preserve">/ave të politikave </w:t>
      </w:r>
      <w:r w:rsidRPr="00B907A3">
        <w:rPr>
          <w:rFonts w:ascii="Garamond" w:hAnsi="Garamond"/>
          <w:sz w:val="24"/>
        </w:rPr>
        <w:t>kombëtar</w:t>
      </w:r>
      <w:r w:rsidR="005F0C79" w:rsidRPr="00B907A3">
        <w:rPr>
          <w:rFonts w:ascii="Garamond" w:hAnsi="Garamond"/>
          <w:sz w:val="24"/>
        </w:rPr>
        <w:t xml:space="preserve">e </w:t>
      </w:r>
      <w:r w:rsidRPr="00B907A3">
        <w:rPr>
          <w:rFonts w:ascii="Garamond" w:hAnsi="Garamond"/>
          <w:sz w:val="24"/>
        </w:rPr>
        <w:t>dhe duke përshkruar hapat institucionalë, ligjorë dhe operacionalë të nevojshëm për të ecur vazhdimisht drejt arritjes së tij deri në vitin 2050.</w:t>
      </w:r>
    </w:p>
    <w:p w14:paraId="1A379C76" w14:textId="2CEA1389" w:rsidR="00111FD1" w:rsidRPr="00B907A3" w:rsidRDefault="006B3C51" w:rsidP="005C1DD9">
      <w:pPr>
        <w:spacing w:after="0"/>
        <w:ind w:firstLine="284"/>
        <w:rPr>
          <w:rFonts w:ascii="Garamond" w:hAnsi="Garamond"/>
          <w:sz w:val="24"/>
        </w:rPr>
      </w:pPr>
      <w:r w:rsidRPr="00B907A3">
        <w:rPr>
          <w:rFonts w:ascii="Garamond" w:hAnsi="Garamond"/>
          <w:sz w:val="24"/>
        </w:rPr>
        <w:t xml:space="preserve">Për të mbështetur këtë angazhim shumë ambicioz, SSRR-ja e dytë përcakton </w:t>
      </w:r>
      <w:r w:rsidRPr="00B907A3">
        <w:rPr>
          <w:rFonts w:ascii="Garamond" w:hAnsi="Garamond"/>
          <w:b/>
          <w:bCs/>
          <w:sz w:val="24"/>
        </w:rPr>
        <w:t xml:space="preserve">një qëllim dhe objektiva të qartë të ndërmjetëm për vitin 2030, që synojnë uljen ndjeshëm të vdekjeve dhe lëndimeve </w:t>
      </w:r>
      <w:r w:rsidR="005F0C79" w:rsidRPr="00B907A3">
        <w:rPr>
          <w:rFonts w:ascii="Garamond" w:hAnsi="Garamond"/>
          <w:b/>
          <w:bCs/>
          <w:sz w:val="24"/>
        </w:rPr>
        <w:t>të rënda</w:t>
      </w:r>
      <w:r w:rsidR="005F0C79" w:rsidRPr="00B907A3">
        <w:rPr>
          <w:rFonts w:ascii="Garamond" w:hAnsi="Garamond"/>
          <w:sz w:val="24"/>
        </w:rPr>
        <w:t xml:space="preserve"> </w:t>
      </w:r>
      <w:r w:rsidRPr="00B907A3">
        <w:rPr>
          <w:rFonts w:ascii="Garamond" w:hAnsi="Garamond"/>
          <w:b/>
          <w:bCs/>
          <w:sz w:val="24"/>
        </w:rPr>
        <w:t xml:space="preserve">në </w:t>
      </w:r>
      <w:r w:rsidR="005F0C79" w:rsidRPr="00B907A3">
        <w:rPr>
          <w:rFonts w:ascii="Garamond" w:hAnsi="Garamond"/>
          <w:b/>
          <w:bCs/>
          <w:sz w:val="24"/>
        </w:rPr>
        <w:t xml:space="preserve">qarkullimin </w:t>
      </w:r>
      <w:r w:rsidRPr="00B907A3">
        <w:rPr>
          <w:rFonts w:ascii="Garamond" w:hAnsi="Garamond"/>
          <w:b/>
          <w:bCs/>
          <w:sz w:val="24"/>
        </w:rPr>
        <w:t>rrugor.</w:t>
      </w:r>
      <w:r w:rsidRPr="00B907A3">
        <w:rPr>
          <w:rFonts w:ascii="Garamond" w:hAnsi="Garamond"/>
          <w:sz w:val="24"/>
        </w:rPr>
        <w:t xml:space="preserve"> Këto objektiva do të mbështeten nga Qasja e Sistemit të Sigurt </w:t>
      </w:r>
      <w:r w:rsidR="005F0C79" w:rsidRPr="00B907A3">
        <w:rPr>
          <w:rFonts w:ascii="Garamond" w:hAnsi="Garamond"/>
          <w:sz w:val="24"/>
        </w:rPr>
        <w:t xml:space="preserve">(SSA) </w:t>
      </w:r>
      <w:r w:rsidRPr="00B907A3">
        <w:rPr>
          <w:rFonts w:ascii="Garamond" w:hAnsi="Garamond"/>
          <w:sz w:val="24"/>
        </w:rPr>
        <w:t>dhe do të mbështeten nga tregues të matshëm dhe veprime të koordinuara në të gjithë sektorët. Strategjia bazohet në parimet e përpjekjes për arritjen e standardeve më të larta të mundshme të sigurisë rrugore, një qasje të integruar ndaj sigurisë rrugore dhe parimet e subsidiaritetit, proporcionalitetit dhe përgjegjësisë së përbashkët.</w:t>
      </w:r>
    </w:p>
    <w:p w14:paraId="1AED0335" w14:textId="31F77A29" w:rsidR="004D4B32" w:rsidRPr="00B907A3" w:rsidRDefault="00D51215" w:rsidP="008C4E07">
      <w:pPr>
        <w:pStyle w:val="ListParagraph"/>
        <w:ind w:left="0" w:firstLine="284"/>
        <w:rPr>
          <w:rFonts w:ascii="Garamond" w:eastAsia="Calibri" w:hAnsi="Garamond"/>
          <w:b/>
          <w:bCs/>
          <w:sz w:val="24"/>
          <w:lang w:eastAsia="x-none"/>
        </w:rPr>
      </w:pPr>
      <w:r w:rsidRPr="00B907A3">
        <w:rPr>
          <w:rFonts w:ascii="Garamond" w:hAnsi="Garamond"/>
          <w:bCs/>
          <w:sz w:val="24"/>
        </w:rPr>
        <w:t xml:space="preserve">- </w:t>
      </w:r>
      <w:r w:rsidR="005F0C79" w:rsidRPr="00B907A3">
        <w:rPr>
          <w:rFonts w:ascii="Garamond" w:eastAsia="Calibri" w:hAnsi="Garamond"/>
          <w:b/>
          <w:bCs/>
          <w:sz w:val="24"/>
          <w:lang w:eastAsia="x-none"/>
        </w:rPr>
        <w:t xml:space="preserve">Objektivi </w:t>
      </w:r>
      <w:r w:rsidR="004D4B32" w:rsidRPr="00B907A3">
        <w:rPr>
          <w:rFonts w:ascii="Garamond" w:eastAsia="Calibri" w:hAnsi="Garamond"/>
          <w:b/>
          <w:bCs/>
          <w:sz w:val="24"/>
          <w:lang w:eastAsia="x-none"/>
        </w:rPr>
        <w:t>i përgjithshëm deri në vitin 2030 dhe objektivat sipas shtyllave të sigurisë rrugore (rezultatet)</w:t>
      </w:r>
    </w:p>
    <w:p w14:paraId="11A0D7AE" w14:textId="10FA89D2" w:rsidR="004D4B32" w:rsidRPr="00B907A3" w:rsidRDefault="004D4B32" w:rsidP="008C4E07">
      <w:pPr>
        <w:shd w:val="clear" w:color="auto" w:fill="E2EFD9" w:themeFill="accent6" w:themeFillTint="33"/>
        <w:spacing w:after="0"/>
        <w:ind w:firstLine="284"/>
        <w:rPr>
          <w:rFonts w:ascii="Garamond" w:hAnsi="Garamond"/>
          <w:sz w:val="24"/>
        </w:rPr>
      </w:pPr>
      <w:r w:rsidRPr="00B907A3">
        <w:rPr>
          <w:rFonts w:ascii="Garamond" w:hAnsi="Garamond"/>
          <w:sz w:val="24"/>
        </w:rPr>
        <w:t xml:space="preserve">Me vizionin afatgjatë </w:t>
      </w:r>
      <w:r w:rsidR="007951BD">
        <w:rPr>
          <w:rFonts w:ascii="Garamond" w:hAnsi="Garamond"/>
          <w:sz w:val="24"/>
        </w:rPr>
        <w:t>“</w:t>
      </w:r>
      <w:r w:rsidRPr="00B907A3">
        <w:rPr>
          <w:rFonts w:ascii="Garamond" w:hAnsi="Garamond"/>
          <w:sz w:val="24"/>
        </w:rPr>
        <w:t>Vi</w:t>
      </w:r>
      <w:r w:rsidR="00B71368" w:rsidRPr="00B907A3">
        <w:rPr>
          <w:rFonts w:ascii="Garamond" w:hAnsi="Garamond"/>
          <w:sz w:val="24"/>
        </w:rPr>
        <w:t>z</w:t>
      </w:r>
      <w:r w:rsidRPr="00B907A3">
        <w:rPr>
          <w:rFonts w:ascii="Garamond" w:hAnsi="Garamond"/>
          <w:sz w:val="24"/>
        </w:rPr>
        <w:t>ion</w:t>
      </w:r>
      <w:r w:rsidR="00B71368" w:rsidRPr="00B907A3">
        <w:rPr>
          <w:rFonts w:ascii="Garamond" w:hAnsi="Garamond"/>
          <w:sz w:val="24"/>
        </w:rPr>
        <w:t>i</w:t>
      </w:r>
      <w:r w:rsidRPr="00B907A3">
        <w:rPr>
          <w:rFonts w:ascii="Garamond" w:hAnsi="Garamond"/>
          <w:sz w:val="24"/>
        </w:rPr>
        <w:t xml:space="preserve"> Zero</w:t>
      </w:r>
      <w:r w:rsidR="007951BD">
        <w:rPr>
          <w:rFonts w:ascii="Garamond" w:hAnsi="Garamond"/>
          <w:sz w:val="24"/>
        </w:rPr>
        <w:t>”</w:t>
      </w:r>
      <w:r w:rsidRPr="00B907A3">
        <w:rPr>
          <w:rFonts w:ascii="Garamond" w:hAnsi="Garamond"/>
          <w:sz w:val="24"/>
        </w:rPr>
        <w:t xml:space="preserve"> deri në vitin 2050, SSRR 2030 e Shqipërisë ndërtohet mbi një </w:t>
      </w:r>
      <w:r w:rsidR="005F0C79" w:rsidRPr="00B907A3">
        <w:rPr>
          <w:rFonts w:ascii="Garamond" w:hAnsi="Garamond"/>
          <w:sz w:val="24"/>
        </w:rPr>
        <w:t xml:space="preserve">objektiv </w:t>
      </w:r>
      <w:r w:rsidRPr="00B907A3">
        <w:rPr>
          <w:rFonts w:ascii="Garamond" w:hAnsi="Garamond"/>
          <w:sz w:val="24"/>
        </w:rPr>
        <w:t xml:space="preserve">të përgjithshëm të ndërmjetëm (për dekadën), të përafruar me angazhimet e BE-së dhe OKB-së. </w:t>
      </w:r>
      <w:r w:rsidRPr="00B907A3">
        <w:rPr>
          <w:rFonts w:ascii="Garamond" w:hAnsi="Garamond"/>
          <w:b/>
          <w:bCs/>
          <w:sz w:val="24"/>
        </w:rPr>
        <w:t xml:space="preserve">Prandaj, qëllimi i dytë strategjik i SSRR është të reduktojë </w:t>
      </w:r>
      <w:r w:rsidR="00A558C4" w:rsidRPr="00B907A3">
        <w:rPr>
          <w:rFonts w:ascii="Garamond" w:hAnsi="Garamond"/>
          <w:b/>
          <w:bCs/>
          <w:sz w:val="24"/>
        </w:rPr>
        <w:t>fatalitetet</w:t>
      </w:r>
      <w:r w:rsidRPr="00B907A3">
        <w:rPr>
          <w:rFonts w:ascii="Garamond" w:hAnsi="Garamond"/>
          <w:b/>
          <w:bCs/>
          <w:sz w:val="24"/>
        </w:rPr>
        <w:t xml:space="preserve"> nga </w:t>
      </w:r>
      <w:r w:rsidR="005F0C79" w:rsidRPr="00B907A3">
        <w:rPr>
          <w:rFonts w:ascii="Garamond" w:hAnsi="Garamond"/>
          <w:b/>
          <w:bCs/>
          <w:sz w:val="24"/>
        </w:rPr>
        <w:t xml:space="preserve">qarkullimi </w:t>
      </w:r>
      <w:r w:rsidRPr="00B907A3">
        <w:rPr>
          <w:rFonts w:ascii="Garamond" w:hAnsi="Garamond"/>
          <w:b/>
          <w:bCs/>
          <w:sz w:val="24"/>
        </w:rPr>
        <w:t>rrugor me 50% deri në vitin 2030, në krahasim me shifrat e vitit 2021</w:t>
      </w:r>
      <w:r w:rsidRPr="00B907A3">
        <w:rPr>
          <w:rFonts w:ascii="Garamond" w:hAnsi="Garamond"/>
          <w:sz w:val="24"/>
        </w:rPr>
        <w:t xml:space="preserve"> (</w:t>
      </w:r>
      <w:r w:rsidR="005C1DD9" w:rsidRPr="00B907A3">
        <w:rPr>
          <w:rFonts w:ascii="Garamond" w:hAnsi="Garamond"/>
          <w:sz w:val="24"/>
        </w:rPr>
        <w:t xml:space="preserve">figura 4-4, skenari </w:t>
      </w:r>
      <w:r w:rsidRPr="00B907A3">
        <w:rPr>
          <w:rFonts w:ascii="Garamond" w:hAnsi="Garamond"/>
          <w:sz w:val="24"/>
        </w:rPr>
        <w:t>3).</w:t>
      </w:r>
    </w:p>
    <w:p w14:paraId="3BBE4AEA" w14:textId="12EFCB12" w:rsidR="004D4B32" w:rsidRPr="00B907A3" w:rsidRDefault="004D4B32" w:rsidP="008C4E07">
      <w:pPr>
        <w:spacing w:after="0"/>
        <w:ind w:firstLine="284"/>
        <w:rPr>
          <w:rFonts w:ascii="Garamond" w:hAnsi="Garamond"/>
          <w:sz w:val="24"/>
        </w:rPr>
      </w:pPr>
      <w:r w:rsidRPr="00B907A3">
        <w:rPr>
          <w:rFonts w:ascii="Garamond" w:hAnsi="Garamond"/>
          <w:sz w:val="24"/>
        </w:rPr>
        <w:t>Duke pasur parasysh se SSRR-ja e dytë në realitet do të nisë me një Plan Veprimi të plotë nga viti 2026, qëllimi ambicioz i BE-së për dekadën do të mbetet përparësi dhe do të vazhdojë të shërbejë si objektiv politik i miratuar në mënyrë strategjike.</w:t>
      </w:r>
    </w:p>
    <w:p w14:paraId="4A20913A" w14:textId="24E58265" w:rsidR="004D4B32" w:rsidRPr="00B907A3" w:rsidRDefault="00F00E16" w:rsidP="008C4E07">
      <w:pPr>
        <w:spacing w:after="0"/>
        <w:ind w:firstLine="284"/>
        <w:rPr>
          <w:rFonts w:ascii="Garamond" w:hAnsi="Garamond"/>
          <w:sz w:val="24"/>
        </w:rPr>
      </w:pPr>
      <w:r w:rsidRPr="00B907A3">
        <w:rPr>
          <w:rFonts w:ascii="Garamond" w:hAnsi="Garamond"/>
          <w:sz w:val="24"/>
        </w:rPr>
        <w:t xml:space="preserve">Duke qenë se strategjia </w:t>
      </w:r>
      <w:r w:rsidR="00395565" w:rsidRPr="00B907A3">
        <w:rPr>
          <w:rFonts w:ascii="Garamond" w:hAnsi="Garamond"/>
          <w:sz w:val="24"/>
        </w:rPr>
        <w:t>shtrihet në gjysmën e dekadës 2021</w:t>
      </w:r>
      <w:r w:rsidR="00D121E9">
        <w:rPr>
          <w:rFonts w:ascii="Garamond" w:hAnsi="Garamond"/>
          <w:sz w:val="24"/>
        </w:rPr>
        <w:t>–</w:t>
      </w:r>
      <w:r w:rsidR="00395565" w:rsidRPr="00B907A3">
        <w:rPr>
          <w:rFonts w:ascii="Garamond" w:hAnsi="Garamond"/>
          <w:sz w:val="24"/>
        </w:rPr>
        <w:t xml:space="preserve">2030 </w:t>
      </w:r>
      <w:r w:rsidR="007A6779" w:rsidRPr="00B907A3">
        <w:rPr>
          <w:rFonts w:ascii="Garamond" w:hAnsi="Garamond"/>
          <w:sz w:val="24"/>
        </w:rPr>
        <w:t xml:space="preserve">do të konsiderohej një objektiv më realist </w:t>
      </w:r>
      <w:r w:rsidR="00337DDE" w:rsidRPr="00B907A3">
        <w:rPr>
          <w:rFonts w:ascii="Garamond" w:hAnsi="Garamond"/>
          <w:sz w:val="24"/>
        </w:rPr>
        <w:t>objektivi i skenarit 2</w:t>
      </w:r>
      <w:r w:rsidR="00922159" w:rsidRPr="00B907A3">
        <w:rPr>
          <w:rFonts w:ascii="Garamond" w:hAnsi="Garamond"/>
          <w:sz w:val="24"/>
        </w:rPr>
        <w:t xml:space="preserve">, </w:t>
      </w:r>
      <w:r w:rsidR="00A558C4" w:rsidRPr="00B907A3">
        <w:rPr>
          <w:rFonts w:ascii="Garamond" w:hAnsi="Garamond"/>
          <w:sz w:val="24"/>
        </w:rPr>
        <w:t>reduktimi i fataliteteve me rreth 30%</w:t>
      </w:r>
      <w:r w:rsidR="004D4B32" w:rsidRPr="00B907A3">
        <w:rPr>
          <w:rFonts w:ascii="Garamond" w:hAnsi="Garamond"/>
          <w:sz w:val="24"/>
        </w:rPr>
        <w:t>.</w:t>
      </w:r>
    </w:p>
    <w:p w14:paraId="5E70471E" w14:textId="0C621A3E" w:rsidR="004D4B32" w:rsidRPr="00B907A3" w:rsidRDefault="004D4B32" w:rsidP="008C4E07">
      <w:pPr>
        <w:spacing w:after="0"/>
        <w:ind w:firstLine="284"/>
        <w:rPr>
          <w:rFonts w:ascii="Garamond" w:hAnsi="Garamond"/>
          <w:sz w:val="24"/>
        </w:rPr>
      </w:pPr>
      <w:r w:rsidRPr="00B907A3">
        <w:rPr>
          <w:rFonts w:ascii="Garamond" w:hAnsi="Garamond"/>
          <w:sz w:val="24"/>
        </w:rPr>
        <w:lastRenderedPageBreak/>
        <w:t xml:space="preserve">Arritja e këtij </w:t>
      </w:r>
      <w:r w:rsidR="00A558C4" w:rsidRPr="00B907A3">
        <w:rPr>
          <w:rFonts w:ascii="Garamond" w:hAnsi="Garamond"/>
          <w:sz w:val="24"/>
        </w:rPr>
        <w:t>ob</w:t>
      </w:r>
      <w:r w:rsidR="002763F8" w:rsidRPr="00B907A3">
        <w:rPr>
          <w:rFonts w:ascii="Garamond" w:hAnsi="Garamond"/>
          <w:sz w:val="24"/>
        </w:rPr>
        <w:t>jektivi</w:t>
      </w:r>
      <w:r w:rsidRPr="00B907A3">
        <w:rPr>
          <w:rFonts w:ascii="Garamond" w:hAnsi="Garamond"/>
          <w:sz w:val="24"/>
        </w:rPr>
        <w:t xml:space="preserve"> do të kërkojë përpjekje të koordinuara, ndërsektoriale, duke zbatuar element</w:t>
      </w:r>
      <w:r w:rsidR="00D121E9">
        <w:rPr>
          <w:rFonts w:ascii="Garamond" w:hAnsi="Garamond"/>
          <w:sz w:val="24"/>
        </w:rPr>
        <w:t>e</w:t>
      </w:r>
      <w:r w:rsidRPr="00B907A3">
        <w:rPr>
          <w:rFonts w:ascii="Garamond" w:hAnsi="Garamond"/>
          <w:sz w:val="24"/>
        </w:rPr>
        <w:t xml:space="preserve">t e Sistemit të Sigurt (pesë </w:t>
      </w:r>
      <w:r w:rsidR="00384A76" w:rsidRPr="00B907A3">
        <w:rPr>
          <w:rFonts w:ascii="Garamond" w:hAnsi="Garamond"/>
          <w:sz w:val="24"/>
        </w:rPr>
        <w:t>komponentët</w:t>
      </w:r>
      <w:r w:rsidRPr="00B907A3">
        <w:rPr>
          <w:rFonts w:ascii="Garamond" w:hAnsi="Garamond"/>
          <w:sz w:val="24"/>
        </w:rPr>
        <w:t xml:space="preserve"> e sigurisë rrugore) dhe objektiva të qart</w:t>
      </w:r>
      <w:r w:rsidR="00D121E9">
        <w:rPr>
          <w:rFonts w:ascii="Garamond" w:hAnsi="Garamond"/>
          <w:sz w:val="24"/>
        </w:rPr>
        <w:t>ë</w:t>
      </w:r>
      <w:r w:rsidRPr="00B907A3">
        <w:rPr>
          <w:rFonts w:ascii="Garamond" w:hAnsi="Garamond"/>
          <w:sz w:val="24"/>
        </w:rPr>
        <w:t xml:space="preserve">, të lidhura me </w:t>
      </w:r>
      <w:r w:rsidR="009F6DAE" w:rsidRPr="00B907A3">
        <w:rPr>
          <w:rFonts w:ascii="Garamond" w:hAnsi="Garamond"/>
          <w:sz w:val="24"/>
        </w:rPr>
        <w:t>kompo</w:t>
      </w:r>
      <w:r w:rsidR="00960B9C" w:rsidRPr="00B907A3">
        <w:rPr>
          <w:rFonts w:ascii="Garamond" w:hAnsi="Garamond"/>
          <w:sz w:val="24"/>
        </w:rPr>
        <w:t>nentët</w:t>
      </w:r>
      <w:r w:rsidRPr="00B907A3">
        <w:rPr>
          <w:rFonts w:ascii="Garamond" w:hAnsi="Garamond"/>
          <w:sz w:val="24"/>
        </w:rPr>
        <w:t xml:space="preserve"> (rezultatet).</w:t>
      </w:r>
    </w:p>
    <w:p w14:paraId="60CC0D15" w14:textId="3B8B5969" w:rsidR="004D4B32" w:rsidRPr="00B907A3" w:rsidRDefault="00D51215" w:rsidP="008C4E07">
      <w:pPr>
        <w:spacing w:after="0"/>
        <w:ind w:firstLine="284"/>
        <w:rPr>
          <w:rFonts w:ascii="Garamond" w:hAnsi="Garamond"/>
          <w:sz w:val="24"/>
          <w:lang w:eastAsia="en-US"/>
        </w:rPr>
      </w:pPr>
      <w:r w:rsidRPr="00B907A3">
        <w:rPr>
          <w:rFonts w:ascii="Garamond" w:hAnsi="Garamond"/>
          <w:sz w:val="24"/>
          <w:lang w:eastAsia="en-US"/>
        </w:rPr>
        <w:t>-</w:t>
      </w:r>
      <w:r w:rsidR="004D4B32" w:rsidRPr="00B907A3">
        <w:rPr>
          <w:rFonts w:ascii="Garamond" w:hAnsi="Garamond"/>
          <w:sz w:val="24"/>
          <w:lang w:eastAsia="en-US"/>
        </w:rPr>
        <w:t xml:space="preserve"> </w:t>
      </w:r>
      <w:r w:rsidR="004D4B32" w:rsidRPr="00B907A3">
        <w:rPr>
          <w:rFonts w:ascii="Garamond" w:hAnsi="Garamond"/>
          <w:b/>
          <w:bCs/>
          <w:sz w:val="24"/>
          <w:lang w:eastAsia="en-US"/>
        </w:rPr>
        <w:t>Përmirësimi i kapacitetit të menaxhimit të sigurisë rrugore</w:t>
      </w:r>
      <w:r w:rsidR="004D4B32" w:rsidRPr="00B907A3">
        <w:rPr>
          <w:rFonts w:ascii="Garamond" w:hAnsi="Garamond"/>
          <w:sz w:val="24"/>
          <w:lang w:eastAsia="en-US"/>
        </w:rPr>
        <w:t xml:space="preserve"> në vend përmes forcimit të funksioneve të agjenci</w:t>
      </w:r>
      <w:r w:rsidR="00384A76" w:rsidRPr="00B907A3">
        <w:rPr>
          <w:rFonts w:ascii="Garamond" w:hAnsi="Garamond"/>
          <w:sz w:val="24"/>
          <w:lang w:eastAsia="en-US"/>
        </w:rPr>
        <w:t>ve</w:t>
      </w:r>
      <w:r w:rsidR="004D4B32" w:rsidRPr="00B907A3">
        <w:rPr>
          <w:rFonts w:ascii="Garamond" w:hAnsi="Garamond"/>
          <w:sz w:val="24"/>
          <w:lang w:eastAsia="en-US"/>
        </w:rPr>
        <w:t xml:space="preserve"> drejtuese kryesore për sigurinë rrugore.</w:t>
      </w:r>
      <w:r w:rsidR="005F0C79" w:rsidRPr="00B907A3">
        <w:rPr>
          <w:rFonts w:ascii="Garamond" w:hAnsi="Garamond"/>
          <w:sz w:val="24"/>
          <w:lang w:eastAsia="en-US"/>
        </w:rPr>
        <w:t xml:space="preserve"> </w:t>
      </w:r>
      <w:r w:rsidR="004D4B32" w:rsidRPr="00B907A3">
        <w:rPr>
          <w:rFonts w:ascii="Garamond" w:hAnsi="Garamond"/>
          <w:b/>
          <w:bCs/>
          <w:sz w:val="24"/>
          <w:u w:val="single"/>
          <w:lang w:eastAsia="en-US"/>
        </w:rPr>
        <w:t xml:space="preserve">Rezultati specifik për </w:t>
      </w:r>
      <w:r w:rsidR="00384A76" w:rsidRPr="00B907A3">
        <w:rPr>
          <w:rFonts w:ascii="Garamond" w:hAnsi="Garamond"/>
          <w:b/>
          <w:bCs/>
          <w:sz w:val="24"/>
          <w:u w:val="single"/>
          <w:lang w:eastAsia="en-US"/>
        </w:rPr>
        <w:t>Komponentin</w:t>
      </w:r>
      <w:r w:rsidR="005F0C79" w:rsidRPr="00B907A3">
        <w:rPr>
          <w:rFonts w:ascii="Garamond" w:hAnsi="Garamond"/>
          <w:b/>
          <w:bCs/>
          <w:sz w:val="24"/>
          <w:u w:val="single"/>
          <w:lang w:eastAsia="en-US"/>
        </w:rPr>
        <w:t xml:space="preserve"> </w:t>
      </w:r>
      <w:r w:rsidR="004D4B32" w:rsidRPr="00B907A3">
        <w:rPr>
          <w:rFonts w:ascii="Garamond" w:hAnsi="Garamond"/>
          <w:b/>
          <w:bCs/>
          <w:sz w:val="24"/>
          <w:u w:val="single"/>
          <w:lang w:eastAsia="en-US"/>
        </w:rPr>
        <w:t>1</w:t>
      </w:r>
      <w:r w:rsidR="004D4B32" w:rsidRPr="00B907A3">
        <w:rPr>
          <w:rFonts w:ascii="Garamond" w:hAnsi="Garamond"/>
          <w:sz w:val="24"/>
          <w:lang w:eastAsia="en-US"/>
        </w:rPr>
        <w:t>: krijimi i një sistemi mbrojtës efektiv për sigurinë rrugore, me një qeverisje të qartë për sigurinë rrugore dhe me komunikim, bashkëpunim dhe koordinim efektiv mes aktorëve kryesorë të sigurisë rrugore në zbatimin e ndërhyrjeve të rëna dakord.</w:t>
      </w:r>
    </w:p>
    <w:p w14:paraId="0F1ED29F" w14:textId="3B0FD460" w:rsidR="004D4B32" w:rsidRPr="00B907A3" w:rsidRDefault="00D51215" w:rsidP="008C4E07">
      <w:pPr>
        <w:spacing w:after="0"/>
        <w:ind w:firstLine="284"/>
        <w:rPr>
          <w:rFonts w:ascii="Garamond" w:hAnsi="Garamond"/>
          <w:sz w:val="24"/>
          <w:lang w:eastAsia="en-US"/>
        </w:rPr>
      </w:pPr>
      <w:r w:rsidRPr="00B907A3">
        <w:rPr>
          <w:rFonts w:ascii="Garamond" w:hAnsi="Garamond"/>
          <w:sz w:val="24"/>
          <w:lang w:eastAsia="en-US"/>
        </w:rPr>
        <w:t>-</w:t>
      </w:r>
      <w:r w:rsidR="004D4B32" w:rsidRPr="00B907A3">
        <w:rPr>
          <w:rFonts w:ascii="Garamond" w:hAnsi="Garamond"/>
          <w:sz w:val="24"/>
          <w:lang w:eastAsia="en-US"/>
        </w:rPr>
        <w:t xml:space="preserve"> </w:t>
      </w:r>
      <w:r w:rsidR="004D4B32" w:rsidRPr="00B907A3">
        <w:rPr>
          <w:rFonts w:ascii="Garamond" w:hAnsi="Garamond"/>
          <w:b/>
          <w:bCs/>
          <w:sz w:val="24"/>
          <w:lang w:eastAsia="en-US"/>
        </w:rPr>
        <w:t>Rritja e sigurisë së rrugëve</w:t>
      </w:r>
      <w:r w:rsidR="004D4B32" w:rsidRPr="00B907A3">
        <w:rPr>
          <w:rFonts w:ascii="Garamond" w:hAnsi="Garamond"/>
          <w:sz w:val="24"/>
          <w:lang w:eastAsia="en-US"/>
        </w:rPr>
        <w:t xml:space="preserve">, përfshirë shpejtësitë e sigurta, për të reduktuar </w:t>
      </w:r>
      <w:r w:rsidR="00AB2F93" w:rsidRPr="00B907A3">
        <w:rPr>
          <w:rFonts w:ascii="Garamond" w:hAnsi="Garamond"/>
          <w:sz w:val="24"/>
          <w:lang w:eastAsia="en-US"/>
        </w:rPr>
        <w:t>shkall</w:t>
      </w:r>
      <w:r w:rsidR="00AB2F93" w:rsidRPr="00B907A3">
        <w:rPr>
          <w:rFonts w:ascii="Garamond" w:hAnsi="Garamond"/>
          <w:sz w:val="24"/>
        </w:rPr>
        <w:t xml:space="preserve">ën </w:t>
      </w:r>
      <w:r w:rsidR="004D4B32" w:rsidRPr="00B907A3">
        <w:rPr>
          <w:rFonts w:ascii="Garamond" w:hAnsi="Garamond"/>
          <w:sz w:val="24"/>
          <w:lang w:eastAsia="en-US"/>
        </w:rPr>
        <w:t xml:space="preserve">e pasojave kur ndodhin përplasje, me fokus të veçantë në përmirësimet infrastrukturore që mbrojnë përdoruesit </w:t>
      </w:r>
      <w:r w:rsidR="00AB2F93" w:rsidRPr="00B907A3">
        <w:rPr>
          <w:rFonts w:ascii="Garamond" w:hAnsi="Garamond"/>
          <w:sz w:val="24"/>
          <w:lang w:eastAsia="en-US"/>
        </w:rPr>
        <w:t xml:space="preserve">e rrezikuar </w:t>
      </w:r>
      <w:r w:rsidR="004D4B32" w:rsidRPr="00B907A3">
        <w:rPr>
          <w:rFonts w:ascii="Garamond" w:hAnsi="Garamond"/>
          <w:sz w:val="24"/>
          <w:lang w:eastAsia="en-US"/>
        </w:rPr>
        <w:t>të rrugës, si p.sh., këmbësorët dhe çiklistët.</w:t>
      </w:r>
      <w:r w:rsidR="00AB2F93" w:rsidRPr="00B907A3">
        <w:rPr>
          <w:rFonts w:ascii="Garamond" w:hAnsi="Garamond"/>
          <w:sz w:val="24"/>
          <w:lang w:eastAsia="en-US"/>
        </w:rPr>
        <w:t xml:space="preserve"> </w:t>
      </w:r>
      <w:r w:rsidR="004D4B32" w:rsidRPr="00B907A3">
        <w:rPr>
          <w:rFonts w:ascii="Garamond" w:hAnsi="Garamond"/>
          <w:b/>
          <w:bCs/>
          <w:sz w:val="24"/>
          <w:u w:val="single"/>
          <w:lang w:eastAsia="en-US"/>
        </w:rPr>
        <w:t xml:space="preserve">Rezultati specifik për </w:t>
      </w:r>
      <w:r w:rsidR="005B24C7" w:rsidRPr="00B907A3">
        <w:rPr>
          <w:rFonts w:ascii="Garamond" w:hAnsi="Garamond"/>
          <w:b/>
          <w:bCs/>
          <w:sz w:val="24"/>
          <w:u w:val="single"/>
          <w:lang w:eastAsia="en-US"/>
        </w:rPr>
        <w:t>komponentin</w:t>
      </w:r>
      <w:r w:rsidR="004D4B32" w:rsidRPr="00B907A3">
        <w:rPr>
          <w:rFonts w:ascii="Garamond" w:hAnsi="Garamond"/>
          <w:b/>
          <w:bCs/>
          <w:sz w:val="24"/>
          <w:u w:val="single"/>
          <w:lang w:eastAsia="en-US"/>
        </w:rPr>
        <w:t xml:space="preserve"> 2</w:t>
      </w:r>
      <w:r w:rsidR="004D4B32" w:rsidRPr="00B907A3">
        <w:rPr>
          <w:rFonts w:ascii="Garamond" w:hAnsi="Garamond"/>
          <w:sz w:val="24"/>
          <w:lang w:eastAsia="en-US"/>
        </w:rPr>
        <w:t xml:space="preserve">: sigurimi i rrugëve të sigurta, në mënyrë që shumica e udhëtimeve të kryhen në rrugë të projektuara në mënyrë të sigurt, të ndërtuara mirë dhe të mirëmbajtura rregullisht, me një </w:t>
      </w:r>
      <w:r w:rsidR="00AB2F93" w:rsidRPr="00B907A3">
        <w:rPr>
          <w:rFonts w:ascii="Garamond" w:hAnsi="Garamond"/>
          <w:sz w:val="24"/>
          <w:lang w:eastAsia="en-US"/>
        </w:rPr>
        <w:t xml:space="preserve">risk </w:t>
      </w:r>
      <w:r w:rsidR="004D4B32" w:rsidRPr="00B907A3">
        <w:rPr>
          <w:rFonts w:ascii="Garamond" w:hAnsi="Garamond"/>
          <w:sz w:val="24"/>
          <w:lang w:eastAsia="en-US"/>
        </w:rPr>
        <w:t>më të ulët aksidentesh.</w:t>
      </w:r>
    </w:p>
    <w:p w14:paraId="2C82D822" w14:textId="45E396F7" w:rsidR="004D4B32" w:rsidRPr="00B907A3" w:rsidRDefault="00D51215" w:rsidP="008C4E07">
      <w:pPr>
        <w:spacing w:after="0"/>
        <w:ind w:firstLine="284"/>
        <w:rPr>
          <w:rFonts w:ascii="Garamond" w:hAnsi="Garamond"/>
          <w:sz w:val="24"/>
          <w:lang w:eastAsia="en-US"/>
        </w:rPr>
      </w:pPr>
      <w:r w:rsidRPr="00B907A3">
        <w:rPr>
          <w:rFonts w:ascii="Garamond" w:hAnsi="Garamond"/>
          <w:sz w:val="24"/>
          <w:lang w:eastAsia="en-US"/>
        </w:rPr>
        <w:t>-</w:t>
      </w:r>
      <w:r w:rsidR="004D4B32" w:rsidRPr="00B907A3">
        <w:rPr>
          <w:rFonts w:ascii="Garamond" w:hAnsi="Garamond"/>
          <w:sz w:val="24"/>
          <w:lang w:eastAsia="en-US"/>
        </w:rPr>
        <w:t xml:space="preserve"> </w:t>
      </w:r>
      <w:r w:rsidR="004D4B32" w:rsidRPr="00B907A3">
        <w:rPr>
          <w:rFonts w:ascii="Garamond" w:hAnsi="Garamond"/>
          <w:b/>
          <w:bCs/>
          <w:sz w:val="24"/>
          <w:lang w:eastAsia="en-US"/>
        </w:rPr>
        <w:t>Përmirësimi i sigurisë së mjeteve</w:t>
      </w:r>
      <w:r w:rsidR="004D4B32" w:rsidRPr="00B907A3">
        <w:rPr>
          <w:rFonts w:ascii="Garamond" w:hAnsi="Garamond"/>
          <w:sz w:val="24"/>
          <w:lang w:eastAsia="en-US"/>
        </w:rPr>
        <w:t xml:space="preserve"> përmes forcimit të teknologjive aktive dhe pasive të automjeteve.</w:t>
      </w:r>
      <w:r w:rsidR="005C1DD9">
        <w:rPr>
          <w:rFonts w:ascii="Garamond" w:hAnsi="Garamond"/>
          <w:sz w:val="24"/>
          <w:lang w:eastAsia="en-US"/>
        </w:rPr>
        <w:t xml:space="preserve"> </w:t>
      </w:r>
      <w:r w:rsidR="004D4B32" w:rsidRPr="00B907A3">
        <w:rPr>
          <w:rFonts w:ascii="Garamond" w:hAnsi="Garamond"/>
          <w:b/>
          <w:bCs/>
          <w:sz w:val="24"/>
          <w:u w:val="single"/>
          <w:lang w:eastAsia="en-US"/>
        </w:rPr>
        <w:t xml:space="preserve">Rezultati specifik për </w:t>
      </w:r>
      <w:r w:rsidR="008D4378" w:rsidRPr="00B907A3">
        <w:rPr>
          <w:rFonts w:ascii="Garamond" w:hAnsi="Garamond"/>
          <w:b/>
          <w:bCs/>
          <w:sz w:val="24"/>
          <w:u w:val="single"/>
          <w:lang w:eastAsia="en-US"/>
        </w:rPr>
        <w:t>komponentin</w:t>
      </w:r>
      <w:r w:rsidR="004D4B32" w:rsidRPr="00B907A3">
        <w:rPr>
          <w:rFonts w:ascii="Garamond" w:hAnsi="Garamond"/>
          <w:b/>
          <w:bCs/>
          <w:sz w:val="24"/>
          <w:u w:val="single"/>
          <w:lang w:eastAsia="en-US"/>
        </w:rPr>
        <w:t xml:space="preserve"> 3</w:t>
      </w:r>
      <w:r w:rsidR="004D4B32" w:rsidRPr="00B907A3">
        <w:rPr>
          <w:rFonts w:ascii="Garamond" w:hAnsi="Garamond"/>
          <w:sz w:val="24"/>
          <w:lang w:eastAsia="en-US"/>
        </w:rPr>
        <w:t>: përmirësimi i standar</w:t>
      </w:r>
      <w:r w:rsidR="005C1DD9">
        <w:rPr>
          <w:rFonts w:ascii="Garamond" w:hAnsi="Garamond"/>
          <w:sz w:val="24"/>
          <w:lang w:eastAsia="en-US"/>
        </w:rPr>
        <w:t>d</w:t>
      </w:r>
      <w:r w:rsidR="004D4B32" w:rsidRPr="00B907A3">
        <w:rPr>
          <w:rFonts w:ascii="Garamond" w:hAnsi="Garamond"/>
          <w:sz w:val="24"/>
          <w:lang w:eastAsia="en-US"/>
        </w:rPr>
        <w:t>eve të sigurisë së automjeteve për të mundësuar një siguri më të lartë në</w:t>
      </w:r>
      <w:r w:rsidR="000B20C9" w:rsidRPr="00B907A3">
        <w:rPr>
          <w:rFonts w:ascii="Garamond" w:hAnsi="Garamond"/>
          <w:sz w:val="24"/>
          <w:lang w:eastAsia="en-US"/>
        </w:rPr>
        <w:t xml:space="preserve"> qarkullim </w:t>
      </w:r>
      <w:r w:rsidR="004D4B32" w:rsidRPr="00B907A3">
        <w:rPr>
          <w:rFonts w:ascii="Garamond" w:hAnsi="Garamond"/>
          <w:sz w:val="24"/>
          <w:lang w:eastAsia="en-US"/>
        </w:rPr>
        <w:t>dhe për të përmirësuar lidhjen mes faktorëve: mjet–rrugë–njeri, me synim përmirësimin e standar</w:t>
      </w:r>
      <w:r w:rsidR="005C1DD9">
        <w:rPr>
          <w:rFonts w:ascii="Garamond" w:hAnsi="Garamond"/>
          <w:sz w:val="24"/>
          <w:lang w:eastAsia="en-US"/>
        </w:rPr>
        <w:t>d</w:t>
      </w:r>
      <w:r w:rsidR="004D4B32" w:rsidRPr="00B907A3">
        <w:rPr>
          <w:rFonts w:ascii="Garamond" w:hAnsi="Garamond"/>
          <w:sz w:val="24"/>
          <w:lang w:eastAsia="en-US"/>
        </w:rPr>
        <w:t xml:space="preserve">eve të sigurisë së mjeteve në përputhje me </w:t>
      </w:r>
      <w:r w:rsidR="004D4B32" w:rsidRPr="00B907A3">
        <w:rPr>
          <w:rFonts w:ascii="Garamond" w:hAnsi="Garamond"/>
          <w:i/>
          <w:iCs/>
          <w:sz w:val="24"/>
          <w:lang w:eastAsia="en-US"/>
        </w:rPr>
        <w:t>acquis</w:t>
      </w:r>
      <w:r w:rsidR="000B20C9" w:rsidRPr="00B907A3">
        <w:rPr>
          <w:rFonts w:ascii="Garamond" w:hAnsi="Garamond"/>
          <w:sz w:val="24"/>
          <w:lang w:eastAsia="en-US"/>
        </w:rPr>
        <w:t xml:space="preserve"> t</w:t>
      </w:r>
      <w:r w:rsidR="000B20C9" w:rsidRPr="00B907A3">
        <w:rPr>
          <w:rFonts w:ascii="Garamond" w:hAnsi="Garamond"/>
          <w:sz w:val="24"/>
        </w:rPr>
        <w:t xml:space="preserve">ë </w:t>
      </w:r>
      <w:r w:rsidR="004D4B32" w:rsidRPr="00B907A3">
        <w:rPr>
          <w:rFonts w:ascii="Garamond" w:hAnsi="Garamond"/>
          <w:sz w:val="24"/>
          <w:lang w:eastAsia="en-US"/>
        </w:rPr>
        <w:t>BE-së.</w:t>
      </w:r>
    </w:p>
    <w:p w14:paraId="32AA56EF" w14:textId="39B3C781" w:rsidR="004D4B32" w:rsidRPr="00B907A3" w:rsidRDefault="00D51215" w:rsidP="008C4E07">
      <w:pPr>
        <w:spacing w:after="0"/>
        <w:ind w:firstLine="284"/>
        <w:rPr>
          <w:rFonts w:ascii="Garamond" w:hAnsi="Garamond"/>
          <w:sz w:val="24"/>
          <w:lang w:eastAsia="en-US"/>
        </w:rPr>
      </w:pPr>
      <w:r w:rsidRPr="00B907A3">
        <w:rPr>
          <w:rFonts w:ascii="Garamond" w:hAnsi="Garamond"/>
          <w:sz w:val="24"/>
          <w:lang w:eastAsia="en-US"/>
        </w:rPr>
        <w:t>-</w:t>
      </w:r>
      <w:r w:rsidR="004D4B32" w:rsidRPr="00B907A3">
        <w:rPr>
          <w:rFonts w:ascii="Garamond" w:hAnsi="Garamond"/>
          <w:sz w:val="24"/>
          <w:lang w:eastAsia="en-US"/>
        </w:rPr>
        <w:t xml:space="preserve"> </w:t>
      </w:r>
      <w:r w:rsidR="004D4B32" w:rsidRPr="00B907A3">
        <w:rPr>
          <w:rFonts w:ascii="Garamond" w:hAnsi="Garamond"/>
          <w:b/>
          <w:bCs/>
          <w:sz w:val="24"/>
          <w:lang w:eastAsia="en-US"/>
        </w:rPr>
        <w:t>Nxitja e një kulture të fortë për sigurinë rrugore</w:t>
      </w:r>
      <w:r w:rsidR="004D4B32" w:rsidRPr="00B907A3">
        <w:rPr>
          <w:rFonts w:ascii="Garamond" w:hAnsi="Garamond"/>
          <w:sz w:val="24"/>
          <w:lang w:eastAsia="en-US"/>
        </w:rPr>
        <w:t xml:space="preserve"> përmes edukimit të vazhdueshëm, ndërgjegjësimit publik dhe fushatave për ndryshimin e sjelljes, </w:t>
      </w:r>
      <w:r w:rsidR="000B20C9" w:rsidRPr="00B907A3">
        <w:rPr>
          <w:rFonts w:ascii="Garamond" w:hAnsi="Garamond"/>
          <w:sz w:val="24"/>
          <w:lang w:eastAsia="en-US"/>
        </w:rPr>
        <w:t>me fokus tek t</w:t>
      </w:r>
      <w:r w:rsidR="000B20C9" w:rsidRPr="00B907A3">
        <w:rPr>
          <w:rFonts w:ascii="Garamond" w:hAnsi="Garamond"/>
          <w:sz w:val="24"/>
        </w:rPr>
        <w:t xml:space="preserve">ë rinjtë, </w:t>
      </w:r>
      <w:r w:rsidR="004D4B32" w:rsidRPr="00B907A3">
        <w:rPr>
          <w:rFonts w:ascii="Garamond" w:hAnsi="Garamond"/>
          <w:sz w:val="24"/>
          <w:lang w:eastAsia="en-US"/>
        </w:rPr>
        <w:t>përfshirë modernizimin e mekanizmave të zbatimit të ligjit për trafikun në mënyrë që të sigurohet pajtueshmëri më e madhe me rregulloret dhe efekt ndëshkues.</w:t>
      </w:r>
      <w:r w:rsidR="000B20C9" w:rsidRPr="00B907A3">
        <w:rPr>
          <w:rFonts w:ascii="Garamond" w:hAnsi="Garamond"/>
          <w:sz w:val="24"/>
          <w:lang w:eastAsia="en-US"/>
        </w:rPr>
        <w:t xml:space="preserve"> </w:t>
      </w:r>
      <w:r w:rsidR="004D4B32" w:rsidRPr="00B907A3">
        <w:rPr>
          <w:rFonts w:ascii="Garamond" w:hAnsi="Garamond"/>
          <w:b/>
          <w:bCs/>
          <w:sz w:val="24"/>
          <w:u w:val="single"/>
          <w:lang w:eastAsia="en-US"/>
        </w:rPr>
        <w:t xml:space="preserve">Rezultati specifik për </w:t>
      </w:r>
      <w:r w:rsidR="009C6199" w:rsidRPr="00B907A3">
        <w:rPr>
          <w:rFonts w:ascii="Garamond" w:hAnsi="Garamond"/>
          <w:b/>
          <w:bCs/>
          <w:sz w:val="24"/>
          <w:u w:val="single"/>
          <w:lang w:eastAsia="en-US"/>
        </w:rPr>
        <w:t>komponentin</w:t>
      </w:r>
      <w:r w:rsidR="004D4B32" w:rsidRPr="00B907A3">
        <w:rPr>
          <w:rFonts w:ascii="Garamond" w:hAnsi="Garamond"/>
          <w:b/>
          <w:bCs/>
          <w:sz w:val="24"/>
          <w:u w:val="single"/>
          <w:lang w:eastAsia="en-US"/>
        </w:rPr>
        <w:t xml:space="preserve"> 4</w:t>
      </w:r>
      <w:r w:rsidR="004D4B32" w:rsidRPr="00B907A3">
        <w:rPr>
          <w:rFonts w:ascii="Garamond" w:hAnsi="Garamond"/>
          <w:sz w:val="24"/>
          <w:u w:val="single"/>
          <w:lang w:eastAsia="en-US"/>
        </w:rPr>
        <w:t>:</w:t>
      </w:r>
      <w:r w:rsidR="004D4B32" w:rsidRPr="00B907A3">
        <w:rPr>
          <w:rFonts w:ascii="Garamond" w:hAnsi="Garamond"/>
          <w:sz w:val="24"/>
          <w:lang w:eastAsia="en-US"/>
        </w:rPr>
        <w:t xml:space="preserve"> rritja e njohurive, qëndrimeve dhe sjelljeve të përdoruesve të rrugës në një nivel të krahasueshëm me mesataren e vendeve anëtare të BE-së, duke monitoruar nga afër treguesit kryesorë të performancës së sjelljes (pesë TKP) dhe qëndrimet e përdoruesve të rrugës ndaj </w:t>
      </w:r>
      <w:r w:rsidR="00B3188E" w:rsidRPr="00B907A3">
        <w:rPr>
          <w:rFonts w:ascii="Garamond" w:hAnsi="Garamond"/>
          <w:sz w:val="24"/>
          <w:lang w:eastAsia="en-US"/>
        </w:rPr>
        <w:t xml:space="preserve">risqeve </w:t>
      </w:r>
      <w:r w:rsidR="004D4B32" w:rsidRPr="00B907A3">
        <w:rPr>
          <w:rFonts w:ascii="Garamond" w:hAnsi="Garamond"/>
          <w:sz w:val="24"/>
          <w:lang w:eastAsia="en-US"/>
        </w:rPr>
        <w:t>kryesore të sigurisë rrugore.</w:t>
      </w:r>
    </w:p>
    <w:p w14:paraId="3C9F2A16" w14:textId="47236AA1" w:rsidR="00B3188E" w:rsidRPr="00B907A3" w:rsidRDefault="00D51215" w:rsidP="008C4E07">
      <w:pPr>
        <w:spacing w:after="0"/>
        <w:ind w:firstLine="284"/>
        <w:rPr>
          <w:rFonts w:ascii="Garamond" w:hAnsi="Garamond"/>
          <w:sz w:val="24"/>
          <w:lang w:eastAsia="en-US"/>
        </w:rPr>
      </w:pPr>
      <w:r w:rsidRPr="00B907A3">
        <w:rPr>
          <w:rFonts w:ascii="Garamond" w:hAnsi="Garamond"/>
          <w:sz w:val="24"/>
          <w:lang w:eastAsia="en-US"/>
        </w:rPr>
        <w:t>-</w:t>
      </w:r>
      <w:r w:rsidR="004D4B32" w:rsidRPr="00B907A3">
        <w:rPr>
          <w:rFonts w:ascii="Garamond" w:hAnsi="Garamond"/>
          <w:sz w:val="24"/>
          <w:lang w:eastAsia="en-US"/>
        </w:rPr>
        <w:t xml:space="preserve"> </w:t>
      </w:r>
      <w:r w:rsidR="004D4B32" w:rsidRPr="00B907A3">
        <w:rPr>
          <w:rFonts w:ascii="Garamond" w:hAnsi="Garamond"/>
          <w:b/>
          <w:bCs/>
          <w:sz w:val="24"/>
          <w:lang w:eastAsia="en-US"/>
        </w:rPr>
        <w:t>Përmirësimi i sistemeve të reagimit emergjent, kujdesit pas-aksidentit dhe rehabilitimit</w:t>
      </w:r>
      <w:r w:rsidR="004D4B32" w:rsidRPr="00B907A3">
        <w:rPr>
          <w:rFonts w:ascii="Garamond" w:hAnsi="Garamond"/>
          <w:sz w:val="24"/>
          <w:lang w:eastAsia="en-US"/>
        </w:rPr>
        <w:t xml:space="preserve">, për të ulur </w:t>
      </w:r>
      <w:r w:rsidR="00B3188E" w:rsidRPr="00B907A3">
        <w:rPr>
          <w:rFonts w:ascii="Garamond" w:hAnsi="Garamond"/>
          <w:sz w:val="24"/>
          <w:lang w:eastAsia="en-US"/>
        </w:rPr>
        <w:t>shkall</w:t>
      </w:r>
      <w:r w:rsidR="00B3188E" w:rsidRPr="00B907A3">
        <w:rPr>
          <w:rFonts w:ascii="Garamond" w:hAnsi="Garamond"/>
          <w:sz w:val="24"/>
        </w:rPr>
        <w:t xml:space="preserve">ën e </w:t>
      </w:r>
      <w:r w:rsidR="004D4B32" w:rsidRPr="00B907A3">
        <w:rPr>
          <w:rFonts w:ascii="Garamond" w:hAnsi="Garamond"/>
          <w:sz w:val="24"/>
          <w:lang w:eastAsia="en-US"/>
        </w:rPr>
        <w:t xml:space="preserve">pasojave kur ndodhin </w:t>
      </w:r>
      <w:r w:rsidR="00265855" w:rsidRPr="00B907A3">
        <w:rPr>
          <w:rFonts w:ascii="Garamond" w:hAnsi="Garamond"/>
          <w:sz w:val="24"/>
          <w:lang w:eastAsia="en-US"/>
        </w:rPr>
        <w:t>aksidente</w:t>
      </w:r>
      <w:r w:rsidR="004D4B32" w:rsidRPr="00B907A3">
        <w:rPr>
          <w:rFonts w:ascii="Garamond" w:hAnsi="Garamond"/>
          <w:sz w:val="24"/>
          <w:lang w:eastAsia="en-US"/>
        </w:rPr>
        <w:t>.</w:t>
      </w:r>
      <w:r w:rsidR="005C1DD9">
        <w:rPr>
          <w:rFonts w:ascii="Garamond" w:hAnsi="Garamond"/>
          <w:sz w:val="24"/>
          <w:lang w:eastAsia="en-US"/>
        </w:rPr>
        <w:t xml:space="preserve"> </w:t>
      </w:r>
      <w:r w:rsidR="004D4B32" w:rsidRPr="00B907A3">
        <w:rPr>
          <w:rFonts w:ascii="Garamond" w:hAnsi="Garamond"/>
          <w:b/>
          <w:bCs/>
          <w:sz w:val="24"/>
          <w:u w:val="single"/>
          <w:lang w:eastAsia="en-US"/>
        </w:rPr>
        <w:t xml:space="preserve">Rezultati specifik për </w:t>
      </w:r>
      <w:r w:rsidR="00EB4440" w:rsidRPr="00B907A3">
        <w:rPr>
          <w:rFonts w:ascii="Garamond" w:hAnsi="Garamond"/>
          <w:b/>
          <w:bCs/>
          <w:sz w:val="24"/>
          <w:u w:val="single"/>
          <w:lang w:eastAsia="en-US"/>
        </w:rPr>
        <w:t>komponentin</w:t>
      </w:r>
      <w:r w:rsidR="004D4B32" w:rsidRPr="00B907A3">
        <w:rPr>
          <w:rFonts w:ascii="Garamond" w:hAnsi="Garamond"/>
          <w:b/>
          <w:bCs/>
          <w:sz w:val="24"/>
          <w:u w:val="single"/>
          <w:lang w:eastAsia="en-US"/>
        </w:rPr>
        <w:t xml:space="preserve"> 5</w:t>
      </w:r>
      <w:r w:rsidR="004D4B32" w:rsidRPr="00B907A3">
        <w:rPr>
          <w:rFonts w:ascii="Garamond" w:hAnsi="Garamond"/>
          <w:sz w:val="24"/>
          <w:u w:val="single"/>
          <w:lang w:eastAsia="en-US"/>
        </w:rPr>
        <w:t>:</w:t>
      </w:r>
      <w:r w:rsidR="004D4B32" w:rsidRPr="00B907A3">
        <w:rPr>
          <w:rFonts w:ascii="Garamond" w:hAnsi="Garamond"/>
          <w:sz w:val="24"/>
          <w:lang w:eastAsia="en-US"/>
        </w:rPr>
        <w:t xml:space="preserve"> sigurimi i një reagimi emergjent efektiv dhe në kohë, i kujdesit pas-aksidentit dhe rehabilitimit, që do të maksimizojë mbijetesë</w:t>
      </w:r>
      <w:r w:rsidR="00413174" w:rsidRPr="00B907A3">
        <w:rPr>
          <w:rFonts w:ascii="Garamond" w:hAnsi="Garamond"/>
          <w:sz w:val="24"/>
          <w:lang w:eastAsia="en-US"/>
        </w:rPr>
        <w:t>n</w:t>
      </w:r>
      <w:r w:rsidR="004D4B32" w:rsidRPr="00B907A3">
        <w:rPr>
          <w:rFonts w:ascii="Garamond" w:hAnsi="Garamond"/>
          <w:sz w:val="24"/>
          <w:lang w:eastAsia="en-US"/>
        </w:rPr>
        <w:t xml:space="preserve"> dhe rikuperimi</w:t>
      </w:r>
      <w:r w:rsidR="00413174" w:rsidRPr="00B907A3">
        <w:rPr>
          <w:rFonts w:ascii="Garamond" w:hAnsi="Garamond"/>
          <w:sz w:val="24"/>
          <w:lang w:eastAsia="en-US"/>
        </w:rPr>
        <w:t>n</w:t>
      </w:r>
      <w:r w:rsidR="004D4B32" w:rsidRPr="00B907A3">
        <w:rPr>
          <w:rFonts w:ascii="Garamond" w:hAnsi="Garamond"/>
          <w:sz w:val="24"/>
          <w:lang w:eastAsia="en-US"/>
        </w:rPr>
        <w:t xml:space="preserve"> pas aksidenteve, në përputhje me praktikat më të mira </w:t>
      </w:r>
      <w:r w:rsidR="00B3188E" w:rsidRPr="00B907A3">
        <w:rPr>
          <w:rFonts w:ascii="Garamond" w:hAnsi="Garamond"/>
          <w:sz w:val="24"/>
          <w:lang w:eastAsia="en-US"/>
        </w:rPr>
        <w:t xml:space="preserve">dhe </w:t>
      </w:r>
      <w:r w:rsidR="004D4B32" w:rsidRPr="00B907A3">
        <w:rPr>
          <w:rFonts w:ascii="Garamond" w:hAnsi="Garamond"/>
          <w:i/>
          <w:iCs/>
          <w:sz w:val="24"/>
          <w:lang w:eastAsia="en-US"/>
        </w:rPr>
        <w:t>acquis</w:t>
      </w:r>
      <w:r w:rsidR="004D4B32" w:rsidRPr="00B907A3">
        <w:rPr>
          <w:rFonts w:ascii="Garamond" w:hAnsi="Garamond"/>
          <w:sz w:val="24"/>
          <w:lang w:eastAsia="en-US"/>
        </w:rPr>
        <w:t>-</w:t>
      </w:r>
      <w:r w:rsidR="00B3188E" w:rsidRPr="00B907A3">
        <w:rPr>
          <w:rFonts w:ascii="Garamond" w:hAnsi="Garamond"/>
          <w:sz w:val="24"/>
          <w:lang w:eastAsia="en-US"/>
        </w:rPr>
        <w:t xml:space="preserve">in </w:t>
      </w:r>
      <w:r w:rsidR="004D4B32" w:rsidRPr="00B907A3">
        <w:rPr>
          <w:rFonts w:ascii="Garamond" w:hAnsi="Garamond"/>
          <w:sz w:val="24"/>
          <w:lang w:eastAsia="en-US"/>
        </w:rPr>
        <w:t>përkatës</w:t>
      </w:r>
      <w:r w:rsidR="00265855" w:rsidRPr="00B907A3">
        <w:rPr>
          <w:rFonts w:ascii="Garamond" w:hAnsi="Garamond"/>
          <w:sz w:val="24"/>
          <w:lang w:eastAsia="en-US"/>
        </w:rPr>
        <w:t>e</w:t>
      </w:r>
      <w:r w:rsidR="004D4B32" w:rsidRPr="00B907A3">
        <w:rPr>
          <w:rFonts w:ascii="Garamond" w:hAnsi="Garamond"/>
          <w:sz w:val="24"/>
          <w:lang w:eastAsia="en-US"/>
        </w:rPr>
        <w:t xml:space="preserve"> të BE-së</w:t>
      </w:r>
      <w:r w:rsidR="001A4203" w:rsidRPr="00B907A3">
        <w:rPr>
          <w:rFonts w:ascii="Garamond" w:hAnsi="Garamond"/>
          <w:sz w:val="24"/>
          <w:lang w:eastAsia="en-US"/>
        </w:rPr>
        <w:t>.</w:t>
      </w:r>
    </w:p>
    <w:p w14:paraId="58280BA6" w14:textId="59FDA7F5" w:rsidR="004D4B32" w:rsidRPr="00B907A3" w:rsidRDefault="004D4B32" w:rsidP="008C4E07">
      <w:pPr>
        <w:spacing w:after="0"/>
        <w:ind w:firstLine="284"/>
        <w:rPr>
          <w:rFonts w:ascii="Garamond" w:hAnsi="Garamond"/>
          <w:sz w:val="24"/>
          <w:lang w:eastAsia="en-US"/>
        </w:rPr>
      </w:pPr>
      <w:r w:rsidRPr="00B907A3">
        <w:rPr>
          <w:rFonts w:ascii="Garamond" w:hAnsi="Garamond"/>
          <w:sz w:val="24"/>
          <w:lang w:eastAsia="en-US"/>
        </w:rPr>
        <w:t xml:space="preserve">Këto rezultate specifike pasqyrojnë angazhimin e Shqipërisë ndaj </w:t>
      </w:r>
      <w:r w:rsidRPr="00B907A3">
        <w:rPr>
          <w:rFonts w:ascii="Garamond" w:hAnsi="Garamond"/>
          <w:b/>
          <w:bCs/>
          <w:sz w:val="24"/>
          <w:lang w:eastAsia="en-US"/>
        </w:rPr>
        <w:t>Qasjes së Sistemit të Sigurt</w:t>
      </w:r>
      <w:r w:rsidRPr="00B907A3">
        <w:rPr>
          <w:rFonts w:ascii="Garamond" w:hAnsi="Garamond"/>
          <w:sz w:val="24"/>
          <w:lang w:eastAsia="en-US"/>
        </w:rPr>
        <w:t>, ku të gjitha elementet e sistemit të</w:t>
      </w:r>
      <w:r w:rsidR="00B3188E" w:rsidRPr="00B907A3">
        <w:rPr>
          <w:rFonts w:ascii="Garamond" w:hAnsi="Garamond"/>
          <w:sz w:val="24"/>
          <w:lang w:eastAsia="en-US"/>
        </w:rPr>
        <w:t xml:space="preserve"> qarkullimit </w:t>
      </w:r>
      <w:r w:rsidRPr="00B907A3">
        <w:rPr>
          <w:rFonts w:ascii="Garamond" w:hAnsi="Garamond"/>
          <w:sz w:val="24"/>
          <w:lang w:eastAsia="en-US"/>
        </w:rPr>
        <w:t xml:space="preserve">rrugor funksionojnë së bashku për të parandaluar </w:t>
      </w:r>
      <w:r w:rsidR="00194327" w:rsidRPr="00B907A3">
        <w:rPr>
          <w:rFonts w:ascii="Garamond" w:hAnsi="Garamond"/>
          <w:sz w:val="24"/>
          <w:lang w:eastAsia="en-US"/>
        </w:rPr>
        <w:t>fatalitetet</w:t>
      </w:r>
      <w:r w:rsidRPr="00B907A3">
        <w:rPr>
          <w:rFonts w:ascii="Garamond" w:hAnsi="Garamond"/>
          <w:sz w:val="24"/>
          <w:lang w:eastAsia="en-US"/>
        </w:rPr>
        <w:t xml:space="preserve"> dhe lëndimet e rënda.</w:t>
      </w:r>
    </w:p>
    <w:p w14:paraId="1EF8C72E" w14:textId="110766FA" w:rsidR="00B3188E" w:rsidRPr="00B907A3" w:rsidRDefault="00D51215" w:rsidP="008C4E07">
      <w:pPr>
        <w:pStyle w:val="ListParagraph"/>
        <w:ind w:left="0" w:firstLine="284"/>
        <w:rPr>
          <w:rFonts w:ascii="Garamond" w:eastAsia="Calibri" w:hAnsi="Garamond"/>
          <w:b/>
          <w:bCs/>
          <w:sz w:val="24"/>
          <w:lang w:eastAsia="x-none"/>
        </w:rPr>
      </w:pPr>
      <w:bookmarkStart w:id="126" w:name="_Hlk197450632"/>
      <w:r w:rsidRPr="00B907A3">
        <w:rPr>
          <w:rFonts w:ascii="Garamond" w:hAnsi="Garamond"/>
          <w:bCs/>
          <w:sz w:val="24"/>
        </w:rPr>
        <w:t xml:space="preserve">- </w:t>
      </w:r>
      <w:r w:rsidR="00413174" w:rsidRPr="00B907A3">
        <w:rPr>
          <w:rFonts w:ascii="Garamond" w:eastAsia="Calibri" w:hAnsi="Garamond"/>
          <w:b/>
          <w:bCs/>
          <w:sz w:val="24"/>
          <w:lang w:eastAsia="x-none"/>
        </w:rPr>
        <w:t>Treguesit</w:t>
      </w:r>
      <w:r w:rsidR="00B3188E" w:rsidRPr="00B907A3">
        <w:rPr>
          <w:rFonts w:ascii="Garamond" w:eastAsia="Calibri" w:hAnsi="Garamond"/>
          <w:b/>
          <w:bCs/>
          <w:sz w:val="24"/>
          <w:lang w:eastAsia="x-none"/>
        </w:rPr>
        <w:t xml:space="preserve"> </w:t>
      </w:r>
      <w:r w:rsidR="00A021B5" w:rsidRPr="00B907A3">
        <w:rPr>
          <w:rFonts w:ascii="Garamond" w:eastAsia="Calibri" w:hAnsi="Garamond"/>
          <w:b/>
          <w:bCs/>
          <w:sz w:val="24"/>
          <w:lang w:eastAsia="x-none"/>
        </w:rPr>
        <w:t xml:space="preserve">kyç mbështetës të performancës </w:t>
      </w:r>
    </w:p>
    <w:p w14:paraId="0362577E" w14:textId="5F04C050" w:rsidR="00A2798A" w:rsidRPr="00B907A3" w:rsidRDefault="00575913" w:rsidP="008C4E07">
      <w:pPr>
        <w:spacing w:after="0"/>
        <w:ind w:firstLine="284"/>
        <w:rPr>
          <w:rFonts w:ascii="Garamond" w:hAnsi="Garamond"/>
          <w:sz w:val="24"/>
        </w:rPr>
      </w:pPr>
      <w:r w:rsidRPr="00B907A3">
        <w:rPr>
          <w:rFonts w:ascii="Garamond" w:hAnsi="Garamond"/>
          <w:sz w:val="24"/>
        </w:rPr>
        <w:t xml:space="preserve">Për të ndjekur progresin e sigurisë rrugore drejt arritjes së objektivave strategjikë (të përgjithshëm) dhe atyre të lidhura me </w:t>
      </w:r>
      <w:r w:rsidR="00CE3999" w:rsidRPr="00B907A3">
        <w:rPr>
          <w:rFonts w:ascii="Garamond" w:hAnsi="Garamond"/>
          <w:sz w:val="24"/>
        </w:rPr>
        <w:t>komponentët</w:t>
      </w:r>
      <w:r w:rsidRPr="00B907A3">
        <w:rPr>
          <w:rFonts w:ascii="Garamond" w:hAnsi="Garamond"/>
          <w:sz w:val="24"/>
        </w:rPr>
        <w:t xml:space="preserve"> (specifik</w:t>
      </w:r>
      <w:r w:rsidR="00CE3999" w:rsidRPr="00B907A3">
        <w:rPr>
          <w:rFonts w:ascii="Garamond" w:hAnsi="Garamond"/>
          <w:sz w:val="24"/>
        </w:rPr>
        <w:t>ë</w:t>
      </w:r>
      <w:r w:rsidRPr="00B907A3">
        <w:rPr>
          <w:rFonts w:ascii="Garamond" w:hAnsi="Garamond"/>
          <w:sz w:val="24"/>
        </w:rPr>
        <w:t xml:space="preserve">) të vitit 2030, të mbështetur nga ndërhyrjet/masat e specifikuara dhe të zbatuara në Planin e Veprimit, ekziston një nevojë e </w:t>
      </w:r>
      <w:r w:rsidR="00B3188E" w:rsidRPr="00B907A3">
        <w:rPr>
          <w:rFonts w:ascii="Garamond" w:hAnsi="Garamond"/>
          <w:sz w:val="24"/>
        </w:rPr>
        <w:t xml:space="preserve">madhe </w:t>
      </w:r>
      <w:r w:rsidRPr="00B907A3">
        <w:rPr>
          <w:rFonts w:ascii="Garamond" w:hAnsi="Garamond"/>
          <w:sz w:val="24"/>
        </w:rPr>
        <w:t xml:space="preserve">për të </w:t>
      </w:r>
      <w:r w:rsidR="00B3188E" w:rsidRPr="00B907A3">
        <w:rPr>
          <w:rFonts w:ascii="Garamond" w:hAnsi="Garamond"/>
          <w:sz w:val="24"/>
        </w:rPr>
        <w:t xml:space="preserve">parashikuar disa </w:t>
      </w:r>
      <w:r w:rsidRPr="00B907A3">
        <w:rPr>
          <w:rFonts w:ascii="Garamond" w:hAnsi="Garamond"/>
          <w:sz w:val="24"/>
        </w:rPr>
        <w:t>tregues</w:t>
      </w:r>
      <w:r w:rsidR="00B3188E" w:rsidRPr="00B907A3">
        <w:rPr>
          <w:rFonts w:ascii="Garamond" w:hAnsi="Garamond"/>
          <w:sz w:val="24"/>
        </w:rPr>
        <w:t xml:space="preserve"> </w:t>
      </w:r>
      <w:r w:rsidRPr="00B907A3">
        <w:rPr>
          <w:rFonts w:ascii="Garamond" w:hAnsi="Garamond"/>
          <w:sz w:val="24"/>
        </w:rPr>
        <w:t xml:space="preserve">të ndërmjetëm që do të mundësojnë monitorim dhe vlerësim periodik përpara se të arrihen rezultatet përfundimtare. Prandaj, do të </w:t>
      </w:r>
      <w:r w:rsidR="00B3188E" w:rsidRPr="00B907A3">
        <w:rPr>
          <w:rFonts w:ascii="Garamond" w:hAnsi="Garamond"/>
          <w:sz w:val="24"/>
        </w:rPr>
        <w:t xml:space="preserve">përfshihen </w:t>
      </w:r>
      <w:r w:rsidRPr="00B907A3">
        <w:rPr>
          <w:rFonts w:ascii="Garamond" w:hAnsi="Garamond"/>
          <w:sz w:val="24"/>
        </w:rPr>
        <w:t>një grup Treguesish Kryesorë të Performancës (</w:t>
      </w:r>
      <w:r w:rsidR="00C84BCE" w:rsidRPr="00B907A3">
        <w:rPr>
          <w:rFonts w:ascii="Garamond" w:hAnsi="Garamond"/>
          <w:sz w:val="24"/>
        </w:rPr>
        <w:t>T</w:t>
      </w:r>
      <w:r w:rsidR="00B3188E" w:rsidRPr="00B907A3">
        <w:rPr>
          <w:rFonts w:ascii="Garamond" w:hAnsi="Garamond"/>
          <w:sz w:val="24"/>
        </w:rPr>
        <w:t>KP</w:t>
      </w:r>
      <w:r w:rsidRPr="00B907A3">
        <w:rPr>
          <w:rFonts w:ascii="Garamond" w:hAnsi="Garamond"/>
          <w:sz w:val="24"/>
        </w:rPr>
        <w:t xml:space="preserve">) të miratuar nga BE-ja në lidhje me sigurinë rrugore. </w:t>
      </w:r>
      <w:r w:rsidR="005F6372" w:rsidRPr="00B907A3">
        <w:rPr>
          <w:rFonts w:ascii="Garamond" w:hAnsi="Garamond"/>
          <w:sz w:val="24"/>
        </w:rPr>
        <w:t>T</w:t>
      </w:r>
      <w:r w:rsidR="00B3188E" w:rsidRPr="00B907A3">
        <w:rPr>
          <w:rFonts w:ascii="Garamond" w:hAnsi="Garamond"/>
          <w:sz w:val="24"/>
        </w:rPr>
        <w:t>KP</w:t>
      </w:r>
      <w:r w:rsidRPr="00B907A3">
        <w:rPr>
          <w:rFonts w:ascii="Garamond" w:hAnsi="Garamond"/>
          <w:sz w:val="24"/>
        </w:rPr>
        <w:t>-të pasqyrojnë faktorët më kritikë të r</w:t>
      </w:r>
      <w:r w:rsidR="00B3188E" w:rsidRPr="00B907A3">
        <w:rPr>
          <w:rFonts w:ascii="Garamond" w:hAnsi="Garamond"/>
          <w:sz w:val="24"/>
        </w:rPr>
        <w:t xml:space="preserve">iskut </w:t>
      </w:r>
      <w:r w:rsidRPr="00B907A3">
        <w:rPr>
          <w:rFonts w:ascii="Garamond" w:hAnsi="Garamond"/>
          <w:sz w:val="24"/>
        </w:rPr>
        <w:t xml:space="preserve">që kontribuojnë në aksidentet rrugore dhe lëndimet. Këta tregues do të shërbejnë si bazë për monitorimin e trendeve, vlerësimin e ndikimit të ndërhyrjeve dhe përshtatjen e strategjive sipas nevojës. </w:t>
      </w:r>
      <w:r w:rsidR="009A4135" w:rsidRPr="00B907A3">
        <w:rPr>
          <w:rFonts w:ascii="Garamond" w:hAnsi="Garamond"/>
          <w:sz w:val="24"/>
        </w:rPr>
        <w:t>T</w:t>
      </w:r>
      <w:r w:rsidR="00511908" w:rsidRPr="00B907A3">
        <w:rPr>
          <w:rFonts w:ascii="Garamond" w:hAnsi="Garamond"/>
          <w:sz w:val="24"/>
        </w:rPr>
        <w:t>KP-</w:t>
      </w:r>
      <w:r w:rsidRPr="00B907A3">
        <w:rPr>
          <w:rFonts w:ascii="Garamond" w:hAnsi="Garamond"/>
          <w:sz w:val="24"/>
        </w:rPr>
        <w:t>të do të regjistrohen dhe mblidhen nga sistemet kombëtare të të dhënave të lidhura me sigurinë rrugore dhe do të jenë në përputhje me metodologjinë e miratuar nga Komisioni Evropian për krahasimin ndërkombëtar. KPI-të kryesore që do të monitorohen</w:t>
      </w:r>
      <w:r w:rsidR="00B3188E" w:rsidRPr="00B907A3">
        <w:rPr>
          <w:rFonts w:ascii="Garamond" w:hAnsi="Garamond"/>
          <w:sz w:val="24"/>
        </w:rPr>
        <w:t xml:space="preserve">. Ato </w:t>
      </w:r>
      <w:r w:rsidRPr="00B907A3">
        <w:rPr>
          <w:rFonts w:ascii="Garamond" w:hAnsi="Garamond"/>
          <w:sz w:val="24"/>
        </w:rPr>
        <w:t>paraqiten në Tabelën 4-1</w:t>
      </w:r>
      <w:r w:rsidRPr="00B907A3">
        <w:rPr>
          <w:rStyle w:val="FootnoteReference"/>
          <w:rFonts w:ascii="Garamond" w:hAnsi="Garamond"/>
          <w:sz w:val="24"/>
        </w:rPr>
        <w:footnoteReference w:id="5"/>
      </w:r>
      <w:r w:rsidR="0011359B" w:rsidRPr="00B907A3">
        <w:rPr>
          <w:rFonts w:ascii="Garamond" w:hAnsi="Garamond"/>
          <w:sz w:val="24"/>
        </w:rPr>
        <w:t>.</w:t>
      </w:r>
    </w:p>
    <w:p w14:paraId="2CE78134" w14:textId="39FBB079" w:rsidR="0011359B" w:rsidRDefault="00083CCA" w:rsidP="008C4E07">
      <w:pPr>
        <w:spacing w:after="0"/>
        <w:ind w:firstLine="284"/>
        <w:rPr>
          <w:rFonts w:ascii="Garamond" w:hAnsi="Garamond"/>
          <w:sz w:val="24"/>
        </w:rPr>
      </w:pPr>
      <w:bookmarkStart w:id="127" w:name="_Toc205533742"/>
      <w:r w:rsidRPr="00A021B5">
        <w:rPr>
          <w:rFonts w:ascii="Garamond" w:hAnsi="Garamond"/>
          <w:b/>
          <w:sz w:val="24"/>
        </w:rPr>
        <w:t>Tab</w:t>
      </w:r>
      <w:r w:rsidR="00A021B5" w:rsidRPr="00A021B5">
        <w:rPr>
          <w:rFonts w:ascii="Garamond" w:hAnsi="Garamond"/>
          <w:b/>
          <w:sz w:val="24"/>
        </w:rPr>
        <w:t>e</w:t>
      </w:r>
      <w:r w:rsidRPr="00A021B5">
        <w:rPr>
          <w:rFonts w:ascii="Garamond" w:hAnsi="Garamond"/>
          <w:b/>
          <w:sz w:val="24"/>
        </w:rPr>
        <w:t>l</w:t>
      </w:r>
      <w:r w:rsidR="00A021B5" w:rsidRPr="00A021B5">
        <w:rPr>
          <w:rFonts w:ascii="Garamond" w:hAnsi="Garamond"/>
          <w:b/>
          <w:sz w:val="24"/>
        </w:rPr>
        <w:t>a</w:t>
      </w:r>
      <w:r w:rsidRPr="00A021B5">
        <w:rPr>
          <w:rFonts w:ascii="Garamond" w:hAnsi="Garamond"/>
          <w:b/>
          <w:sz w:val="24"/>
        </w:rPr>
        <w:t xml:space="preserve"> </w:t>
      </w:r>
      <w:r w:rsidRPr="00A021B5">
        <w:rPr>
          <w:rFonts w:ascii="Garamond" w:hAnsi="Garamond"/>
          <w:b/>
          <w:sz w:val="24"/>
        </w:rPr>
        <w:fldChar w:fldCharType="begin"/>
      </w:r>
      <w:r w:rsidRPr="00A021B5">
        <w:rPr>
          <w:rFonts w:ascii="Garamond" w:hAnsi="Garamond"/>
          <w:b/>
          <w:sz w:val="24"/>
        </w:rPr>
        <w:instrText xml:space="preserve"> STYLEREF 1 \s </w:instrText>
      </w:r>
      <w:r w:rsidRPr="00A021B5">
        <w:rPr>
          <w:rFonts w:ascii="Garamond" w:hAnsi="Garamond"/>
          <w:b/>
          <w:sz w:val="24"/>
        </w:rPr>
        <w:fldChar w:fldCharType="separate"/>
      </w:r>
      <w:r w:rsidRPr="00A021B5">
        <w:rPr>
          <w:rFonts w:ascii="Garamond" w:hAnsi="Garamond"/>
          <w:b/>
          <w:sz w:val="24"/>
        </w:rPr>
        <w:t>4</w:t>
      </w:r>
      <w:r w:rsidRPr="00A021B5">
        <w:rPr>
          <w:rFonts w:ascii="Garamond" w:hAnsi="Garamond"/>
          <w:b/>
          <w:sz w:val="24"/>
        </w:rPr>
        <w:fldChar w:fldCharType="end"/>
      </w:r>
      <w:r w:rsidRPr="00A021B5">
        <w:rPr>
          <w:rFonts w:ascii="Garamond" w:hAnsi="Garamond"/>
          <w:b/>
          <w:sz w:val="24"/>
        </w:rPr>
        <w:noBreakHyphen/>
      </w:r>
      <w:r w:rsidRPr="00A021B5">
        <w:rPr>
          <w:rFonts w:ascii="Garamond" w:hAnsi="Garamond"/>
          <w:b/>
          <w:sz w:val="24"/>
        </w:rPr>
        <w:fldChar w:fldCharType="begin"/>
      </w:r>
      <w:r w:rsidRPr="00A021B5">
        <w:rPr>
          <w:rFonts w:ascii="Garamond" w:hAnsi="Garamond"/>
          <w:b/>
          <w:sz w:val="24"/>
        </w:rPr>
        <w:instrText xml:space="preserve"> SEQ Table \* ARABIC \s 1 </w:instrText>
      </w:r>
      <w:r w:rsidRPr="00A021B5">
        <w:rPr>
          <w:rFonts w:ascii="Garamond" w:hAnsi="Garamond"/>
          <w:b/>
          <w:sz w:val="24"/>
        </w:rPr>
        <w:fldChar w:fldCharType="separate"/>
      </w:r>
      <w:r w:rsidRPr="00A021B5">
        <w:rPr>
          <w:rFonts w:ascii="Garamond" w:hAnsi="Garamond"/>
          <w:b/>
          <w:sz w:val="24"/>
        </w:rPr>
        <w:t>1</w:t>
      </w:r>
      <w:r w:rsidRPr="00A021B5">
        <w:rPr>
          <w:rFonts w:ascii="Garamond" w:hAnsi="Garamond"/>
          <w:b/>
          <w:sz w:val="24"/>
        </w:rPr>
        <w:fldChar w:fldCharType="end"/>
      </w:r>
      <w:r w:rsidRPr="00B907A3">
        <w:rPr>
          <w:rFonts w:ascii="Garamond" w:hAnsi="Garamond"/>
          <w:sz w:val="24"/>
        </w:rPr>
        <w:t xml:space="preserve">: </w:t>
      </w:r>
      <w:r w:rsidR="005A6B60" w:rsidRPr="00B907A3">
        <w:rPr>
          <w:rFonts w:ascii="Garamond" w:hAnsi="Garamond"/>
          <w:sz w:val="24"/>
        </w:rPr>
        <w:t>T</w:t>
      </w:r>
      <w:r w:rsidR="00511908" w:rsidRPr="00B907A3">
        <w:rPr>
          <w:rFonts w:ascii="Garamond" w:hAnsi="Garamond"/>
          <w:sz w:val="24"/>
        </w:rPr>
        <w:t xml:space="preserve">KP-të </w:t>
      </w:r>
      <w:r w:rsidR="00575913" w:rsidRPr="00B907A3">
        <w:rPr>
          <w:rFonts w:ascii="Garamond" w:hAnsi="Garamond"/>
          <w:sz w:val="24"/>
        </w:rPr>
        <w:t>kryesore dhe përkufizimet e tyre</w:t>
      </w:r>
      <w:bookmarkEnd w:id="127"/>
    </w:p>
    <w:p w14:paraId="64DDDFAD" w14:textId="77777777" w:rsidR="00A021B5" w:rsidRPr="00B907A3" w:rsidRDefault="00A021B5" w:rsidP="008C4E07">
      <w:pPr>
        <w:spacing w:after="0"/>
        <w:ind w:firstLine="284"/>
        <w:rPr>
          <w:rFonts w:ascii="Garamond" w:hAnsi="Garamond"/>
          <w:b/>
          <w:bCs/>
          <w:sz w:val="24"/>
        </w:rPr>
      </w:pPr>
    </w:p>
    <w:tbl>
      <w:tblPr>
        <w:tblStyle w:val="GridTable2-Accent1"/>
        <w:tblW w:w="0" w:type="auto"/>
        <w:tblLook w:val="04A0" w:firstRow="1" w:lastRow="0" w:firstColumn="1" w:lastColumn="0" w:noHBand="0" w:noVBand="1"/>
      </w:tblPr>
      <w:tblGrid>
        <w:gridCol w:w="3034"/>
        <w:gridCol w:w="6604"/>
      </w:tblGrid>
      <w:tr w:rsidR="00742191" w:rsidRPr="00B907A3" w14:paraId="52E0C2FE" w14:textId="77777777" w:rsidTr="00150A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EC32C47" w14:textId="581C79BB" w:rsidR="00A2798A" w:rsidRPr="00B907A3" w:rsidRDefault="005A6B60" w:rsidP="008C4E07">
            <w:pPr>
              <w:spacing w:after="0"/>
              <w:rPr>
                <w:rFonts w:ascii="Garamond" w:hAnsi="Garamond"/>
                <w:sz w:val="24"/>
              </w:rPr>
            </w:pPr>
            <w:r w:rsidRPr="00B907A3">
              <w:rPr>
                <w:rFonts w:ascii="Garamond" w:hAnsi="Garamond"/>
                <w:sz w:val="24"/>
              </w:rPr>
              <w:lastRenderedPageBreak/>
              <w:t>T</w:t>
            </w:r>
            <w:r w:rsidR="004D5CCD" w:rsidRPr="00B907A3">
              <w:rPr>
                <w:rFonts w:ascii="Garamond" w:hAnsi="Garamond"/>
                <w:sz w:val="24"/>
              </w:rPr>
              <w:t>KP</w:t>
            </w:r>
          </w:p>
        </w:tc>
        <w:tc>
          <w:tcPr>
            <w:tcW w:w="0" w:type="auto"/>
            <w:hideMark/>
          </w:tcPr>
          <w:p w14:paraId="50867FC7" w14:textId="0C696089" w:rsidR="00A2798A" w:rsidRPr="00B907A3" w:rsidRDefault="005C1DD9" w:rsidP="008C4E07">
            <w:pPr>
              <w:spacing w:after="0"/>
              <w:cnfStyle w:val="100000000000" w:firstRow="1" w:lastRow="0" w:firstColumn="0" w:lastColumn="0" w:oddVBand="0" w:evenVBand="0" w:oddHBand="0" w:evenHBand="0" w:firstRowFirstColumn="0" w:firstRowLastColumn="0" w:lastRowFirstColumn="0" w:lastRowLastColumn="0"/>
              <w:rPr>
                <w:rFonts w:ascii="Garamond" w:hAnsi="Garamond"/>
                <w:sz w:val="24"/>
              </w:rPr>
            </w:pPr>
            <w:r w:rsidRPr="00B907A3">
              <w:rPr>
                <w:rFonts w:ascii="Garamond" w:hAnsi="Garamond"/>
                <w:sz w:val="24"/>
              </w:rPr>
              <w:t>Përkufizimi</w:t>
            </w:r>
            <w:r w:rsidR="00575913" w:rsidRPr="00B907A3">
              <w:rPr>
                <w:rFonts w:ascii="Garamond" w:hAnsi="Garamond"/>
                <w:sz w:val="24"/>
              </w:rPr>
              <w:t xml:space="preserve"> </w:t>
            </w:r>
          </w:p>
        </w:tc>
      </w:tr>
      <w:tr w:rsidR="00742191" w:rsidRPr="00B907A3" w14:paraId="511F166A" w14:textId="77777777" w:rsidTr="0074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571FA" w14:textId="304DC6F4" w:rsidR="00575913" w:rsidRPr="00B907A3" w:rsidRDefault="00B3188E" w:rsidP="008C4E07">
            <w:pPr>
              <w:spacing w:after="0"/>
              <w:jc w:val="left"/>
              <w:rPr>
                <w:rFonts w:ascii="Garamond" w:hAnsi="Garamond"/>
                <w:sz w:val="24"/>
              </w:rPr>
            </w:pPr>
            <w:r w:rsidRPr="00B907A3">
              <w:rPr>
                <w:rFonts w:ascii="Garamond" w:hAnsi="Garamond"/>
                <w:sz w:val="24"/>
              </w:rPr>
              <w:t xml:space="preserve">Respektimi i normave të </w:t>
            </w:r>
            <w:r w:rsidR="00575913" w:rsidRPr="00B907A3">
              <w:rPr>
                <w:rFonts w:ascii="Garamond" w:hAnsi="Garamond"/>
                <w:sz w:val="24"/>
              </w:rPr>
              <w:t>shpejtësi</w:t>
            </w:r>
            <w:r w:rsidRPr="00B907A3">
              <w:rPr>
                <w:rFonts w:ascii="Garamond" w:hAnsi="Garamond"/>
                <w:sz w:val="24"/>
              </w:rPr>
              <w:t>s</w:t>
            </w:r>
            <w:r w:rsidR="00575913" w:rsidRPr="00B907A3">
              <w:rPr>
                <w:rFonts w:ascii="Garamond" w:hAnsi="Garamond"/>
                <w:sz w:val="24"/>
              </w:rPr>
              <w:t>ë</w:t>
            </w:r>
          </w:p>
        </w:tc>
        <w:tc>
          <w:tcPr>
            <w:tcW w:w="0" w:type="auto"/>
            <w:vAlign w:val="center"/>
            <w:hideMark/>
          </w:tcPr>
          <w:p w14:paraId="4D124648" w14:textId="614A182B" w:rsidR="00575913" w:rsidRPr="00B907A3" w:rsidRDefault="00575913" w:rsidP="008C4E07">
            <w:pPr>
              <w:spacing w:after="0"/>
              <w:jc w:val="left"/>
              <w:cnfStyle w:val="000000100000" w:firstRow="0" w:lastRow="0" w:firstColumn="0" w:lastColumn="0" w:oddVBand="0" w:evenVBand="0" w:oddHBand="1" w:evenHBand="0" w:firstRowFirstColumn="0" w:firstRowLastColumn="0" w:lastRowFirstColumn="0" w:lastRowLastColumn="0"/>
              <w:rPr>
                <w:rFonts w:ascii="Garamond" w:hAnsi="Garamond"/>
                <w:sz w:val="24"/>
              </w:rPr>
            </w:pPr>
            <w:r w:rsidRPr="00B907A3">
              <w:rPr>
                <w:rFonts w:ascii="Garamond" w:hAnsi="Garamond"/>
                <w:sz w:val="24"/>
              </w:rPr>
              <w:t xml:space="preserve">Përqindja e automjeteve që udhëtojnë brenda kufijve të shpejtësisë së përcaktuar në kushte </w:t>
            </w:r>
            <w:r w:rsidR="00B3188E" w:rsidRPr="00B907A3">
              <w:rPr>
                <w:rFonts w:ascii="Garamond" w:hAnsi="Garamond"/>
                <w:sz w:val="24"/>
              </w:rPr>
              <w:t xml:space="preserve">qarkullimi </w:t>
            </w:r>
            <w:r w:rsidRPr="00B907A3">
              <w:rPr>
                <w:rFonts w:ascii="Garamond" w:hAnsi="Garamond"/>
                <w:sz w:val="24"/>
              </w:rPr>
              <w:t>të lirë dhe në lëvizje.</w:t>
            </w:r>
          </w:p>
        </w:tc>
      </w:tr>
      <w:tr w:rsidR="00742191" w:rsidRPr="00B907A3" w14:paraId="3D9B498B" w14:textId="77777777" w:rsidTr="00742191">
        <w:tc>
          <w:tcPr>
            <w:cnfStyle w:val="001000000000" w:firstRow="0" w:lastRow="0" w:firstColumn="1" w:lastColumn="0" w:oddVBand="0" w:evenVBand="0" w:oddHBand="0" w:evenHBand="0" w:firstRowFirstColumn="0" w:firstRowLastColumn="0" w:lastRowFirstColumn="0" w:lastRowLastColumn="0"/>
            <w:tcW w:w="0" w:type="auto"/>
            <w:hideMark/>
          </w:tcPr>
          <w:p w14:paraId="30ABCDAE" w14:textId="728E1358" w:rsidR="00575913" w:rsidRPr="00B907A3" w:rsidRDefault="00575913" w:rsidP="008C4E07">
            <w:pPr>
              <w:spacing w:after="0"/>
              <w:jc w:val="left"/>
              <w:rPr>
                <w:rFonts w:ascii="Garamond" w:hAnsi="Garamond"/>
                <w:sz w:val="24"/>
              </w:rPr>
            </w:pPr>
            <w:r w:rsidRPr="00B907A3">
              <w:rPr>
                <w:rFonts w:ascii="Garamond" w:hAnsi="Garamond"/>
                <w:sz w:val="24"/>
              </w:rPr>
              <w:t xml:space="preserve">Përdorimi i rripit të </w:t>
            </w:r>
            <w:r w:rsidR="00B3188E" w:rsidRPr="00B907A3">
              <w:rPr>
                <w:rFonts w:ascii="Garamond" w:hAnsi="Garamond"/>
                <w:sz w:val="24"/>
              </w:rPr>
              <w:t>sigurimit</w:t>
            </w:r>
          </w:p>
        </w:tc>
        <w:tc>
          <w:tcPr>
            <w:tcW w:w="0" w:type="auto"/>
            <w:vAlign w:val="center"/>
            <w:hideMark/>
          </w:tcPr>
          <w:p w14:paraId="49FE58A3" w14:textId="4F88FC1F" w:rsidR="00575913" w:rsidRPr="00B907A3" w:rsidRDefault="00575913" w:rsidP="008C4E07">
            <w:pPr>
              <w:spacing w:after="0"/>
              <w:jc w:val="left"/>
              <w:cnfStyle w:val="000000000000" w:firstRow="0" w:lastRow="0" w:firstColumn="0" w:lastColumn="0" w:oddVBand="0" w:evenVBand="0" w:oddHBand="0" w:evenHBand="0" w:firstRowFirstColumn="0" w:firstRowLastColumn="0" w:lastRowFirstColumn="0" w:lastRowLastColumn="0"/>
              <w:rPr>
                <w:rFonts w:ascii="Garamond" w:hAnsi="Garamond"/>
                <w:sz w:val="24"/>
              </w:rPr>
            </w:pPr>
            <w:r w:rsidRPr="00B907A3">
              <w:rPr>
                <w:rFonts w:ascii="Garamond" w:hAnsi="Garamond"/>
                <w:sz w:val="24"/>
              </w:rPr>
              <w:t>Përqindja e pasagjerëve të automjetit që përdorin në mënyrë korrekte rripat e siguri</w:t>
            </w:r>
            <w:r w:rsidR="00B3188E" w:rsidRPr="00B907A3">
              <w:rPr>
                <w:rFonts w:ascii="Garamond" w:hAnsi="Garamond"/>
                <w:sz w:val="24"/>
              </w:rPr>
              <w:t xml:space="preserve">mit </w:t>
            </w:r>
            <w:r w:rsidRPr="00B907A3">
              <w:rPr>
                <w:rFonts w:ascii="Garamond" w:hAnsi="Garamond"/>
                <w:sz w:val="24"/>
              </w:rPr>
              <w:t>ose sistemet e mbajtjes së fëmijëve.</w:t>
            </w:r>
          </w:p>
        </w:tc>
      </w:tr>
      <w:tr w:rsidR="00742191" w:rsidRPr="00B907A3" w14:paraId="41BE4343" w14:textId="77777777" w:rsidTr="0074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613BA8" w14:textId="155E2D93" w:rsidR="00575913" w:rsidRPr="00B907A3" w:rsidRDefault="00575913" w:rsidP="008C4E07">
            <w:pPr>
              <w:spacing w:after="0"/>
              <w:jc w:val="left"/>
              <w:rPr>
                <w:rFonts w:ascii="Garamond" w:hAnsi="Garamond"/>
                <w:sz w:val="24"/>
              </w:rPr>
            </w:pPr>
            <w:r w:rsidRPr="00B907A3">
              <w:rPr>
                <w:rFonts w:ascii="Garamond" w:hAnsi="Garamond"/>
                <w:sz w:val="24"/>
              </w:rPr>
              <w:t>Përdorimi i pajisjeve mbrojtëse</w:t>
            </w:r>
          </w:p>
        </w:tc>
        <w:tc>
          <w:tcPr>
            <w:tcW w:w="0" w:type="auto"/>
            <w:vAlign w:val="center"/>
            <w:hideMark/>
          </w:tcPr>
          <w:p w14:paraId="723A4D8E" w14:textId="11FB40B5" w:rsidR="00575913" w:rsidRPr="00B907A3" w:rsidRDefault="00575913" w:rsidP="008C4E07">
            <w:pPr>
              <w:spacing w:after="0"/>
              <w:jc w:val="left"/>
              <w:cnfStyle w:val="000000100000" w:firstRow="0" w:lastRow="0" w:firstColumn="0" w:lastColumn="0" w:oddVBand="0" w:evenVBand="0" w:oddHBand="1" w:evenHBand="0" w:firstRowFirstColumn="0" w:firstRowLastColumn="0" w:lastRowFirstColumn="0" w:lastRowLastColumn="0"/>
              <w:rPr>
                <w:rFonts w:ascii="Garamond" w:hAnsi="Garamond"/>
                <w:sz w:val="24"/>
              </w:rPr>
            </w:pPr>
            <w:r w:rsidRPr="00B907A3">
              <w:rPr>
                <w:rFonts w:ascii="Garamond" w:hAnsi="Garamond"/>
                <w:sz w:val="24"/>
              </w:rPr>
              <w:t xml:space="preserve">Përqindja e </w:t>
            </w:r>
            <w:r w:rsidR="005A6B60" w:rsidRPr="00B907A3">
              <w:rPr>
                <w:rFonts w:ascii="Garamond" w:hAnsi="Garamond"/>
                <w:sz w:val="24"/>
              </w:rPr>
              <w:t>drejtue</w:t>
            </w:r>
            <w:r w:rsidRPr="00B907A3">
              <w:rPr>
                <w:rFonts w:ascii="Garamond" w:hAnsi="Garamond"/>
                <w:sz w:val="24"/>
              </w:rPr>
              <w:t>sve të mjeteve me dy rrota (ose me tr</w:t>
            </w:r>
            <w:r w:rsidR="00D3645C" w:rsidRPr="00B907A3">
              <w:rPr>
                <w:rFonts w:ascii="Garamond" w:hAnsi="Garamond"/>
                <w:sz w:val="24"/>
              </w:rPr>
              <w:t>i</w:t>
            </w:r>
            <w:r w:rsidRPr="00B907A3">
              <w:rPr>
                <w:rFonts w:ascii="Garamond" w:hAnsi="Garamond"/>
                <w:sz w:val="24"/>
              </w:rPr>
              <w:t xml:space="preserve"> dhe katër rrota) dhe biçikletave që mbajnë </w:t>
            </w:r>
            <w:r w:rsidR="00D3645C" w:rsidRPr="00B907A3">
              <w:rPr>
                <w:rFonts w:ascii="Garamond" w:hAnsi="Garamond"/>
                <w:sz w:val="24"/>
              </w:rPr>
              <w:t>helmeta</w:t>
            </w:r>
            <w:r w:rsidR="00FC5FA5" w:rsidRPr="00B907A3">
              <w:rPr>
                <w:rFonts w:ascii="Garamond" w:hAnsi="Garamond"/>
                <w:sz w:val="24"/>
              </w:rPr>
              <w:t>\</w:t>
            </w:r>
            <w:r w:rsidR="00B3188E" w:rsidRPr="00B907A3">
              <w:rPr>
                <w:rFonts w:ascii="Garamond" w:hAnsi="Garamond"/>
                <w:sz w:val="24"/>
              </w:rPr>
              <w:t xml:space="preserve">kokore </w:t>
            </w:r>
            <w:r w:rsidRPr="00B907A3">
              <w:rPr>
                <w:rFonts w:ascii="Garamond" w:hAnsi="Garamond"/>
                <w:sz w:val="24"/>
              </w:rPr>
              <w:t>mbrojtëse.</w:t>
            </w:r>
          </w:p>
        </w:tc>
      </w:tr>
      <w:tr w:rsidR="00742191" w:rsidRPr="00B907A3" w14:paraId="0CD6A63D" w14:textId="77777777" w:rsidTr="00742191">
        <w:tc>
          <w:tcPr>
            <w:cnfStyle w:val="001000000000" w:firstRow="0" w:lastRow="0" w:firstColumn="1" w:lastColumn="0" w:oddVBand="0" w:evenVBand="0" w:oddHBand="0" w:evenHBand="0" w:firstRowFirstColumn="0" w:firstRowLastColumn="0" w:lastRowFirstColumn="0" w:lastRowLastColumn="0"/>
            <w:tcW w:w="0" w:type="auto"/>
            <w:hideMark/>
          </w:tcPr>
          <w:p w14:paraId="3B2732CA" w14:textId="5D28CA0A" w:rsidR="00575913" w:rsidRPr="00B907A3" w:rsidRDefault="00B3188E" w:rsidP="008C4E07">
            <w:pPr>
              <w:spacing w:after="0"/>
              <w:jc w:val="left"/>
              <w:rPr>
                <w:rFonts w:ascii="Garamond" w:hAnsi="Garamond"/>
                <w:sz w:val="24"/>
              </w:rPr>
            </w:pPr>
            <w:r w:rsidRPr="00B907A3">
              <w:rPr>
                <w:rFonts w:ascii="Garamond" w:hAnsi="Garamond"/>
                <w:sz w:val="24"/>
              </w:rPr>
              <w:t xml:space="preserve">Respektimi i normave të alkoolit </w:t>
            </w:r>
          </w:p>
        </w:tc>
        <w:tc>
          <w:tcPr>
            <w:tcW w:w="0" w:type="auto"/>
            <w:vAlign w:val="center"/>
            <w:hideMark/>
          </w:tcPr>
          <w:p w14:paraId="69D433DD" w14:textId="6D645A95" w:rsidR="00575913" w:rsidRPr="00B907A3" w:rsidRDefault="00575913" w:rsidP="008C4E07">
            <w:pPr>
              <w:spacing w:after="0"/>
              <w:jc w:val="left"/>
              <w:cnfStyle w:val="000000000000" w:firstRow="0" w:lastRow="0" w:firstColumn="0" w:lastColumn="0" w:oddVBand="0" w:evenVBand="0" w:oddHBand="0" w:evenHBand="0" w:firstRowFirstColumn="0" w:firstRowLastColumn="0" w:lastRowFirstColumn="0" w:lastRowLastColumn="0"/>
              <w:rPr>
                <w:rFonts w:ascii="Garamond" w:hAnsi="Garamond"/>
                <w:sz w:val="24"/>
              </w:rPr>
            </w:pPr>
            <w:r w:rsidRPr="00B907A3">
              <w:rPr>
                <w:rFonts w:ascii="Garamond" w:hAnsi="Garamond"/>
                <w:sz w:val="24"/>
              </w:rPr>
              <w:t xml:space="preserve">Përqindja e </w:t>
            </w:r>
            <w:r w:rsidR="00B3188E" w:rsidRPr="00B907A3">
              <w:rPr>
                <w:rFonts w:ascii="Garamond" w:hAnsi="Garamond"/>
                <w:sz w:val="24"/>
              </w:rPr>
              <w:t xml:space="preserve">drejtuesve të mjeteve </w:t>
            </w:r>
            <w:r w:rsidRPr="00B907A3">
              <w:rPr>
                <w:rFonts w:ascii="Garamond" w:hAnsi="Garamond"/>
                <w:sz w:val="24"/>
              </w:rPr>
              <w:t xml:space="preserve">që drejtojnë brenda limitit të lejuar të përmbajtjes së alkoolit në gjak </w:t>
            </w:r>
            <w:r w:rsidR="00511908" w:rsidRPr="00B907A3">
              <w:rPr>
                <w:rFonts w:ascii="Garamond" w:hAnsi="Garamond"/>
                <w:sz w:val="24"/>
              </w:rPr>
              <w:t>(BAC)</w:t>
            </w:r>
            <w:r w:rsidRPr="00B907A3">
              <w:rPr>
                <w:rFonts w:ascii="Garamond" w:hAnsi="Garamond"/>
                <w:sz w:val="24"/>
              </w:rPr>
              <w:t>.</w:t>
            </w:r>
          </w:p>
        </w:tc>
      </w:tr>
      <w:tr w:rsidR="00742191" w:rsidRPr="00B907A3" w14:paraId="2AAA4112" w14:textId="77777777" w:rsidTr="0074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B43CCA" w14:textId="66D2788C" w:rsidR="00575913" w:rsidRPr="00B907A3" w:rsidRDefault="00575913" w:rsidP="008C4E07">
            <w:pPr>
              <w:spacing w:after="0"/>
              <w:jc w:val="left"/>
              <w:rPr>
                <w:rFonts w:ascii="Garamond" w:hAnsi="Garamond"/>
                <w:sz w:val="24"/>
              </w:rPr>
            </w:pPr>
            <w:r w:rsidRPr="00B907A3">
              <w:rPr>
                <w:rFonts w:ascii="Garamond" w:hAnsi="Garamond"/>
                <w:sz w:val="24"/>
              </w:rPr>
              <w:t xml:space="preserve">Shmangia e </w:t>
            </w:r>
            <w:r w:rsidR="005C1DD9" w:rsidRPr="00B907A3">
              <w:rPr>
                <w:rFonts w:ascii="Garamond" w:hAnsi="Garamond"/>
                <w:sz w:val="24"/>
              </w:rPr>
              <w:t>shpërqendrimit</w:t>
            </w:r>
          </w:p>
        </w:tc>
        <w:tc>
          <w:tcPr>
            <w:tcW w:w="0" w:type="auto"/>
            <w:vAlign w:val="center"/>
            <w:hideMark/>
          </w:tcPr>
          <w:p w14:paraId="1A8CE7ED" w14:textId="55E3C56C" w:rsidR="00575913" w:rsidRPr="00B907A3" w:rsidRDefault="00575913" w:rsidP="008C4E07">
            <w:pPr>
              <w:spacing w:after="0"/>
              <w:jc w:val="left"/>
              <w:cnfStyle w:val="000000100000" w:firstRow="0" w:lastRow="0" w:firstColumn="0" w:lastColumn="0" w:oddVBand="0" w:evenVBand="0" w:oddHBand="1" w:evenHBand="0" w:firstRowFirstColumn="0" w:firstRowLastColumn="0" w:lastRowFirstColumn="0" w:lastRowLastColumn="0"/>
              <w:rPr>
                <w:rFonts w:ascii="Garamond" w:hAnsi="Garamond"/>
                <w:sz w:val="24"/>
              </w:rPr>
            </w:pPr>
            <w:r w:rsidRPr="00B907A3">
              <w:rPr>
                <w:rFonts w:ascii="Garamond" w:hAnsi="Garamond"/>
                <w:sz w:val="24"/>
              </w:rPr>
              <w:t xml:space="preserve">Përqindja e </w:t>
            </w:r>
            <w:r w:rsidR="00366681" w:rsidRPr="00B907A3">
              <w:rPr>
                <w:rFonts w:ascii="Garamond" w:hAnsi="Garamond"/>
                <w:sz w:val="24"/>
              </w:rPr>
              <w:t>drejtues</w:t>
            </w:r>
            <w:r w:rsidRPr="00B907A3">
              <w:rPr>
                <w:rFonts w:ascii="Garamond" w:hAnsi="Garamond"/>
                <w:sz w:val="24"/>
              </w:rPr>
              <w:t xml:space="preserve">ve që NUK përdorin pajisje </w:t>
            </w:r>
            <w:r w:rsidR="00B3188E" w:rsidRPr="00B907A3">
              <w:rPr>
                <w:rFonts w:ascii="Garamond" w:hAnsi="Garamond"/>
                <w:sz w:val="24"/>
              </w:rPr>
              <w:t xml:space="preserve">celulare </w:t>
            </w:r>
            <w:r w:rsidRPr="00B907A3">
              <w:rPr>
                <w:rFonts w:ascii="Garamond" w:hAnsi="Garamond"/>
                <w:sz w:val="24"/>
              </w:rPr>
              <w:t>gjatë drejtimit të automjetit.</w:t>
            </w:r>
          </w:p>
        </w:tc>
      </w:tr>
      <w:tr w:rsidR="00742191" w:rsidRPr="00B907A3" w14:paraId="37FF42FF" w14:textId="77777777" w:rsidTr="00742191">
        <w:tc>
          <w:tcPr>
            <w:cnfStyle w:val="001000000000" w:firstRow="0" w:lastRow="0" w:firstColumn="1" w:lastColumn="0" w:oddVBand="0" w:evenVBand="0" w:oddHBand="0" w:evenHBand="0" w:firstRowFirstColumn="0" w:firstRowLastColumn="0" w:lastRowFirstColumn="0" w:lastRowLastColumn="0"/>
            <w:tcW w:w="0" w:type="auto"/>
            <w:hideMark/>
          </w:tcPr>
          <w:p w14:paraId="608F1E70" w14:textId="6E8CD4F1" w:rsidR="00575913" w:rsidRPr="00B907A3" w:rsidRDefault="00575913" w:rsidP="008C4E07">
            <w:pPr>
              <w:spacing w:after="0"/>
              <w:jc w:val="left"/>
              <w:rPr>
                <w:rFonts w:ascii="Garamond" w:hAnsi="Garamond"/>
                <w:sz w:val="24"/>
              </w:rPr>
            </w:pPr>
            <w:r w:rsidRPr="00B907A3">
              <w:rPr>
                <w:rFonts w:ascii="Garamond" w:hAnsi="Garamond"/>
                <w:sz w:val="24"/>
              </w:rPr>
              <w:t>Vlerësimi i sigurisë së automjeteve</w:t>
            </w:r>
          </w:p>
        </w:tc>
        <w:tc>
          <w:tcPr>
            <w:tcW w:w="0" w:type="auto"/>
            <w:vAlign w:val="center"/>
            <w:hideMark/>
          </w:tcPr>
          <w:p w14:paraId="6D8F92CA" w14:textId="3485DBF8" w:rsidR="00575913" w:rsidRPr="00B907A3" w:rsidRDefault="00575913" w:rsidP="008C4E07">
            <w:pPr>
              <w:spacing w:after="0"/>
              <w:jc w:val="left"/>
              <w:cnfStyle w:val="000000000000" w:firstRow="0" w:lastRow="0" w:firstColumn="0" w:lastColumn="0" w:oddVBand="0" w:evenVBand="0" w:oddHBand="0" w:evenHBand="0" w:firstRowFirstColumn="0" w:firstRowLastColumn="0" w:lastRowFirstColumn="0" w:lastRowLastColumn="0"/>
              <w:rPr>
                <w:rFonts w:ascii="Garamond" w:hAnsi="Garamond"/>
                <w:sz w:val="24"/>
              </w:rPr>
            </w:pPr>
            <w:r w:rsidRPr="00B907A3">
              <w:rPr>
                <w:rFonts w:ascii="Garamond" w:hAnsi="Garamond"/>
                <w:sz w:val="24"/>
              </w:rPr>
              <w:t>Përqindja e makinave të reja të pasagjerëve me një vlerësim sigurie Euro NCAP të barabartë ose mbi një prag të paracaktuar.</w:t>
            </w:r>
          </w:p>
        </w:tc>
      </w:tr>
      <w:tr w:rsidR="00742191" w:rsidRPr="00B907A3" w14:paraId="492AC15B" w14:textId="77777777" w:rsidTr="007421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BA14F7" w14:textId="5BAFE25A" w:rsidR="00575913" w:rsidRPr="00B907A3" w:rsidRDefault="00575913" w:rsidP="008C4E07">
            <w:pPr>
              <w:spacing w:after="0"/>
              <w:jc w:val="left"/>
              <w:rPr>
                <w:rFonts w:ascii="Garamond" w:hAnsi="Garamond"/>
                <w:sz w:val="24"/>
              </w:rPr>
            </w:pPr>
            <w:r w:rsidRPr="00B907A3">
              <w:rPr>
                <w:rFonts w:ascii="Garamond" w:hAnsi="Garamond"/>
                <w:sz w:val="24"/>
              </w:rPr>
              <w:t>Vlerësimi i sigurisë së infrastrukturës</w:t>
            </w:r>
          </w:p>
        </w:tc>
        <w:tc>
          <w:tcPr>
            <w:tcW w:w="0" w:type="auto"/>
            <w:vAlign w:val="center"/>
            <w:hideMark/>
          </w:tcPr>
          <w:p w14:paraId="3BC329E3" w14:textId="5A47D0D7" w:rsidR="00575913" w:rsidRPr="00B907A3" w:rsidRDefault="00575913" w:rsidP="008C4E07">
            <w:pPr>
              <w:spacing w:after="0"/>
              <w:jc w:val="left"/>
              <w:cnfStyle w:val="000000100000" w:firstRow="0" w:lastRow="0" w:firstColumn="0" w:lastColumn="0" w:oddVBand="0" w:evenVBand="0" w:oddHBand="1" w:evenHBand="0" w:firstRowFirstColumn="0" w:firstRowLastColumn="0" w:lastRowFirstColumn="0" w:lastRowLastColumn="0"/>
              <w:rPr>
                <w:rFonts w:ascii="Garamond" w:hAnsi="Garamond"/>
                <w:sz w:val="24"/>
              </w:rPr>
            </w:pPr>
            <w:r w:rsidRPr="00B907A3">
              <w:rPr>
                <w:rFonts w:ascii="Garamond" w:hAnsi="Garamond"/>
                <w:sz w:val="24"/>
              </w:rPr>
              <w:t xml:space="preserve">Përqindja e distancës së përshkuar në rrugë me një vlerësim sigurie </w:t>
            </w:r>
            <w:r w:rsidR="006C4D4C" w:rsidRPr="00B907A3">
              <w:rPr>
                <w:rFonts w:ascii="Garamond" w:hAnsi="Garamond"/>
                <w:sz w:val="24"/>
              </w:rPr>
              <w:t>në</w:t>
            </w:r>
            <w:r w:rsidRPr="00B907A3">
              <w:rPr>
                <w:rFonts w:ascii="Garamond" w:hAnsi="Garamond"/>
                <w:sz w:val="24"/>
              </w:rPr>
              <w:t xml:space="preserve"> pragun e BE-së.</w:t>
            </w:r>
          </w:p>
        </w:tc>
      </w:tr>
      <w:tr w:rsidR="00742191" w:rsidRPr="00B907A3" w14:paraId="7821D6D9" w14:textId="77777777" w:rsidTr="00742191">
        <w:tc>
          <w:tcPr>
            <w:cnfStyle w:val="001000000000" w:firstRow="0" w:lastRow="0" w:firstColumn="1" w:lastColumn="0" w:oddVBand="0" w:evenVBand="0" w:oddHBand="0" w:evenHBand="0" w:firstRowFirstColumn="0" w:firstRowLastColumn="0" w:lastRowFirstColumn="0" w:lastRowLastColumn="0"/>
            <w:tcW w:w="0" w:type="auto"/>
            <w:hideMark/>
          </w:tcPr>
          <w:p w14:paraId="08489C60" w14:textId="7F7F5513" w:rsidR="00575913" w:rsidRPr="00B907A3" w:rsidRDefault="00575913" w:rsidP="008C4E07">
            <w:pPr>
              <w:spacing w:after="0"/>
              <w:jc w:val="left"/>
              <w:rPr>
                <w:rFonts w:ascii="Garamond" w:hAnsi="Garamond"/>
                <w:sz w:val="24"/>
              </w:rPr>
            </w:pPr>
            <w:r w:rsidRPr="00B907A3">
              <w:rPr>
                <w:rFonts w:ascii="Garamond" w:hAnsi="Garamond"/>
                <w:sz w:val="24"/>
              </w:rPr>
              <w:t>Koha e reagimit ndaj kujdesit pas aksidentit</w:t>
            </w:r>
          </w:p>
        </w:tc>
        <w:tc>
          <w:tcPr>
            <w:tcW w:w="0" w:type="auto"/>
            <w:vAlign w:val="center"/>
            <w:hideMark/>
          </w:tcPr>
          <w:p w14:paraId="64A3B9F5" w14:textId="15A3E72D" w:rsidR="00575913" w:rsidRPr="00B907A3" w:rsidRDefault="00575913" w:rsidP="008C4E07">
            <w:pPr>
              <w:spacing w:after="0"/>
              <w:jc w:val="left"/>
              <w:cnfStyle w:val="000000000000" w:firstRow="0" w:lastRow="0" w:firstColumn="0" w:lastColumn="0" w:oddVBand="0" w:evenVBand="0" w:oddHBand="0" w:evenHBand="0" w:firstRowFirstColumn="0" w:firstRowLastColumn="0" w:lastRowFirstColumn="0" w:lastRowLastColumn="0"/>
              <w:rPr>
                <w:rFonts w:ascii="Garamond" w:hAnsi="Garamond"/>
                <w:sz w:val="24"/>
              </w:rPr>
            </w:pPr>
            <w:r w:rsidRPr="00B907A3">
              <w:rPr>
                <w:rFonts w:ascii="Garamond" w:hAnsi="Garamond"/>
                <w:sz w:val="24"/>
              </w:rPr>
              <w:t xml:space="preserve">Koha mesatare e kaluar midis thirrjes së emergjencës pas një </w:t>
            </w:r>
            <w:r w:rsidR="00CA0764" w:rsidRPr="00B907A3">
              <w:rPr>
                <w:rFonts w:ascii="Garamond" w:hAnsi="Garamond"/>
                <w:sz w:val="24"/>
              </w:rPr>
              <w:t>aksidenti</w:t>
            </w:r>
            <w:r w:rsidRPr="00B907A3">
              <w:rPr>
                <w:rFonts w:ascii="Garamond" w:hAnsi="Garamond"/>
                <w:sz w:val="24"/>
              </w:rPr>
              <w:t xml:space="preserve"> dhe mbërritjes së shërbimeve të emergjencës në vendin e aksidentit.</w:t>
            </w:r>
          </w:p>
        </w:tc>
      </w:tr>
    </w:tbl>
    <w:p w14:paraId="7201ECC0" w14:textId="0D7B442F" w:rsidR="007814F5" w:rsidRPr="005C1DD9" w:rsidRDefault="00D51215" w:rsidP="008C4E07">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128" w:name="_Toc208840574"/>
      <w:bookmarkEnd w:id="126"/>
      <w:r w:rsidRPr="005C1DD9">
        <w:rPr>
          <w:rFonts w:ascii="Garamond" w:hAnsi="Garamond"/>
          <w:b w:val="0"/>
          <w:color w:val="auto"/>
          <w:sz w:val="24"/>
          <w:szCs w:val="24"/>
          <w:lang w:val="sq-AL"/>
        </w:rPr>
        <w:t xml:space="preserve">5. </w:t>
      </w:r>
      <w:r w:rsidR="00937548" w:rsidRPr="005C1DD9">
        <w:rPr>
          <w:rFonts w:ascii="Garamond" w:hAnsi="Garamond"/>
          <w:b w:val="0"/>
          <w:color w:val="auto"/>
          <w:sz w:val="24"/>
          <w:szCs w:val="24"/>
          <w:lang w:val="sq-AL"/>
        </w:rPr>
        <w:t>FUSHA</w:t>
      </w:r>
      <w:r w:rsidR="00C472F5" w:rsidRPr="005C1DD9">
        <w:rPr>
          <w:rFonts w:ascii="Garamond" w:hAnsi="Garamond"/>
          <w:b w:val="0"/>
          <w:color w:val="auto"/>
          <w:sz w:val="24"/>
          <w:szCs w:val="24"/>
          <w:lang w:val="sq-AL"/>
        </w:rPr>
        <w:t>T</w:t>
      </w:r>
      <w:r w:rsidR="00937548" w:rsidRPr="005C1DD9">
        <w:rPr>
          <w:rFonts w:ascii="Garamond" w:hAnsi="Garamond"/>
          <w:b w:val="0"/>
          <w:color w:val="auto"/>
          <w:sz w:val="24"/>
          <w:szCs w:val="24"/>
          <w:lang w:val="sq-AL"/>
        </w:rPr>
        <w:t xml:space="preserve"> </w:t>
      </w:r>
      <w:r w:rsidR="00C472F5" w:rsidRPr="005C1DD9">
        <w:rPr>
          <w:rFonts w:ascii="Garamond" w:hAnsi="Garamond"/>
          <w:b w:val="0"/>
          <w:color w:val="auto"/>
          <w:sz w:val="24"/>
          <w:szCs w:val="24"/>
          <w:lang w:val="sq-AL"/>
        </w:rPr>
        <w:t xml:space="preserve">PRIORITARE TË NDËRHYRJES </w:t>
      </w:r>
      <w:r w:rsidR="00937548" w:rsidRPr="005C1DD9">
        <w:rPr>
          <w:rFonts w:ascii="Garamond" w:hAnsi="Garamond"/>
          <w:b w:val="0"/>
          <w:color w:val="auto"/>
          <w:sz w:val="24"/>
          <w:szCs w:val="24"/>
          <w:lang w:val="sq-AL"/>
        </w:rPr>
        <w:t>PËR VEPRIM</w:t>
      </w:r>
      <w:bookmarkEnd w:id="128"/>
    </w:p>
    <w:p w14:paraId="23D6F0BD" w14:textId="60644B24" w:rsidR="00937548" w:rsidRPr="00B907A3" w:rsidRDefault="00937548" w:rsidP="008C4E07">
      <w:pPr>
        <w:spacing w:after="0"/>
        <w:ind w:firstLine="284"/>
        <w:rPr>
          <w:rFonts w:ascii="Garamond" w:hAnsi="Garamond"/>
          <w:sz w:val="24"/>
        </w:rPr>
      </w:pPr>
      <w:bookmarkStart w:id="129" w:name="_Toc203411261"/>
      <w:r w:rsidRPr="00B907A3">
        <w:rPr>
          <w:rFonts w:ascii="Garamond" w:hAnsi="Garamond"/>
          <w:sz w:val="24"/>
        </w:rPr>
        <w:t xml:space="preserve">Fushat prioritare </w:t>
      </w:r>
      <w:r w:rsidR="00C472F5" w:rsidRPr="00B907A3">
        <w:rPr>
          <w:rFonts w:ascii="Garamond" w:hAnsi="Garamond"/>
          <w:sz w:val="24"/>
        </w:rPr>
        <w:t xml:space="preserve">të ndërhyrjes </w:t>
      </w:r>
      <w:r w:rsidRPr="00B907A3">
        <w:rPr>
          <w:rFonts w:ascii="Garamond" w:hAnsi="Garamond"/>
          <w:sz w:val="24"/>
        </w:rPr>
        <w:t>për veprim</w:t>
      </w:r>
      <w:r w:rsidR="00C472F5" w:rsidRPr="00B907A3">
        <w:rPr>
          <w:rFonts w:ascii="Garamond" w:hAnsi="Garamond"/>
          <w:sz w:val="24"/>
        </w:rPr>
        <w:t xml:space="preserve"> të </w:t>
      </w:r>
      <w:r w:rsidRPr="00B907A3">
        <w:rPr>
          <w:rFonts w:ascii="Garamond" w:hAnsi="Garamond"/>
          <w:sz w:val="24"/>
        </w:rPr>
        <w:t xml:space="preserve">identifikuara në Strategjinë </w:t>
      </w:r>
      <w:r w:rsidR="00C472F5" w:rsidRPr="00B907A3">
        <w:rPr>
          <w:rFonts w:ascii="Garamond" w:hAnsi="Garamond"/>
          <w:sz w:val="24"/>
        </w:rPr>
        <w:t xml:space="preserve">për Sigurinë </w:t>
      </w:r>
      <w:r w:rsidRPr="00B907A3">
        <w:rPr>
          <w:rFonts w:ascii="Garamond" w:hAnsi="Garamond"/>
          <w:sz w:val="24"/>
        </w:rPr>
        <w:t xml:space="preserve">Rrugore përzgjidhen bazuar në shqyrtimin e kapacitetit të sigurisë rrugore të ndërmarrë, me fokus në vendet e identifikuara ku nevojiten përmirësime për të qenë në gjendje të arrihen rezultate specifike shumë </w:t>
      </w:r>
      <w:r w:rsidR="00D90DA9" w:rsidRPr="00B907A3">
        <w:rPr>
          <w:rFonts w:ascii="Garamond" w:hAnsi="Garamond"/>
          <w:sz w:val="24"/>
        </w:rPr>
        <w:t xml:space="preserve">kërkuese </w:t>
      </w:r>
      <w:r w:rsidRPr="00B907A3">
        <w:rPr>
          <w:rFonts w:ascii="Garamond" w:hAnsi="Garamond"/>
          <w:sz w:val="24"/>
        </w:rPr>
        <w:t xml:space="preserve">(rezultate të shtyllës së sigurisë rrugore). Fushat e ndërhyrjes </w:t>
      </w:r>
      <w:r w:rsidR="00D90DA9" w:rsidRPr="00B907A3">
        <w:rPr>
          <w:rFonts w:ascii="Garamond" w:hAnsi="Garamond"/>
          <w:sz w:val="24"/>
        </w:rPr>
        <w:t xml:space="preserve">të </w:t>
      </w:r>
      <w:r w:rsidRPr="00B907A3">
        <w:rPr>
          <w:rFonts w:ascii="Garamond" w:hAnsi="Garamond"/>
          <w:sz w:val="24"/>
        </w:rPr>
        <w:t xml:space="preserve">identifikuara do të strukturohen në përputhje me </w:t>
      </w:r>
      <w:r w:rsidR="00D90DA9" w:rsidRPr="00B907A3">
        <w:rPr>
          <w:rFonts w:ascii="Garamond" w:hAnsi="Garamond"/>
          <w:sz w:val="24"/>
        </w:rPr>
        <w:t>Qasjen e Sistemit të Sigurt (</w:t>
      </w:r>
      <w:r w:rsidRPr="00B907A3">
        <w:rPr>
          <w:rFonts w:ascii="Garamond" w:hAnsi="Garamond"/>
          <w:sz w:val="24"/>
        </w:rPr>
        <w:t>SSA</w:t>
      </w:r>
      <w:r w:rsidR="00D90DA9" w:rsidRPr="00B907A3">
        <w:rPr>
          <w:rFonts w:ascii="Garamond" w:hAnsi="Garamond"/>
          <w:sz w:val="24"/>
        </w:rPr>
        <w:t>)</w:t>
      </w:r>
      <w:r w:rsidRPr="00B907A3">
        <w:rPr>
          <w:rFonts w:ascii="Garamond" w:hAnsi="Garamond"/>
          <w:sz w:val="24"/>
        </w:rPr>
        <w:t>.</w:t>
      </w:r>
    </w:p>
    <w:p w14:paraId="43AC736D" w14:textId="29432FAA" w:rsidR="00536435" w:rsidRPr="00B907A3" w:rsidRDefault="00937548" w:rsidP="008C4E07">
      <w:pPr>
        <w:spacing w:after="0"/>
        <w:ind w:firstLine="284"/>
        <w:rPr>
          <w:rFonts w:ascii="Garamond" w:hAnsi="Garamond"/>
          <w:sz w:val="24"/>
        </w:rPr>
      </w:pPr>
      <w:r w:rsidRPr="00B907A3">
        <w:rPr>
          <w:rFonts w:ascii="Garamond" w:hAnsi="Garamond"/>
          <w:sz w:val="24"/>
        </w:rPr>
        <w:t xml:space="preserve">Përveç kësaj, të gjitha fushat e ndërhyrjes së propozuara në SSRR do të mbulohen me një numër masash dhe aktivitetesh specifike </w:t>
      </w:r>
      <w:r w:rsidR="00E90E42" w:rsidRPr="00B907A3">
        <w:rPr>
          <w:rFonts w:ascii="Garamond" w:hAnsi="Garamond"/>
          <w:sz w:val="24"/>
        </w:rPr>
        <w:t>b</w:t>
      </w:r>
      <w:r w:rsidR="00511908" w:rsidRPr="00B907A3">
        <w:rPr>
          <w:rFonts w:ascii="Garamond" w:hAnsi="Garamond"/>
          <w:sz w:val="24"/>
        </w:rPr>
        <w:t xml:space="preserve">renda PVSSRR </w:t>
      </w:r>
      <w:r w:rsidRPr="00B907A3">
        <w:rPr>
          <w:rFonts w:ascii="Garamond" w:hAnsi="Garamond"/>
          <w:sz w:val="24"/>
        </w:rPr>
        <w:t>-së si një dokument i veçantë.</w:t>
      </w:r>
      <w:bookmarkEnd w:id="129"/>
    </w:p>
    <w:p w14:paraId="27FF199B" w14:textId="755655E2" w:rsidR="00947263" w:rsidRPr="00B907A3" w:rsidRDefault="00D51215" w:rsidP="008C4E07">
      <w:pPr>
        <w:pStyle w:val="Heading2"/>
        <w:numPr>
          <w:ilvl w:val="0"/>
          <w:numId w:val="0"/>
        </w:numPr>
        <w:shd w:val="clear" w:color="auto" w:fill="E2EFD9" w:themeFill="accent6" w:themeFillTint="33"/>
        <w:spacing w:after="0"/>
        <w:ind w:firstLine="284"/>
        <w:rPr>
          <w:rFonts w:ascii="Garamond" w:hAnsi="Garamond"/>
          <w:color w:val="auto"/>
          <w:lang w:val="sq-AL"/>
        </w:rPr>
      </w:pPr>
      <w:bookmarkStart w:id="130" w:name="_Toc208840575"/>
      <w:r w:rsidRPr="00B907A3">
        <w:rPr>
          <w:rFonts w:ascii="Garamond" w:hAnsi="Garamond"/>
          <w:color w:val="auto"/>
          <w:lang w:val="sq-AL"/>
        </w:rPr>
        <w:t xml:space="preserve">5.1 </w:t>
      </w:r>
      <w:r w:rsidR="00DB4CD5" w:rsidRPr="00B907A3">
        <w:rPr>
          <w:rFonts w:ascii="Garamond" w:hAnsi="Garamond"/>
          <w:color w:val="auto"/>
          <w:lang w:val="sq-AL"/>
        </w:rPr>
        <w:t>Menaxhimi i Sigurisë Rrugore</w:t>
      </w:r>
      <w:bookmarkEnd w:id="130"/>
    </w:p>
    <w:p w14:paraId="231794A3" w14:textId="07780D80" w:rsidR="00A44F89" w:rsidRPr="00B907A3" w:rsidRDefault="00DB4CD5"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Menaxhimi i sigurisë rrugore, përfshirë qeverisjen e sigurisë rrugore, është komponent thelbësor i strategjive efektive të sigurisë rrugore. Pa një MSRR efikase, do të jetë e vështirë të arrihet rezultati (specifik) i lidhur me </w:t>
      </w:r>
      <w:r w:rsidR="00EF481E" w:rsidRPr="00B907A3">
        <w:rPr>
          <w:rFonts w:ascii="Garamond" w:eastAsia="Calibri" w:hAnsi="Garamond"/>
          <w:spacing w:val="-2"/>
          <w:w w:val="105"/>
          <w:sz w:val="24"/>
          <w:lang w:eastAsia="en-US"/>
        </w:rPr>
        <w:t>komponentin</w:t>
      </w:r>
      <w:r w:rsidRPr="00B907A3">
        <w:rPr>
          <w:rFonts w:ascii="Garamond" w:eastAsia="Calibri" w:hAnsi="Garamond"/>
          <w:spacing w:val="-2"/>
          <w:w w:val="105"/>
          <w:sz w:val="24"/>
          <w:lang w:eastAsia="en-US"/>
        </w:rPr>
        <w:t xml:space="preserve"> 1 dhe të zbatohen ndërhyrjet/masat e SSRR dhe PVSSRR</w:t>
      </w:r>
      <w:r w:rsidR="008016DA" w:rsidRPr="00B907A3">
        <w:rPr>
          <w:rFonts w:ascii="Garamond" w:eastAsia="Calibri" w:hAnsi="Garamond"/>
          <w:spacing w:val="-2"/>
          <w:w w:val="105"/>
          <w:sz w:val="24"/>
          <w:lang w:eastAsia="en-US"/>
        </w:rPr>
        <w:t xml:space="preserve">. </w:t>
      </w:r>
    </w:p>
    <w:p w14:paraId="25EBE633" w14:textId="271A3236" w:rsidR="00B26A87" w:rsidRPr="00B907A3" w:rsidRDefault="00CA1876"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Janë identifikuar fushat e mëposhtme strategjike kryesore dhe prioritare të përmirësimeve brenda</w:t>
      </w:r>
      <w:r w:rsidR="008016DA" w:rsidRPr="00B907A3">
        <w:rPr>
          <w:rFonts w:ascii="Garamond" w:eastAsia="Calibri" w:hAnsi="Garamond"/>
          <w:spacing w:val="-2"/>
          <w:w w:val="105"/>
          <w:sz w:val="24"/>
          <w:lang w:eastAsia="en-US"/>
        </w:rPr>
        <w:t xml:space="preserve"> </w:t>
      </w:r>
      <w:r w:rsidR="00EF5DD9" w:rsidRPr="00B907A3">
        <w:rPr>
          <w:rFonts w:ascii="Garamond" w:eastAsia="Calibri" w:hAnsi="Garamond"/>
          <w:spacing w:val="-2"/>
          <w:w w:val="105"/>
          <w:sz w:val="24"/>
          <w:lang w:eastAsia="en-US"/>
        </w:rPr>
        <w:t>MSRR</w:t>
      </w:r>
      <w:r w:rsidR="008A7BCC" w:rsidRPr="00B907A3">
        <w:rPr>
          <w:rFonts w:ascii="Garamond" w:eastAsia="Calibri" w:hAnsi="Garamond"/>
          <w:spacing w:val="-2"/>
          <w:w w:val="105"/>
          <w:sz w:val="24"/>
          <w:lang w:eastAsia="en-US"/>
        </w:rPr>
        <w:t xml:space="preserve">: </w:t>
      </w:r>
    </w:p>
    <w:p w14:paraId="0F753DF4" w14:textId="091BB068" w:rsidR="00CA1876"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1" w:name="_Toc208840576"/>
      <w:r w:rsidRPr="00B907A3">
        <w:rPr>
          <w:rFonts w:ascii="Garamond" w:hAnsi="Garamond"/>
          <w:color w:val="auto"/>
          <w:spacing w:val="-2"/>
          <w:w w:val="105"/>
          <w:lang w:val="sq-AL" w:eastAsia="en-US"/>
        </w:rPr>
        <w:t xml:space="preserve">5.1.1 </w:t>
      </w:r>
      <w:r w:rsidR="00CA1876" w:rsidRPr="00B907A3">
        <w:rPr>
          <w:rFonts w:ascii="Garamond" w:hAnsi="Garamond"/>
          <w:color w:val="auto"/>
          <w:spacing w:val="-2"/>
          <w:w w:val="105"/>
          <w:lang w:val="sq-AL" w:eastAsia="en-US"/>
        </w:rPr>
        <w:t>Përmirësimi i kuadrit legjislativ për menaxhimin e sigurisë rrugore</w:t>
      </w:r>
      <w:bookmarkEnd w:id="131"/>
    </w:p>
    <w:p w14:paraId="31BD7FCC" w14:textId="43FBEA65" w:rsidR="00FF3689" w:rsidRPr="00B907A3" w:rsidRDefault="00CA1876" w:rsidP="008C4E07">
      <w:pPr>
        <w:spacing w:after="0"/>
        <w:ind w:firstLine="284"/>
        <w:rPr>
          <w:rFonts w:ascii="Garamond" w:eastAsia="Calibri" w:hAnsi="Garamond"/>
          <w:sz w:val="24"/>
        </w:rPr>
      </w:pPr>
      <w:r w:rsidRPr="00B907A3">
        <w:rPr>
          <w:rFonts w:ascii="Garamond" w:hAnsi="Garamond"/>
          <w:sz w:val="24"/>
        </w:rPr>
        <w:t>K</w:t>
      </w:r>
      <w:r w:rsidR="00D90DA9" w:rsidRPr="00B907A3">
        <w:rPr>
          <w:rFonts w:ascii="Garamond" w:hAnsi="Garamond"/>
          <w:sz w:val="24"/>
        </w:rPr>
        <w:t xml:space="preserve">uadri </w:t>
      </w:r>
      <w:r w:rsidRPr="00B907A3">
        <w:rPr>
          <w:rFonts w:ascii="Garamond" w:hAnsi="Garamond"/>
          <w:sz w:val="24"/>
        </w:rPr>
        <w:t>strategjik</w:t>
      </w:r>
      <w:r w:rsidR="00D90DA9" w:rsidRPr="00B907A3">
        <w:rPr>
          <w:rFonts w:ascii="Garamond" w:hAnsi="Garamond"/>
          <w:sz w:val="24"/>
        </w:rPr>
        <w:t xml:space="preserve"> i</w:t>
      </w:r>
      <w:r w:rsidRPr="00B907A3">
        <w:rPr>
          <w:rFonts w:ascii="Garamond" w:hAnsi="Garamond"/>
          <w:sz w:val="24"/>
        </w:rPr>
        <w:t xml:space="preserve"> sigurisë rrugore </w:t>
      </w:r>
      <w:r w:rsidR="00D90DA9" w:rsidRPr="00B907A3">
        <w:rPr>
          <w:rFonts w:ascii="Garamond" w:hAnsi="Garamond"/>
          <w:sz w:val="24"/>
        </w:rPr>
        <w:t>të</w:t>
      </w:r>
      <w:r w:rsidRPr="00B907A3">
        <w:rPr>
          <w:rFonts w:ascii="Garamond" w:hAnsi="Garamond"/>
          <w:sz w:val="24"/>
        </w:rPr>
        <w:t xml:space="preserve"> Shqipërisë do të bazohet në Qasjen e Sistemit të Sigurt</w:t>
      </w:r>
      <w:r w:rsidR="00887CC6">
        <w:rPr>
          <w:rFonts w:ascii="Garamond" w:hAnsi="Garamond"/>
          <w:sz w:val="24"/>
        </w:rPr>
        <w:t xml:space="preserve"> </w:t>
      </w:r>
      <w:r w:rsidRPr="00B907A3">
        <w:rPr>
          <w:rFonts w:ascii="Garamond" w:hAnsi="Garamond"/>
          <w:sz w:val="24"/>
        </w:rPr>
        <w:t>dhe element</w:t>
      </w:r>
      <w:r w:rsidR="00D121E9">
        <w:rPr>
          <w:rFonts w:ascii="Garamond" w:hAnsi="Garamond"/>
          <w:sz w:val="24"/>
        </w:rPr>
        <w:t>e</w:t>
      </w:r>
      <w:r w:rsidRPr="00B907A3">
        <w:rPr>
          <w:rFonts w:ascii="Garamond" w:hAnsi="Garamond"/>
          <w:sz w:val="24"/>
        </w:rPr>
        <w:t xml:space="preserve">t e saj (pesë shtyllat e sigurisë rrugore). Përdorimi i </w:t>
      </w:r>
      <w:r w:rsidR="00DF1970" w:rsidRPr="00B907A3">
        <w:rPr>
          <w:rFonts w:ascii="Garamond" w:hAnsi="Garamond"/>
          <w:sz w:val="24"/>
        </w:rPr>
        <w:t>Q</w:t>
      </w:r>
      <w:r w:rsidR="00D90DA9" w:rsidRPr="00B907A3">
        <w:rPr>
          <w:rFonts w:ascii="Garamond" w:hAnsi="Garamond"/>
          <w:sz w:val="24"/>
        </w:rPr>
        <w:t>S</w:t>
      </w:r>
      <w:r w:rsidR="00DF1970" w:rsidRPr="00B907A3">
        <w:rPr>
          <w:rFonts w:ascii="Garamond" w:hAnsi="Garamond"/>
          <w:sz w:val="24"/>
        </w:rPr>
        <w:t>S</w:t>
      </w:r>
      <w:r w:rsidR="00D90DA9" w:rsidRPr="00B907A3">
        <w:rPr>
          <w:rFonts w:ascii="Garamond" w:hAnsi="Garamond"/>
          <w:sz w:val="24"/>
        </w:rPr>
        <w:t xml:space="preserve"> </w:t>
      </w:r>
      <w:r w:rsidRPr="00B907A3">
        <w:rPr>
          <w:rFonts w:ascii="Garamond" w:hAnsi="Garamond"/>
          <w:sz w:val="24"/>
        </w:rPr>
        <w:t xml:space="preserve">kërkon një riorientim themelor të politikës dhe praktikës së sigurisë rrugore gjatë zbatimit të </w:t>
      </w:r>
      <w:r w:rsidR="005B413A" w:rsidRPr="00B907A3">
        <w:rPr>
          <w:rFonts w:ascii="Garamond" w:eastAsia="Calibri" w:hAnsi="Garamond"/>
          <w:sz w:val="24"/>
        </w:rPr>
        <w:t>SSR</w:t>
      </w:r>
      <w:r w:rsidR="00D90DA9" w:rsidRPr="00B907A3">
        <w:rPr>
          <w:rFonts w:ascii="Garamond" w:eastAsia="Calibri" w:hAnsi="Garamond"/>
          <w:sz w:val="24"/>
        </w:rPr>
        <w:t>R</w:t>
      </w:r>
      <w:r w:rsidR="00FF3689" w:rsidRPr="00B907A3">
        <w:rPr>
          <w:rFonts w:ascii="Garamond" w:eastAsia="Calibri" w:hAnsi="Garamond"/>
          <w:sz w:val="24"/>
        </w:rPr>
        <w:t xml:space="preserve"> </w:t>
      </w:r>
      <w:r w:rsidRPr="00B907A3">
        <w:rPr>
          <w:rFonts w:ascii="Garamond" w:hAnsi="Garamond"/>
          <w:sz w:val="24"/>
        </w:rPr>
        <w:t>dhe</w:t>
      </w:r>
      <w:r w:rsidR="00887CC6">
        <w:rPr>
          <w:rFonts w:ascii="Garamond" w:hAnsi="Garamond"/>
          <w:sz w:val="24"/>
        </w:rPr>
        <w:t xml:space="preserve"> </w:t>
      </w:r>
      <w:r w:rsidR="000B1794" w:rsidRPr="00B907A3">
        <w:rPr>
          <w:rFonts w:ascii="Garamond" w:eastAsia="Calibri" w:hAnsi="Garamond"/>
          <w:sz w:val="24"/>
        </w:rPr>
        <w:t>PVSSRR</w:t>
      </w:r>
      <w:r w:rsidR="00FF3689" w:rsidRPr="00B907A3">
        <w:rPr>
          <w:rFonts w:ascii="Garamond" w:eastAsia="Calibri" w:hAnsi="Garamond"/>
          <w:sz w:val="24"/>
        </w:rPr>
        <w:t xml:space="preserve"> </w:t>
      </w:r>
      <w:r w:rsidRPr="00B907A3">
        <w:rPr>
          <w:rFonts w:ascii="Garamond" w:hAnsi="Garamond"/>
          <w:sz w:val="24"/>
        </w:rPr>
        <w:t xml:space="preserve">drejt arritjes së </w:t>
      </w:r>
      <w:r w:rsidR="007951BD">
        <w:rPr>
          <w:rFonts w:ascii="Garamond" w:hAnsi="Garamond"/>
          <w:sz w:val="24"/>
        </w:rPr>
        <w:t>“</w:t>
      </w:r>
      <w:r w:rsidRPr="00B907A3">
        <w:rPr>
          <w:rFonts w:ascii="Garamond" w:hAnsi="Garamond"/>
          <w:sz w:val="24"/>
        </w:rPr>
        <w:t>Vizionit Zero</w:t>
      </w:r>
      <w:r w:rsidR="007951BD">
        <w:rPr>
          <w:rFonts w:ascii="Garamond" w:hAnsi="Garamond"/>
          <w:sz w:val="24"/>
        </w:rPr>
        <w:t>”</w:t>
      </w:r>
      <w:r w:rsidRPr="00B907A3">
        <w:rPr>
          <w:rFonts w:ascii="Garamond" w:hAnsi="Garamond"/>
          <w:sz w:val="24"/>
        </w:rPr>
        <w:t>. Politikat ndërkombëtare dhe të BE-së për sigurinë rrugore dhe dokumentet përkatëse do të ndiqen dhe praktikat më të mira do të zbatohen në dokumentet strategjike dhe planifikuese në vend (p.sh.,</w:t>
      </w:r>
      <w:r w:rsidR="00887CC6">
        <w:rPr>
          <w:rFonts w:ascii="Garamond" w:hAnsi="Garamond"/>
          <w:sz w:val="24"/>
        </w:rPr>
        <w:t xml:space="preserve"> </w:t>
      </w:r>
      <w:r w:rsidR="005B413A" w:rsidRPr="00B907A3">
        <w:rPr>
          <w:rFonts w:ascii="Garamond" w:eastAsia="Calibri" w:hAnsi="Garamond"/>
          <w:sz w:val="24"/>
        </w:rPr>
        <w:t>SSR</w:t>
      </w:r>
      <w:r w:rsidR="00D90DA9" w:rsidRPr="00B907A3">
        <w:rPr>
          <w:rFonts w:ascii="Garamond" w:eastAsia="Calibri" w:hAnsi="Garamond"/>
          <w:sz w:val="24"/>
        </w:rPr>
        <w:t>R</w:t>
      </w:r>
      <w:r w:rsidR="00822DD8" w:rsidRPr="00B907A3">
        <w:rPr>
          <w:rFonts w:ascii="Garamond" w:eastAsia="Calibri" w:hAnsi="Garamond"/>
          <w:sz w:val="24"/>
        </w:rPr>
        <w:t>\</w:t>
      </w:r>
      <w:r w:rsidR="000B1794" w:rsidRPr="00B907A3">
        <w:rPr>
          <w:rFonts w:ascii="Garamond" w:eastAsia="Calibri" w:hAnsi="Garamond"/>
          <w:sz w:val="24"/>
        </w:rPr>
        <w:t>PVSSRR</w:t>
      </w:r>
      <w:r w:rsidR="00652D0B" w:rsidRPr="00B907A3">
        <w:rPr>
          <w:rFonts w:ascii="Garamond" w:eastAsia="Calibri" w:hAnsi="Garamond"/>
          <w:sz w:val="24"/>
        </w:rPr>
        <w:t xml:space="preserve"> </w:t>
      </w:r>
      <w:r w:rsidRPr="00B907A3">
        <w:rPr>
          <w:rFonts w:ascii="Garamond" w:hAnsi="Garamond"/>
          <w:sz w:val="24"/>
        </w:rPr>
        <w:t>me objektiva afatgjat</w:t>
      </w:r>
      <w:r w:rsidR="00D121E9">
        <w:rPr>
          <w:rFonts w:ascii="Garamond" w:hAnsi="Garamond"/>
          <w:sz w:val="24"/>
        </w:rPr>
        <w:t>ë</w:t>
      </w:r>
      <w:r w:rsidRPr="00B907A3">
        <w:rPr>
          <w:rFonts w:ascii="Garamond" w:hAnsi="Garamond"/>
          <w:sz w:val="24"/>
        </w:rPr>
        <w:t xml:space="preserve">, bazat e të dhënave kryesore të lidhura me sigurinë rrugore, duke përfshirë </w:t>
      </w:r>
      <w:r w:rsidR="00822DD8" w:rsidRPr="00B907A3">
        <w:rPr>
          <w:rFonts w:ascii="Garamond" w:hAnsi="Garamond"/>
          <w:sz w:val="24"/>
        </w:rPr>
        <w:t>T</w:t>
      </w:r>
      <w:r w:rsidR="00511908" w:rsidRPr="00B907A3">
        <w:rPr>
          <w:rFonts w:ascii="Garamond" w:hAnsi="Garamond"/>
          <w:sz w:val="24"/>
        </w:rPr>
        <w:t>KP</w:t>
      </w:r>
      <w:r w:rsidRPr="00B907A3">
        <w:rPr>
          <w:rFonts w:ascii="Garamond" w:hAnsi="Garamond"/>
          <w:sz w:val="24"/>
        </w:rPr>
        <w:t>-të</w:t>
      </w:r>
      <w:r w:rsidR="00652D0B" w:rsidRPr="00B907A3">
        <w:rPr>
          <w:rFonts w:ascii="Garamond" w:eastAsia="Calibri" w:hAnsi="Garamond"/>
          <w:sz w:val="24"/>
        </w:rPr>
        <w:t>, e</w:t>
      </w:r>
      <w:r w:rsidRPr="00B907A3">
        <w:rPr>
          <w:rFonts w:ascii="Garamond" w:hAnsi="Garamond"/>
          <w:sz w:val="24"/>
        </w:rPr>
        <w:t>tj</w:t>
      </w:r>
      <w:r w:rsidR="00652D0B" w:rsidRPr="00B907A3">
        <w:rPr>
          <w:rFonts w:ascii="Garamond" w:eastAsia="Calibri" w:hAnsi="Garamond"/>
          <w:sz w:val="24"/>
        </w:rPr>
        <w:t>.</w:t>
      </w:r>
      <w:r w:rsidRPr="00B907A3">
        <w:rPr>
          <w:rFonts w:ascii="Garamond" w:hAnsi="Garamond"/>
          <w:sz w:val="24"/>
        </w:rPr>
        <w:t>)</w:t>
      </w:r>
    </w:p>
    <w:p w14:paraId="3F8AD94C" w14:textId="0C53B65E" w:rsidR="00161507" w:rsidRPr="00B907A3" w:rsidRDefault="00D5515D"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Në përputhje me praktikën më të mirë të BE-së dhe nevojat e vendit, ligjet dhe mundësisht aktet nënligjore të rëndësishme për sigurinë rrugore do të analizohen, nëse është e nevojshme do të përmirësohen dhe zbatohen, veçanërisht ato që lidhen me krijimin e një sistemi mbrojtës të sigurisë rrugore (p.sh., mekanizmat e koordinimit/bashkëpunimit), </w:t>
      </w:r>
      <w:r w:rsidR="00D90DA9" w:rsidRPr="00B907A3">
        <w:rPr>
          <w:rFonts w:ascii="Garamond" w:eastAsia="Calibri" w:hAnsi="Garamond"/>
          <w:spacing w:val="-2"/>
          <w:w w:val="105"/>
          <w:sz w:val="24"/>
          <w:lang w:eastAsia="en-US"/>
        </w:rPr>
        <w:t xml:space="preserve">si dhe me </w:t>
      </w:r>
      <w:r w:rsidRPr="00B907A3">
        <w:rPr>
          <w:rFonts w:ascii="Garamond" w:eastAsia="Calibri" w:hAnsi="Garamond"/>
          <w:spacing w:val="-2"/>
          <w:w w:val="105"/>
          <w:sz w:val="24"/>
          <w:lang w:eastAsia="en-US"/>
        </w:rPr>
        <w:t>rrugët/mjetet e sigurta dhe teknologjia e automjeteve) dhe në lidhje me përdorues</w:t>
      </w:r>
      <w:r w:rsidR="00D90DA9"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më të sigurt të rru</w:t>
      </w:r>
      <w:r w:rsidR="00FB5830">
        <w:rPr>
          <w:rFonts w:ascii="Garamond" w:eastAsia="Calibri" w:hAnsi="Garamond"/>
          <w:spacing w:val="-2"/>
          <w:w w:val="105"/>
          <w:sz w:val="24"/>
          <w:lang w:eastAsia="en-US"/>
        </w:rPr>
        <w:t>gës dhe kujdesin pas aksidentit</w:t>
      </w:r>
      <w:r w:rsidR="00801F8A" w:rsidRPr="00B907A3">
        <w:rPr>
          <w:rFonts w:ascii="Garamond" w:eastAsia="Calibri" w:hAnsi="Garamond"/>
          <w:spacing w:val="-2"/>
          <w:w w:val="105"/>
          <w:sz w:val="24"/>
          <w:lang w:eastAsia="en-US"/>
        </w:rPr>
        <w:t>.</w:t>
      </w:r>
      <w:r w:rsidRPr="00B907A3">
        <w:rPr>
          <w:rFonts w:ascii="Garamond" w:eastAsia="Calibri" w:hAnsi="Garamond"/>
          <w:spacing w:val="-2"/>
          <w:w w:val="105"/>
          <w:sz w:val="24"/>
          <w:lang w:eastAsia="en-US"/>
        </w:rPr>
        <w:t xml:space="preserve"> Një vëmendje e veçantë do</w:t>
      </w:r>
      <w:r w:rsidR="00887CC6">
        <w:rPr>
          <w:rFonts w:ascii="Garamond" w:eastAsia="Calibri" w:hAnsi="Garamond"/>
          <w:spacing w:val="-2"/>
          <w:w w:val="105"/>
          <w:sz w:val="24"/>
          <w:lang w:eastAsia="en-US"/>
        </w:rPr>
        <w:t xml:space="preserve"> </w:t>
      </w:r>
      <w:r w:rsidR="007951BD">
        <w:rPr>
          <w:rFonts w:ascii="Garamond" w:eastAsia="Calibri" w:hAnsi="Garamond"/>
          <w:spacing w:val="-2"/>
          <w:w w:val="105"/>
          <w:sz w:val="24"/>
          <w:lang w:eastAsia="en-US"/>
        </w:rPr>
        <w:t>t’i</w:t>
      </w:r>
      <w:r w:rsidR="00887CC6">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kushtohet legjislacionit që lidhet me përdoruesit e rrugës, </w:t>
      </w:r>
      <w:r w:rsidR="00D90DA9" w:rsidRPr="00B907A3">
        <w:rPr>
          <w:rFonts w:ascii="Garamond" w:eastAsia="Calibri" w:hAnsi="Garamond"/>
          <w:spacing w:val="-2"/>
          <w:w w:val="105"/>
          <w:sz w:val="24"/>
          <w:lang w:eastAsia="en-US"/>
        </w:rPr>
        <w:t>mobilitetit urban</w:t>
      </w:r>
      <w:r w:rsidRPr="00B907A3">
        <w:rPr>
          <w:rFonts w:ascii="Garamond" w:eastAsia="Calibri" w:hAnsi="Garamond"/>
          <w:spacing w:val="-2"/>
          <w:w w:val="105"/>
          <w:sz w:val="24"/>
          <w:lang w:eastAsia="en-US"/>
        </w:rPr>
        <w:t>, mikro-</w:t>
      </w:r>
      <w:r w:rsidR="00D90DA9" w:rsidRPr="00B907A3">
        <w:rPr>
          <w:rFonts w:ascii="Garamond" w:eastAsia="Calibri" w:hAnsi="Garamond"/>
          <w:spacing w:val="-2"/>
          <w:w w:val="105"/>
          <w:sz w:val="24"/>
          <w:lang w:eastAsia="en-US"/>
        </w:rPr>
        <w:t>mobilitetit</w:t>
      </w:r>
      <w:r w:rsidRPr="00B907A3">
        <w:rPr>
          <w:rFonts w:ascii="Garamond" w:eastAsia="Calibri" w:hAnsi="Garamond"/>
          <w:spacing w:val="-2"/>
          <w:w w:val="105"/>
          <w:sz w:val="24"/>
          <w:lang w:eastAsia="en-US"/>
        </w:rPr>
        <w:t xml:space="preserve">, </w:t>
      </w:r>
      <w:r w:rsidR="00D90DA9" w:rsidRPr="00B907A3">
        <w:rPr>
          <w:rFonts w:ascii="Garamond" w:eastAsia="Calibri" w:hAnsi="Garamond"/>
          <w:spacing w:val="-2"/>
          <w:w w:val="105"/>
          <w:sz w:val="24"/>
          <w:lang w:eastAsia="en-US"/>
        </w:rPr>
        <w:t>përdorimit t</w:t>
      </w:r>
      <w:r w:rsidR="00D90DA9" w:rsidRPr="00B907A3">
        <w:rPr>
          <w:rFonts w:ascii="Garamond" w:hAnsi="Garamond"/>
          <w:sz w:val="24"/>
        </w:rPr>
        <w:t>ë</w:t>
      </w:r>
      <w:r w:rsidR="00D90DA9"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pajisjeve të sigurisë për automjetet me dy, tre dhe katër rrota, </w:t>
      </w:r>
      <w:r w:rsidR="006E5427" w:rsidRPr="00B907A3">
        <w:rPr>
          <w:rFonts w:ascii="Garamond" w:eastAsia="Calibri" w:hAnsi="Garamond"/>
          <w:spacing w:val="-2"/>
          <w:w w:val="105"/>
          <w:sz w:val="24"/>
          <w:lang w:eastAsia="en-US"/>
        </w:rPr>
        <w:t>drejtuesit</w:t>
      </w:r>
      <w:r w:rsidRPr="00B907A3">
        <w:rPr>
          <w:rFonts w:ascii="Garamond" w:eastAsia="Calibri" w:hAnsi="Garamond"/>
          <w:spacing w:val="-2"/>
          <w:w w:val="105"/>
          <w:sz w:val="24"/>
          <w:lang w:eastAsia="en-US"/>
        </w:rPr>
        <w:t xml:space="preserve"> e pakujdesshëm të automjeteve etj.</w:t>
      </w:r>
    </w:p>
    <w:p w14:paraId="2C43FD71" w14:textId="439DE710" w:rsidR="0007623A"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2" w:name="_Toc208840577"/>
      <w:r w:rsidRPr="00B907A3">
        <w:rPr>
          <w:rFonts w:ascii="Garamond" w:hAnsi="Garamond"/>
          <w:color w:val="auto"/>
          <w:w w:val="105"/>
          <w:lang w:val="sq-AL"/>
        </w:rPr>
        <w:t xml:space="preserve">5.1.2 </w:t>
      </w:r>
      <w:r w:rsidR="00FC6FE8" w:rsidRPr="00B907A3">
        <w:rPr>
          <w:rFonts w:ascii="Garamond" w:hAnsi="Garamond"/>
          <w:color w:val="auto"/>
          <w:w w:val="105"/>
          <w:lang w:val="sq-AL"/>
        </w:rPr>
        <w:t>Përmirësimi i kapaciteteve institucionale për sigurinë rrugore (ndërtimi i kapaciteteve)</w:t>
      </w:r>
      <w:bookmarkEnd w:id="132"/>
    </w:p>
    <w:p w14:paraId="68CF804F" w14:textId="139E3995" w:rsidR="009506E5" w:rsidRPr="00B907A3" w:rsidRDefault="009506E5" w:rsidP="008C4E07">
      <w:pPr>
        <w:spacing w:after="0"/>
        <w:ind w:firstLine="284"/>
        <w:rPr>
          <w:rFonts w:ascii="Garamond" w:hAnsi="Garamond"/>
          <w:sz w:val="24"/>
          <w:lang w:eastAsia="en-US"/>
        </w:rPr>
      </w:pPr>
      <w:r w:rsidRPr="00B907A3">
        <w:rPr>
          <w:rFonts w:ascii="Garamond" w:hAnsi="Garamond"/>
          <w:sz w:val="24"/>
          <w:lang w:eastAsia="en-US"/>
        </w:rPr>
        <w:t xml:space="preserve">Kapaciteti institucional dhe puna e aktorëve kyç të sigurisë rrugore do të rishikohen periodikisht dhe, në përputhje me nevojat e sistemit të sigurisë rrugore dhe të aktorëve kyç, kapaciteti do të forcohet përmes </w:t>
      </w:r>
      <w:r w:rsidRPr="00B907A3">
        <w:rPr>
          <w:rFonts w:ascii="Garamond" w:hAnsi="Garamond"/>
          <w:sz w:val="24"/>
          <w:lang w:eastAsia="en-US"/>
        </w:rPr>
        <w:lastRenderedPageBreak/>
        <w:t xml:space="preserve">krijimit të njësive të reja për sigurinë rrugore dhe/ose shtimit të personelit. Personeli aktualisht i punësuar në fushën e sigurisë rrugore do të trajnohet në mënyrë profesionale dhe do të përfshihet në </w:t>
      </w:r>
      <w:r w:rsidR="00D90DA9" w:rsidRPr="00B907A3">
        <w:rPr>
          <w:rFonts w:ascii="Garamond" w:hAnsi="Garamond"/>
          <w:sz w:val="24"/>
          <w:lang w:eastAsia="en-US"/>
        </w:rPr>
        <w:t>edukimin e</w:t>
      </w:r>
      <w:r w:rsidR="00887CC6">
        <w:rPr>
          <w:rFonts w:ascii="Garamond" w:hAnsi="Garamond"/>
          <w:sz w:val="24"/>
          <w:lang w:eastAsia="en-US"/>
        </w:rPr>
        <w:t xml:space="preserve"> </w:t>
      </w:r>
      <w:r w:rsidRPr="00B907A3">
        <w:rPr>
          <w:rFonts w:ascii="Garamond" w:hAnsi="Garamond"/>
          <w:sz w:val="24"/>
          <w:lang w:eastAsia="en-US"/>
        </w:rPr>
        <w:t xml:space="preserve">vazhdueshëm. Në veçanti, do të forcohet kapaciteti institucional i institucioneve që merren me sigurinë e infrastrukturës rrugore, sigurinë e mjeteve si dhe sigurinë e përdoruesve të rrugës. Për më tepër, për të siguruar një nivel më të lartë pajtueshmërie me </w:t>
      </w:r>
      <w:r w:rsidR="00D90DA9" w:rsidRPr="00B907A3">
        <w:rPr>
          <w:rFonts w:ascii="Garamond" w:hAnsi="Garamond"/>
          <w:sz w:val="24"/>
          <w:lang w:eastAsia="en-US"/>
        </w:rPr>
        <w:t xml:space="preserve">rregullat </w:t>
      </w:r>
      <w:r w:rsidRPr="00B907A3">
        <w:rPr>
          <w:rFonts w:ascii="Garamond" w:hAnsi="Garamond"/>
          <w:sz w:val="24"/>
          <w:lang w:eastAsia="en-US"/>
        </w:rPr>
        <w:t xml:space="preserve">nga përdoruesit e rrugës, do të forcohen kapacitetet e institucioneve që përbëjnë sistemin e zbatimit të ligjit, dhe në veçanti, kapacitetet e Policisë Rrugore përmes trajnimeve të rregullta dhe aksesit në pajisje më të mira, që mundësojnë një zbatim më efikas, sidomos në lidhje me oficerët e angazhuar në kontrollin direkt të </w:t>
      </w:r>
      <w:r w:rsidR="00D90DA9" w:rsidRPr="00B907A3">
        <w:rPr>
          <w:rFonts w:ascii="Garamond" w:hAnsi="Garamond"/>
          <w:sz w:val="24"/>
          <w:lang w:eastAsia="en-US"/>
        </w:rPr>
        <w:t>qarkullimit</w:t>
      </w:r>
      <w:r w:rsidRPr="00B907A3">
        <w:rPr>
          <w:rFonts w:ascii="Garamond" w:hAnsi="Garamond"/>
          <w:sz w:val="24"/>
          <w:lang w:eastAsia="en-US"/>
        </w:rPr>
        <w:t xml:space="preserve">. Pjesëmarrja e Policisë Rrugore në drejtimin e </w:t>
      </w:r>
      <w:r w:rsidR="00D90DA9" w:rsidRPr="00B907A3">
        <w:rPr>
          <w:rFonts w:ascii="Garamond" w:hAnsi="Garamond"/>
          <w:sz w:val="24"/>
          <w:lang w:eastAsia="en-US"/>
        </w:rPr>
        <w:t xml:space="preserve">qarkullimit </w:t>
      </w:r>
      <w:r w:rsidRPr="00B907A3">
        <w:rPr>
          <w:rFonts w:ascii="Garamond" w:hAnsi="Garamond"/>
          <w:sz w:val="24"/>
          <w:lang w:eastAsia="en-US"/>
        </w:rPr>
        <w:t>mund të vlerësohet më tej, për</w:t>
      </w:r>
      <w:r w:rsidR="00887CC6">
        <w:rPr>
          <w:rFonts w:ascii="Garamond" w:hAnsi="Garamond"/>
          <w:sz w:val="24"/>
          <w:lang w:eastAsia="en-US"/>
        </w:rPr>
        <w:t xml:space="preserve"> </w:t>
      </w:r>
      <w:r w:rsidR="00DB76F6">
        <w:rPr>
          <w:rFonts w:ascii="Garamond" w:hAnsi="Garamond"/>
          <w:sz w:val="24"/>
          <w:lang w:eastAsia="en-US"/>
        </w:rPr>
        <w:t>t’u</w:t>
      </w:r>
      <w:r w:rsidR="00887CC6">
        <w:rPr>
          <w:rFonts w:ascii="Garamond" w:hAnsi="Garamond"/>
          <w:sz w:val="24"/>
          <w:lang w:eastAsia="en-US"/>
        </w:rPr>
        <w:t xml:space="preserve"> </w:t>
      </w:r>
      <w:r w:rsidRPr="00B907A3">
        <w:rPr>
          <w:rFonts w:ascii="Garamond" w:hAnsi="Garamond"/>
          <w:sz w:val="24"/>
          <w:lang w:eastAsia="en-US"/>
        </w:rPr>
        <w:t xml:space="preserve">përqendruar në situatat kur pajisjet standarde të kontrollit të trafikut janë jofunksionale ose mungojnë, gjatë situatave emergjente apo në zonat pa mjete kontrolli </w:t>
      </w:r>
      <w:r w:rsidR="00D90DA9" w:rsidRPr="00B907A3">
        <w:rPr>
          <w:rFonts w:ascii="Garamond" w:hAnsi="Garamond"/>
          <w:sz w:val="24"/>
          <w:lang w:eastAsia="en-US"/>
        </w:rPr>
        <w:t>t</w:t>
      </w:r>
      <w:r w:rsidR="00D90DA9" w:rsidRPr="00B907A3">
        <w:rPr>
          <w:rFonts w:ascii="Garamond" w:hAnsi="Garamond"/>
          <w:sz w:val="24"/>
        </w:rPr>
        <w:t>ë qarkullimit</w:t>
      </w:r>
      <w:r w:rsidRPr="00B907A3">
        <w:rPr>
          <w:rFonts w:ascii="Garamond" w:hAnsi="Garamond"/>
          <w:sz w:val="24"/>
          <w:lang w:eastAsia="en-US"/>
        </w:rPr>
        <w:t xml:space="preserve">. Gjithashtu, është e nevojshme të përmirësohet në mënyrë të vazhdueshme edukimi i oficerëve të policisë </w:t>
      </w:r>
      <w:r w:rsidR="00F723C0" w:rsidRPr="00B907A3">
        <w:rPr>
          <w:rFonts w:ascii="Garamond" w:hAnsi="Garamond"/>
          <w:sz w:val="24"/>
          <w:lang w:eastAsia="en-US"/>
        </w:rPr>
        <w:t xml:space="preserve">si </w:t>
      </w:r>
      <w:r w:rsidRPr="00B907A3">
        <w:rPr>
          <w:rFonts w:ascii="Garamond" w:hAnsi="Garamond"/>
          <w:sz w:val="24"/>
          <w:lang w:eastAsia="en-US"/>
        </w:rPr>
        <w:t xml:space="preserve">dhe pajisjet e tyre teknike. Për të përmirësuar efikasitetin e procedurave për shkeljet e </w:t>
      </w:r>
      <w:r w:rsidR="00F723C0" w:rsidRPr="00B907A3">
        <w:rPr>
          <w:rFonts w:ascii="Garamond" w:hAnsi="Garamond"/>
          <w:sz w:val="24"/>
          <w:lang w:eastAsia="en-US"/>
        </w:rPr>
        <w:t>rregullave t</w:t>
      </w:r>
      <w:r w:rsidR="00F723C0" w:rsidRPr="00B907A3">
        <w:rPr>
          <w:rFonts w:ascii="Garamond" w:hAnsi="Garamond"/>
          <w:sz w:val="24"/>
        </w:rPr>
        <w:t xml:space="preserve">ë qarkullimit </w:t>
      </w:r>
      <w:r w:rsidRPr="00B907A3">
        <w:rPr>
          <w:rFonts w:ascii="Garamond" w:hAnsi="Garamond"/>
          <w:sz w:val="24"/>
          <w:lang w:eastAsia="en-US"/>
        </w:rPr>
        <w:t xml:space="preserve">dhe për të rritur sigurinë e vendosjes dhe zbatimit të sanksioneve, është thelbësore të rritet kapaciteti i gjykatave </w:t>
      </w:r>
      <w:r w:rsidR="00F723C0" w:rsidRPr="00B907A3">
        <w:rPr>
          <w:rFonts w:ascii="Garamond" w:hAnsi="Garamond"/>
          <w:sz w:val="24"/>
          <w:lang w:eastAsia="en-US"/>
        </w:rPr>
        <w:t>q</w:t>
      </w:r>
      <w:r w:rsidR="00F723C0" w:rsidRPr="00B907A3">
        <w:rPr>
          <w:rFonts w:ascii="Garamond" w:hAnsi="Garamond"/>
          <w:sz w:val="24"/>
        </w:rPr>
        <w:t xml:space="preserve">ë shqyrtojnë </w:t>
      </w:r>
      <w:r w:rsidRPr="00B907A3">
        <w:rPr>
          <w:rFonts w:ascii="Garamond" w:hAnsi="Garamond"/>
          <w:sz w:val="24"/>
          <w:lang w:eastAsia="en-US"/>
        </w:rPr>
        <w:t xml:space="preserve">shkeljet e </w:t>
      </w:r>
      <w:r w:rsidR="00F723C0" w:rsidRPr="00B907A3">
        <w:rPr>
          <w:rFonts w:ascii="Garamond" w:hAnsi="Garamond"/>
          <w:sz w:val="24"/>
          <w:lang w:eastAsia="en-US"/>
        </w:rPr>
        <w:t>rregullave t</w:t>
      </w:r>
      <w:r w:rsidR="00F723C0" w:rsidRPr="00B907A3">
        <w:rPr>
          <w:rFonts w:ascii="Garamond" w:hAnsi="Garamond"/>
          <w:sz w:val="24"/>
        </w:rPr>
        <w:t xml:space="preserve">ë qarkullimit rrugor </w:t>
      </w:r>
      <w:r w:rsidRPr="00B907A3">
        <w:rPr>
          <w:rFonts w:ascii="Garamond" w:hAnsi="Garamond"/>
          <w:sz w:val="24"/>
          <w:lang w:eastAsia="en-US"/>
        </w:rPr>
        <w:t>dhe të mundësohet automatizimi i sistemit të</w:t>
      </w:r>
      <w:r w:rsidR="00F723C0" w:rsidRPr="00B907A3">
        <w:rPr>
          <w:rFonts w:ascii="Garamond" w:hAnsi="Garamond"/>
          <w:sz w:val="24"/>
          <w:lang w:eastAsia="en-US"/>
        </w:rPr>
        <w:t xml:space="preserve"> l</w:t>
      </w:r>
      <w:r w:rsidR="00F723C0" w:rsidRPr="00B907A3">
        <w:rPr>
          <w:rFonts w:ascii="Garamond" w:hAnsi="Garamond"/>
          <w:sz w:val="24"/>
        </w:rPr>
        <w:t>ëshimit të</w:t>
      </w:r>
      <w:r w:rsidRPr="00B907A3">
        <w:rPr>
          <w:rFonts w:ascii="Garamond" w:hAnsi="Garamond"/>
          <w:sz w:val="24"/>
          <w:lang w:eastAsia="en-US"/>
        </w:rPr>
        <w:t xml:space="preserve"> gjobave dhe ekzekutimit të tyre</w:t>
      </w:r>
      <w:r w:rsidR="00904945" w:rsidRPr="00B907A3">
        <w:rPr>
          <w:rFonts w:ascii="Garamond" w:hAnsi="Garamond"/>
          <w:sz w:val="24"/>
          <w:lang w:eastAsia="en-US"/>
        </w:rPr>
        <w:t xml:space="preserve">. </w:t>
      </w:r>
    </w:p>
    <w:p w14:paraId="164B885B" w14:textId="721C476D" w:rsidR="0007623A"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3" w:name="_Toc208840578"/>
      <w:r w:rsidRPr="00B907A3">
        <w:rPr>
          <w:rFonts w:ascii="Garamond" w:hAnsi="Garamond"/>
          <w:color w:val="auto"/>
          <w:w w:val="105"/>
          <w:lang w:val="sq-AL"/>
        </w:rPr>
        <w:t xml:space="preserve">5.1.3 </w:t>
      </w:r>
      <w:r w:rsidR="00F37E95" w:rsidRPr="00B907A3">
        <w:rPr>
          <w:rFonts w:ascii="Garamond" w:hAnsi="Garamond"/>
          <w:color w:val="auto"/>
          <w:w w:val="105"/>
          <w:lang w:val="sq-AL"/>
        </w:rPr>
        <w:t>Përmirësimi i komunikimit, koordinimit dhe bashkëpunimit të aktorëve kyç të sigurisë rrugore</w:t>
      </w:r>
      <w:bookmarkEnd w:id="133"/>
    </w:p>
    <w:p w14:paraId="0B91B3FA" w14:textId="105F2FC1" w:rsidR="001C63DA" w:rsidRPr="00B907A3" w:rsidRDefault="001C63DA" w:rsidP="008C4E07">
      <w:pPr>
        <w:pStyle w:val="NormalWeb"/>
        <w:spacing w:line="240" w:lineRule="auto"/>
        <w:ind w:firstLine="284"/>
        <w:jc w:val="both"/>
        <w:rPr>
          <w:rFonts w:ascii="Garamond" w:eastAsia="Calibri" w:hAnsi="Garamond"/>
          <w:spacing w:val="-2"/>
          <w:w w:val="105"/>
          <w:sz w:val="24"/>
          <w:lang w:val="sq-AL" w:eastAsia="en-US"/>
        </w:rPr>
      </w:pPr>
      <w:r w:rsidRPr="00B907A3">
        <w:rPr>
          <w:rFonts w:ascii="Garamond" w:eastAsia="Calibri" w:hAnsi="Garamond"/>
          <w:spacing w:val="-2"/>
          <w:w w:val="105"/>
          <w:sz w:val="24"/>
          <w:lang w:val="sq-AL" w:eastAsia="en-US"/>
        </w:rPr>
        <w:t xml:space="preserve">Koordinimi dhe bashkëpunimi ndërmjet aktorëve kyç të sigurisë rrugore do të përmirësohet, çka përfshin, nëse mungon, krijimin e komunikimit dhe raportimit të rregullt midis të gjitha subjekteve dhe institucioneve të përfshira në sigurinë rrugore. Kjo do të shoqërohet me shkëmbimin elektronik të detyrueshëm të të dhënave që lidhen me menaxhimin e sigurisë rrugore, me persona përgjegjës të përcaktuar në çdo institucion (institucionet anëtare të </w:t>
      </w:r>
      <w:r w:rsidR="00F723C0" w:rsidRPr="00B907A3">
        <w:rPr>
          <w:rFonts w:ascii="Garamond" w:eastAsia="Calibri" w:hAnsi="Garamond"/>
          <w:spacing w:val="-2"/>
          <w:w w:val="105"/>
          <w:sz w:val="24"/>
          <w:lang w:val="sq-AL" w:eastAsia="en-US"/>
        </w:rPr>
        <w:t>GNIP</w:t>
      </w:r>
      <w:r w:rsidRPr="00B907A3">
        <w:rPr>
          <w:rFonts w:ascii="Garamond" w:eastAsia="Calibri" w:hAnsi="Garamond"/>
          <w:spacing w:val="-2"/>
          <w:w w:val="105"/>
          <w:sz w:val="24"/>
          <w:lang w:val="sq-AL" w:eastAsia="en-US"/>
        </w:rPr>
        <w:t xml:space="preserve">– Grupit Ndërinstitucional të Punës). </w:t>
      </w:r>
    </w:p>
    <w:p w14:paraId="6B2C78F5" w14:textId="7EF558A2" w:rsidR="002B6FC5" w:rsidRPr="00B907A3" w:rsidRDefault="001C63DA" w:rsidP="008C4E07">
      <w:pPr>
        <w:pStyle w:val="NormalWeb"/>
        <w:spacing w:line="240" w:lineRule="auto"/>
        <w:ind w:firstLine="284"/>
        <w:jc w:val="both"/>
        <w:rPr>
          <w:rFonts w:ascii="Garamond" w:eastAsia="Calibri" w:hAnsi="Garamond"/>
          <w:spacing w:val="-2"/>
          <w:w w:val="105"/>
          <w:sz w:val="24"/>
          <w:lang w:val="sq-AL" w:eastAsia="en-US"/>
        </w:rPr>
      </w:pPr>
      <w:r w:rsidRPr="00B907A3">
        <w:rPr>
          <w:rFonts w:ascii="Garamond" w:eastAsia="Calibri" w:hAnsi="Garamond"/>
          <w:spacing w:val="-2"/>
          <w:w w:val="105"/>
          <w:sz w:val="24"/>
          <w:lang w:val="sq-AL" w:eastAsia="en-US"/>
        </w:rPr>
        <w:t>Vëmendje e veçantë duhet</w:t>
      </w:r>
      <w:r w:rsidR="00887CC6">
        <w:rPr>
          <w:rFonts w:ascii="Garamond" w:eastAsia="Calibri" w:hAnsi="Garamond"/>
          <w:spacing w:val="-2"/>
          <w:w w:val="105"/>
          <w:sz w:val="24"/>
          <w:lang w:val="sq-AL" w:eastAsia="en-US"/>
        </w:rPr>
        <w:t xml:space="preserve"> </w:t>
      </w:r>
      <w:r w:rsidR="007951BD">
        <w:rPr>
          <w:rFonts w:ascii="Garamond" w:eastAsia="Calibri" w:hAnsi="Garamond"/>
          <w:spacing w:val="-2"/>
          <w:w w:val="105"/>
          <w:sz w:val="24"/>
          <w:lang w:val="sq-AL" w:eastAsia="en-US"/>
        </w:rPr>
        <w:t>t’i</w:t>
      </w:r>
      <w:r w:rsidR="00887CC6">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kushtohet koordinimit dhe bashkëpunimit horizontal dhe, më së shumti, atij vertikal, midis subjekteve kombëtare dhe vendore të përfshira në sigurinë rrugore.</w:t>
      </w:r>
    </w:p>
    <w:p w14:paraId="2AB0EF75" w14:textId="1BB5F687" w:rsidR="00F70BFA" w:rsidRPr="00B907A3" w:rsidRDefault="001C63DA"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Njësitë vendore duhet të përfshihen më fuqishëm në planifikimin dhe zbatimin e aktiviteteve për sigurinë rrugore në nivel </w:t>
      </w:r>
      <w:r w:rsidR="003613F5" w:rsidRPr="00B907A3">
        <w:rPr>
          <w:rFonts w:ascii="Garamond" w:hAnsi="Garamond"/>
          <w:sz w:val="24"/>
          <w:lang w:val="sq-AL" w:eastAsia="en-US"/>
        </w:rPr>
        <w:t>vendor</w:t>
      </w:r>
      <w:r w:rsidRPr="00B907A3">
        <w:rPr>
          <w:rFonts w:ascii="Garamond" w:hAnsi="Garamond"/>
          <w:sz w:val="24"/>
          <w:lang w:val="sq-AL" w:eastAsia="en-US"/>
        </w:rPr>
        <w:t xml:space="preserve">. Përtej përmirësimeve në sigurinë e automjeteve dhe sjelljen e përdoruesve të rrugës, ky është një nga sektorët ku janë identifikuar mundësitë më të mëdha për përparim drejt objektivit </w:t>
      </w:r>
      <w:r w:rsidR="007951BD">
        <w:rPr>
          <w:rFonts w:ascii="Garamond" w:hAnsi="Garamond"/>
          <w:sz w:val="24"/>
          <w:lang w:val="sq-AL" w:eastAsia="en-US"/>
        </w:rPr>
        <w:t>“</w:t>
      </w:r>
      <w:r w:rsidRPr="00B907A3">
        <w:rPr>
          <w:rFonts w:ascii="Garamond" w:hAnsi="Garamond"/>
          <w:sz w:val="24"/>
          <w:lang w:val="sq-AL" w:eastAsia="en-US"/>
        </w:rPr>
        <w:t>Vi</w:t>
      </w:r>
      <w:r w:rsidR="00B71368" w:rsidRPr="00B907A3">
        <w:rPr>
          <w:rFonts w:ascii="Garamond" w:hAnsi="Garamond"/>
          <w:sz w:val="24"/>
          <w:lang w:val="sq-AL" w:eastAsia="en-US"/>
        </w:rPr>
        <w:t>z</w:t>
      </w:r>
      <w:r w:rsidRPr="00B907A3">
        <w:rPr>
          <w:rFonts w:ascii="Garamond" w:hAnsi="Garamond"/>
          <w:sz w:val="24"/>
          <w:lang w:val="sq-AL" w:eastAsia="en-US"/>
        </w:rPr>
        <w:t>ion</w:t>
      </w:r>
      <w:r w:rsidR="00B71368" w:rsidRPr="00B907A3">
        <w:rPr>
          <w:rFonts w:ascii="Garamond" w:hAnsi="Garamond"/>
          <w:sz w:val="24"/>
          <w:lang w:val="sq-AL" w:eastAsia="en-US"/>
        </w:rPr>
        <w:t>i</w:t>
      </w:r>
      <w:r w:rsidRPr="00B907A3">
        <w:rPr>
          <w:rFonts w:ascii="Garamond" w:hAnsi="Garamond"/>
          <w:sz w:val="24"/>
          <w:lang w:val="sq-AL" w:eastAsia="en-US"/>
        </w:rPr>
        <w:t xml:space="preserve"> Zero</w:t>
      </w:r>
      <w:r w:rsidR="007951BD">
        <w:rPr>
          <w:rFonts w:ascii="Garamond" w:hAnsi="Garamond"/>
          <w:sz w:val="24"/>
          <w:lang w:val="sq-AL" w:eastAsia="en-US"/>
        </w:rPr>
        <w:t>”</w:t>
      </w:r>
      <w:r w:rsidRPr="00B907A3">
        <w:rPr>
          <w:rFonts w:ascii="Garamond" w:hAnsi="Garamond"/>
          <w:sz w:val="24"/>
          <w:lang w:val="sq-AL" w:eastAsia="en-US"/>
        </w:rPr>
        <w:t xml:space="preserve"> (Vizioni Zero për humbje jete në rrugë).</w:t>
      </w:r>
    </w:p>
    <w:p w14:paraId="45CBA041" w14:textId="22DA2E06" w:rsidR="0007623A"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4" w:name="_Toc208840579"/>
      <w:r w:rsidRPr="00B907A3">
        <w:rPr>
          <w:rFonts w:ascii="Garamond" w:hAnsi="Garamond"/>
          <w:color w:val="auto"/>
          <w:lang w:val="sq-AL"/>
        </w:rPr>
        <w:t xml:space="preserve">5.1.4 </w:t>
      </w:r>
      <w:r w:rsidR="00FF4317" w:rsidRPr="00B907A3">
        <w:rPr>
          <w:rFonts w:ascii="Garamond" w:hAnsi="Garamond"/>
          <w:color w:val="auto"/>
          <w:lang w:val="sq-AL"/>
        </w:rPr>
        <w:t>Përmirësimi i financimit dhe shpërndarjes së burimeve për sigurinë rrugore</w:t>
      </w:r>
      <w:bookmarkEnd w:id="134"/>
      <w:r w:rsidR="00FF4317" w:rsidRPr="00B907A3">
        <w:rPr>
          <w:rFonts w:ascii="Garamond" w:hAnsi="Garamond"/>
          <w:color w:val="auto"/>
          <w:lang w:val="sq-AL"/>
        </w:rPr>
        <w:t xml:space="preserve"> </w:t>
      </w:r>
    </w:p>
    <w:p w14:paraId="720912BE" w14:textId="6717CC78" w:rsidR="007C2729" w:rsidRPr="00B907A3" w:rsidRDefault="007C2729"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Fondet aktualisht të disponueshme (buxheti i Shtetit) të destinuara për përmirësimin e sigurisë rrugore do të përdoren në mënyrë të qëndrueshme, me mbikëqyrje mbi shpenzimin e fondeve të dedikuara. Do të studiohen dhe do të propozohen mënyra inovative financimi për sigurinë rrugore, të cilat mund të përdoren për zbatimin e ndërhyrjeve dhe procedurave të ndryshme në fushën e sigurisë rrugore.</w:t>
      </w:r>
    </w:p>
    <w:p w14:paraId="695CBC4D" w14:textId="0CB9D3F8" w:rsidR="000A4666" w:rsidRPr="00B907A3" w:rsidRDefault="007C2729"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Vëmendje e veçantë do</w:t>
      </w:r>
      <w:r w:rsidR="00887CC6">
        <w:rPr>
          <w:rFonts w:ascii="Garamond" w:eastAsia="Calibri" w:hAnsi="Garamond"/>
          <w:spacing w:val="-2"/>
          <w:w w:val="105"/>
          <w:sz w:val="24"/>
          <w:lang w:eastAsia="en-US"/>
        </w:rPr>
        <w:t xml:space="preserve"> </w:t>
      </w:r>
      <w:r w:rsidR="007951BD">
        <w:rPr>
          <w:rFonts w:ascii="Garamond" w:eastAsia="Calibri" w:hAnsi="Garamond"/>
          <w:spacing w:val="-2"/>
          <w:w w:val="105"/>
          <w:sz w:val="24"/>
          <w:lang w:eastAsia="en-US"/>
        </w:rPr>
        <w:t>t’i</w:t>
      </w:r>
      <w:r w:rsidR="00887CC6">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kushtohet shpërndarjes më të mirë të burimeve në përputhje me programet dhe ndërhyrjet e SSR</w:t>
      </w:r>
      <w:r w:rsidR="004B0577" w:rsidRPr="00B907A3">
        <w:rPr>
          <w:rFonts w:ascii="Garamond" w:eastAsia="Calibri" w:hAnsi="Garamond"/>
          <w:spacing w:val="-2"/>
          <w:w w:val="105"/>
          <w:sz w:val="24"/>
          <w:lang w:eastAsia="en-US"/>
        </w:rPr>
        <w:t>R</w:t>
      </w:r>
      <w:r w:rsidRPr="00B907A3">
        <w:rPr>
          <w:rFonts w:ascii="Garamond" w:eastAsia="Calibri" w:hAnsi="Garamond"/>
          <w:spacing w:val="-2"/>
          <w:w w:val="105"/>
          <w:sz w:val="24"/>
          <w:lang w:eastAsia="en-US"/>
        </w:rPr>
        <w:t xml:space="preserve"> dhe </w:t>
      </w:r>
      <w:r w:rsidR="00511908" w:rsidRPr="00B907A3">
        <w:rPr>
          <w:rFonts w:ascii="Garamond" w:eastAsia="Calibri" w:hAnsi="Garamond"/>
          <w:spacing w:val="-2"/>
          <w:w w:val="105"/>
          <w:sz w:val="24"/>
          <w:lang w:eastAsia="en-US"/>
        </w:rPr>
        <w:t>PVSSRR</w:t>
      </w:r>
      <w:r w:rsidR="00B70B45" w:rsidRPr="00B907A3">
        <w:rPr>
          <w:rFonts w:ascii="Garamond" w:eastAsia="Calibri" w:hAnsi="Garamond"/>
          <w:spacing w:val="-2"/>
          <w:w w:val="105"/>
          <w:sz w:val="24"/>
          <w:lang w:eastAsia="en-US"/>
        </w:rPr>
        <w:t>.</w:t>
      </w:r>
    </w:p>
    <w:p w14:paraId="2DAA1BCB" w14:textId="5682F2CE" w:rsidR="0007623A"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5" w:name="_Toc208840580"/>
      <w:r w:rsidRPr="00B907A3">
        <w:rPr>
          <w:rFonts w:ascii="Garamond" w:hAnsi="Garamond"/>
          <w:color w:val="auto"/>
          <w:w w:val="105"/>
          <w:lang w:val="sq-AL"/>
        </w:rPr>
        <w:t xml:space="preserve">5.1.5 </w:t>
      </w:r>
      <w:r w:rsidR="00991E57" w:rsidRPr="00B907A3">
        <w:rPr>
          <w:rFonts w:ascii="Garamond" w:hAnsi="Garamond"/>
          <w:color w:val="auto"/>
          <w:w w:val="105"/>
          <w:lang w:val="sq-AL"/>
        </w:rPr>
        <w:t>Përmirësimi i sistemeve mbështetëse të sigurisë rrugore</w:t>
      </w:r>
      <w:bookmarkEnd w:id="135"/>
    </w:p>
    <w:p w14:paraId="272081DF" w14:textId="550E5870" w:rsidR="0007623A" w:rsidRPr="00B907A3" w:rsidRDefault="00991E57"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Sistemet mbështetëse të sigurisë rrugore, si </w:t>
      </w:r>
      <w:r w:rsidR="00AD1C22" w:rsidRPr="00B907A3">
        <w:rPr>
          <w:rFonts w:ascii="Garamond" w:hAnsi="Garamond"/>
          <w:sz w:val="24"/>
          <w:lang w:val="sq-AL" w:eastAsia="en-US"/>
        </w:rPr>
        <w:t>data</w:t>
      </w:r>
      <w:r w:rsidRPr="00B907A3">
        <w:rPr>
          <w:rFonts w:ascii="Garamond" w:hAnsi="Garamond"/>
          <w:sz w:val="24"/>
          <w:lang w:val="sq-AL" w:eastAsia="en-US"/>
        </w:rPr>
        <w:t xml:space="preserve">bazat që lidhen me sigurinë rrugore, janë thelbësore për një menaxhim të suksesshëm të sigurisë rrugore në Shqipëri. Një menaxhim efektiv i të dhënave për sigurinë rrugore duhet të jetë themeli për identifikimin e trendeve, vlerësimin e efektivitetit të ndërhyrjeve dhe formulimin e politikave dhe ndërhyrjeve të bazuara në prova për sigurinë rrugore. Platforma ekzistuese e </w:t>
      </w:r>
      <w:r w:rsidR="005A0F06" w:rsidRPr="00B907A3">
        <w:rPr>
          <w:rFonts w:ascii="Garamond" w:hAnsi="Garamond"/>
          <w:sz w:val="24"/>
          <w:lang w:val="sq-AL" w:eastAsia="en-US"/>
        </w:rPr>
        <w:t>programit</w:t>
      </w:r>
      <w:r w:rsidRPr="00B907A3">
        <w:rPr>
          <w:rFonts w:ascii="Garamond" w:hAnsi="Garamond"/>
          <w:sz w:val="24"/>
          <w:lang w:val="sq-AL" w:eastAsia="en-US"/>
        </w:rPr>
        <w:t xml:space="preserve"> të </w:t>
      </w:r>
      <w:r w:rsidR="00AD1C22" w:rsidRPr="00B907A3">
        <w:rPr>
          <w:rFonts w:ascii="Garamond" w:hAnsi="Garamond"/>
          <w:sz w:val="24"/>
          <w:lang w:val="sq-AL" w:eastAsia="en-US"/>
        </w:rPr>
        <w:t>data</w:t>
      </w:r>
      <w:r w:rsidRPr="00B907A3">
        <w:rPr>
          <w:rFonts w:ascii="Garamond" w:hAnsi="Garamond"/>
          <w:sz w:val="24"/>
          <w:lang w:val="sq-AL" w:eastAsia="en-US"/>
        </w:rPr>
        <w:t xml:space="preserve">bazës </w:t>
      </w:r>
      <w:r w:rsidR="00AD1C22" w:rsidRPr="00B907A3">
        <w:rPr>
          <w:rFonts w:ascii="Garamond" w:hAnsi="Garamond"/>
          <w:sz w:val="24"/>
          <w:lang w:val="sq-AL" w:eastAsia="en-US"/>
        </w:rPr>
        <w:t>s</w:t>
      </w:r>
      <w:r w:rsidRPr="00B907A3">
        <w:rPr>
          <w:rFonts w:ascii="Garamond" w:hAnsi="Garamond"/>
          <w:sz w:val="24"/>
          <w:lang w:val="sq-AL" w:eastAsia="en-US"/>
        </w:rPr>
        <w:t xml:space="preserve">ë aksidenteve </w:t>
      </w:r>
      <w:r w:rsidR="00AD1C22" w:rsidRPr="00B907A3">
        <w:rPr>
          <w:rFonts w:ascii="Garamond" w:hAnsi="Garamond"/>
          <w:sz w:val="24"/>
          <w:lang w:val="sq-AL" w:eastAsia="en-US"/>
        </w:rPr>
        <w:t xml:space="preserve">rrugore </w:t>
      </w:r>
      <w:r w:rsidRPr="00B907A3">
        <w:rPr>
          <w:rFonts w:ascii="Garamond" w:hAnsi="Garamond"/>
          <w:sz w:val="24"/>
          <w:lang w:val="sq-AL" w:eastAsia="en-US"/>
        </w:rPr>
        <w:t xml:space="preserve">duhet të përditësohet dhe struktura e të dhënave të aksidenteve të përmirësohet dhe harmonizohet me protokollin </w:t>
      </w:r>
      <w:r w:rsidR="00E34DA8" w:rsidRPr="00B907A3">
        <w:rPr>
          <w:rFonts w:ascii="Garamond" w:hAnsi="Garamond"/>
          <w:sz w:val="24"/>
          <w:lang w:val="sq-AL" w:eastAsia="en-US"/>
        </w:rPr>
        <w:t>Evropian të datab</w:t>
      </w:r>
      <w:r w:rsidR="00B116B4" w:rsidRPr="00B907A3">
        <w:rPr>
          <w:rFonts w:ascii="Garamond" w:hAnsi="Garamond"/>
          <w:sz w:val="24"/>
          <w:lang w:val="sq-AL" w:eastAsia="en-US"/>
        </w:rPr>
        <w:t>azave të aksidenteve</w:t>
      </w:r>
      <w:r w:rsidRPr="00B907A3">
        <w:rPr>
          <w:rFonts w:ascii="Garamond" w:hAnsi="Garamond"/>
          <w:sz w:val="24"/>
          <w:lang w:val="sq-AL" w:eastAsia="en-US"/>
        </w:rPr>
        <w:t>. Kjo duhet të jetë një nga prioritetet, pasi si SSR</w:t>
      </w:r>
      <w:r w:rsidR="00AD1C22" w:rsidRPr="00B907A3">
        <w:rPr>
          <w:rFonts w:ascii="Garamond" w:hAnsi="Garamond"/>
          <w:sz w:val="24"/>
          <w:lang w:val="sq-AL" w:eastAsia="en-US"/>
        </w:rPr>
        <w:t>R-ja dhe</w:t>
      </w:r>
      <w:r w:rsidR="00511908" w:rsidRPr="00B907A3">
        <w:rPr>
          <w:rFonts w:ascii="Garamond" w:hAnsi="Garamond"/>
          <w:sz w:val="24"/>
          <w:lang w:val="sq-AL" w:eastAsia="en-US"/>
        </w:rPr>
        <w:t xml:space="preserve"> PVSSRR-ja </w:t>
      </w:r>
      <w:r w:rsidRPr="00B907A3">
        <w:rPr>
          <w:rFonts w:ascii="Garamond" w:hAnsi="Garamond"/>
          <w:sz w:val="24"/>
          <w:lang w:val="sq-AL" w:eastAsia="en-US"/>
        </w:rPr>
        <w:t>janë të bazuara në të dhëna. Të dhënat në lidhje me rrugët dhe automjetet duhet gjithashtu të përmirësohen në lidhje me karakteristikat e sigurisë rrugore (hartëzimi i r</w:t>
      </w:r>
      <w:r w:rsidR="00AD1C22" w:rsidRPr="00B907A3">
        <w:rPr>
          <w:rFonts w:ascii="Garamond" w:hAnsi="Garamond"/>
          <w:sz w:val="24"/>
          <w:lang w:val="sq-AL" w:eastAsia="en-US"/>
        </w:rPr>
        <w:t xml:space="preserve">iskut </w:t>
      </w:r>
      <w:r w:rsidRPr="00B907A3">
        <w:rPr>
          <w:rFonts w:ascii="Garamond" w:hAnsi="Garamond"/>
          <w:sz w:val="24"/>
          <w:lang w:val="sq-AL" w:eastAsia="en-US"/>
        </w:rPr>
        <w:t xml:space="preserve">dhe një </w:t>
      </w:r>
      <w:r w:rsidR="00AD1C22" w:rsidRPr="00B907A3">
        <w:rPr>
          <w:rFonts w:ascii="Garamond" w:hAnsi="Garamond"/>
          <w:sz w:val="24"/>
          <w:lang w:val="sq-AL" w:eastAsia="en-US"/>
        </w:rPr>
        <w:t>data</w:t>
      </w:r>
      <w:r w:rsidRPr="00B907A3">
        <w:rPr>
          <w:rFonts w:ascii="Garamond" w:hAnsi="Garamond"/>
          <w:sz w:val="24"/>
          <w:lang w:val="sq-AL" w:eastAsia="en-US"/>
        </w:rPr>
        <w:t xml:space="preserve">bazë për automjetet) dhe të ndahen ndërmjet aktorëve kyç të sigurisë rrugore. Një theks i veçantë duhet vendosur </w:t>
      </w:r>
      <w:r w:rsidR="00AD1C22" w:rsidRPr="00B907A3">
        <w:rPr>
          <w:rFonts w:ascii="Garamond" w:hAnsi="Garamond"/>
          <w:sz w:val="24"/>
          <w:lang w:val="sq-AL" w:eastAsia="en-US"/>
        </w:rPr>
        <w:t xml:space="preserve">tek dokumentimi dhe </w:t>
      </w:r>
      <w:r w:rsidRPr="00B907A3">
        <w:rPr>
          <w:rFonts w:ascii="Garamond" w:hAnsi="Garamond"/>
          <w:sz w:val="24"/>
          <w:lang w:val="sq-AL" w:eastAsia="en-US"/>
        </w:rPr>
        <w:t>monitorimi</w:t>
      </w:r>
      <w:r w:rsidR="00AD1C22" w:rsidRPr="00B907A3">
        <w:rPr>
          <w:rFonts w:ascii="Garamond" w:hAnsi="Garamond"/>
          <w:sz w:val="24"/>
          <w:lang w:val="sq-AL" w:eastAsia="en-US"/>
        </w:rPr>
        <w:t xml:space="preserve"> i </w:t>
      </w:r>
      <w:r w:rsidR="00B116B4" w:rsidRPr="00B907A3">
        <w:rPr>
          <w:rFonts w:ascii="Garamond" w:hAnsi="Garamond"/>
          <w:sz w:val="24"/>
          <w:lang w:val="sq-AL" w:eastAsia="en-US"/>
        </w:rPr>
        <w:t>T</w:t>
      </w:r>
      <w:r w:rsidRPr="00B907A3">
        <w:rPr>
          <w:rFonts w:ascii="Garamond" w:hAnsi="Garamond"/>
          <w:sz w:val="24"/>
          <w:lang w:val="sq-AL" w:eastAsia="en-US"/>
        </w:rPr>
        <w:t>KP-ve</w:t>
      </w:r>
      <w:r w:rsidR="00AD1C22" w:rsidRPr="00B907A3">
        <w:rPr>
          <w:rFonts w:ascii="Garamond" w:hAnsi="Garamond"/>
          <w:sz w:val="24"/>
          <w:lang w:val="sq-AL" w:eastAsia="en-US"/>
        </w:rPr>
        <w:t xml:space="preserve">. </w:t>
      </w:r>
      <w:r w:rsidRPr="00B907A3">
        <w:rPr>
          <w:rFonts w:ascii="Garamond" w:hAnsi="Garamond"/>
          <w:sz w:val="24"/>
          <w:lang w:val="sq-AL" w:eastAsia="en-US"/>
        </w:rPr>
        <w:t xml:space="preserve">Duhet bërë përpjekje gjithashtu për integrimin e të gjitha grupeve të të dhënave që lidhen me sigurinë rrugore në një </w:t>
      </w:r>
      <w:r w:rsidR="00AD1C22" w:rsidRPr="00B907A3">
        <w:rPr>
          <w:rFonts w:ascii="Garamond" w:hAnsi="Garamond"/>
          <w:sz w:val="24"/>
          <w:lang w:val="sq-AL" w:eastAsia="en-US"/>
        </w:rPr>
        <w:t>data</w:t>
      </w:r>
      <w:r w:rsidRPr="00B907A3">
        <w:rPr>
          <w:rFonts w:ascii="Garamond" w:hAnsi="Garamond"/>
          <w:sz w:val="24"/>
          <w:lang w:val="sq-AL" w:eastAsia="en-US"/>
        </w:rPr>
        <w:t>bazë gjithëpërfshirëse kombëtare për sigurinë rrugore.</w:t>
      </w:r>
      <w:r w:rsidR="00AD1C22" w:rsidRPr="00B907A3">
        <w:rPr>
          <w:rFonts w:ascii="Garamond" w:hAnsi="Garamond"/>
          <w:sz w:val="24"/>
          <w:lang w:val="sq-AL" w:eastAsia="en-US"/>
        </w:rPr>
        <w:t xml:space="preserve"> </w:t>
      </w:r>
      <w:r w:rsidRPr="00B907A3">
        <w:rPr>
          <w:rFonts w:ascii="Garamond" w:hAnsi="Garamond"/>
          <w:sz w:val="24"/>
          <w:lang w:val="sq-AL" w:eastAsia="en-US"/>
        </w:rPr>
        <w:t>Zbatimi i sistemeve</w:t>
      </w:r>
      <w:r w:rsidR="00511908" w:rsidRPr="00B907A3">
        <w:rPr>
          <w:rFonts w:ascii="Garamond" w:hAnsi="Garamond"/>
          <w:sz w:val="24"/>
          <w:lang w:val="sq-AL" w:eastAsia="en-US"/>
        </w:rPr>
        <w:t xml:space="preserve"> ITS </w:t>
      </w:r>
      <w:r w:rsidRPr="00B907A3">
        <w:rPr>
          <w:rFonts w:ascii="Garamond" w:hAnsi="Garamond"/>
          <w:sz w:val="24"/>
          <w:lang w:val="sq-AL" w:eastAsia="en-US"/>
        </w:rPr>
        <w:t xml:space="preserve">(Sistemet Inteligjente të Transportit) dhe RAMS (Sistemet e Menaxhimit të Aseteve Rrugore) do të mbështetet gjithashtu në vitet në vijim, duke u siguruar që sistemet të përditësohen, stafi </w:t>
      </w:r>
      <w:r w:rsidRPr="00B907A3">
        <w:rPr>
          <w:rFonts w:ascii="Garamond" w:hAnsi="Garamond"/>
          <w:sz w:val="24"/>
          <w:lang w:val="sq-AL" w:eastAsia="en-US"/>
        </w:rPr>
        <w:lastRenderedPageBreak/>
        <w:t xml:space="preserve">të trajnohet dhe të kryhet kujdesi i duhur për të siguruar funksionimin e tyre të vazhdueshëm. Një sistem cilësor i monitorimit dhe vlerësimit duhet të bëhet një mjet efikas për të ndjekur progresin në reduktimin e </w:t>
      </w:r>
      <w:r w:rsidR="00331983" w:rsidRPr="00B907A3">
        <w:rPr>
          <w:rFonts w:ascii="Garamond" w:hAnsi="Garamond"/>
          <w:sz w:val="24"/>
          <w:lang w:val="sq-AL" w:eastAsia="en-US"/>
        </w:rPr>
        <w:t>fatalite</w:t>
      </w:r>
      <w:r w:rsidR="00A021B5">
        <w:rPr>
          <w:rFonts w:ascii="Garamond" w:hAnsi="Garamond"/>
          <w:sz w:val="24"/>
          <w:lang w:val="sq-AL" w:eastAsia="en-US"/>
        </w:rPr>
        <w:t>te</w:t>
      </w:r>
      <w:r w:rsidRPr="00B907A3">
        <w:rPr>
          <w:rFonts w:ascii="Garamond" w:hAnsi="Garamond"/>
          <w:sz w:val="24"/>
          <w:lang w:val="sq-AL" w:eastAsia="en-US"/>
        </w:rPr>
        <w:t>ve dhe lëndimeve nga aksidentet rrugore. Kërkimi dhe zhvillimi në fushën e sigurisë rrugore, përfshirë transferimin e njohurive si dhe fushatat ndërgjegjësuese, duhet të përmirësohen ndjeshëm dhe të koordinohen mirë ndërmjet institucioneve.</w:t>
      </w:r>
    </w:p>
    <w:p w14:paraId="77A64D82" w14:textId="2CC8B929" w:rsidR="005344B1"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6" w:name="_Toc208840581"/>
      <w:r w:rsidRPr="00B907A3">
        <w:rPr>
          <w:rFonts w:ascii="Garamond" w:hAnsi="Garamond"/>
          <w:color w:val="auto"/>
          <w:w w:val="105"/>
          <w:lang w:val="sq-AL"/>
        </w:rPr>
        <w:t xml:space="preserve">5.1.6 </w:t>
      </w:r>
      <w:r w:rsidR="00097D31" w:rsidRPr="00B907A3">
        <w:rPr>
          <w:rFonts w:ascii="Garamond" w:hAnsi="Garamond"/>
          <w:color w:val="auto"/>
          <w:w w:val="105"/>
          <w:lang w:val="sq-AL"/>
        </w:rPr>
        <w:t>Mbështetja për kalimin e përdoruesve drejt mënyrave më të sigurta të transportit</w:t>
      </w:r>
      <w:bookmarkEnd w:id="136"/>
    </w:p>
    <w:p w14:paraId="547399CA" w14:textId="4D77847D" w:rsidR="006D63B2" w:rsidRPr="00B907A3" w:rsidRDefault="00FD7E00" w:rsidP="008C4E07">
      <w:pPr>
        <w:spacing w:after="0"/>
        <w:ind w:firstLine="284"/>
        <w:rPr>
          <w:rFonts w:ascii="Garamond" w:hAnsi="Garamond"/>
          <w:sz w:val="24"/>
          <w:lang w:eastAsia="sl-SI"/>
        </w:rPr>
      </w:pPr>
      <w:r w:rsidRPr="00B907A3">
        <w:rPr>
          <w:rFonts w:ascii="Garamond" w:hAnsi="Garamond"/>
          <w:sz w:val="24"/>
          <w:lang w:eastAsia="sl-SI"/>
        </w:rPr>
        <w:t>Dihet mirë se ekzistojnë dallime të konsiderueshme në nivelin e r</w:t>
      </w:r>
      <w:r w:rsidR="00AD1C22" w:rsidRPr="00B907A3">
        <w:rPr>
          <w:rFonts w:ascii="Garamond" w:hAnsi="Garamond"/>
          <w:sz w:val="24"/>
          <w:lang w:eastAsia="sl-SI"/>
        </w:rPr>
        <w:t xml:space="preserve">iskut </w:t>
      </w:r>
      <w:r w:rsidRPr="00B907A3">
        <w:rPr>
          <w:rFonts w:ascii="Garamond" w:hAnsi="Garamond"/>
          <w:sz w:val="24"/>
          <w:lang w:eastAsia="sl-SI"/>
        </w:rPr>
        <w:t xml:space="preserve">për lëndime fatale dhe të rënda ndërmjet mënyrave të ndryshme të transportit. Nxitja dhe rritja e përdorimit të transportit publik mund të japë një kontribut të rëndësishëm në uljen e fataliteteve dhe lëndimeve të rënda, përmirësimin e shëndetit publik, rritjen e sigurisë rrugore për të gjithë përdoruesit, reduktimin e ndikimeve mjedisore, uljen e trafikut dhe promovimin e </w:t>
      </w:r>
      <w:r w:rsidR="00AD1C22" w:rsidRPr="00B907A3">
        <w:rPr>
          <w:rFonts w:ascii="Garamond" w:hAnsi="Garamond"/>
          <w:sz w:val="24"/>
          <w:lang w:eastAsia="sl-SI"/>
        </w:rPr>
        <w:t>mobilitetit t</w:t>
      </w:r>
      <w:r w:rsidRPr="00B907A3">
        <w:rPr>
          <w:rFonts w:ascii="Garamond" w:hAnsi="Garamond"/>
          <w:sz w:val="24"/>
          <w:lang w:eastAsia="sl-SI"/>
        </w:rPr>
        <w:t>ë drejtë për të gjithë. Për këtë arsye, mënyrat e sigurta dhe të shëndetshme të udhëtimit janë veçanërisht të rëndësishme në procesin e përgatitjes së gjeneratës së ardhshme të Strategjisë së Transportit për Shqipërinë. Multimodaliteti i ardhshëm do të inkurajohet për të mbështetur kalimin modal drejt transportit hekurudhor apo detar në vitet në vijim, në rastet kur analizat kosto-përfitim do ta justifikojnë një përmirësim të tillë.</w:t>
      </w:r>
    </w:p>
    <w:p w14:paraId="781663BE" w14:textId="21650254" w:rsidR="00F02B3F" w:rsidRPr="00B907A3" w:rsidRDefault="00D51215" w:rsidP="008C4E07">
      <w:pPr>
        <w:pStyle w:val="ListParagraph"/>
        <w:shd w:val="clear" w:color="auto" w:fill="E2EFD9" w:themeFill="accent6" w:themeFillTint="33"/>
        <w:ind w:left="0" w:firstLine="284"/>
        <w:jc w:val="both"/>
        <w:rPr>
          <w:rFonts w:ascii="Garamond" w:eastAsia="Calibri" w:hAnsi="Garamond"/>
          <w:b/>
          <w:bCs/>
          <w:sz w:val="24"/>
          <w:lang w:eastAsia="x-none"/>
        </w:rPr>
      </w:pPr>
      <w:r w:rsidRPr="00B907A3">
        <w:rPr>
          <w:rFonts w:ascii="Garamond" w:hAnsi="Garamond"/>
          <w:b/>
          <w:i/>
          <w:sz w:val="24"/>
          <w:lang w:eastAsia="sl-SI"/>
        </w:rPr>
        <w:t xml:space="preserve">- </w:t>
      </w:r>
      <w:r w:rsidR="00A1052E" w:rsidRPr="00B907A3">
        <w:rPr>
          <w:rFonts w:ascii="Garamond" w:hAnsi="Garamond"/>
          <w:b/>
          <w:i/>
          <w:sz w:val="24"/>
          <w:lang w:eastAsia="sl-SI"/>
        </w:rPr>
        <w:t xml:space="preserve">Shqipëria do të përafrojë përpjekjet e saj për sigurinë rrugore me politikat ndërkombëtare dhe ato të Bashkimit Evropian duke miratuar praktika më të mira të planifikimit dhe strategjisë. Prioritetet kryesore përfshijnë forcimin e kapaciteteve të institucioneve të sigurisë rrugore përmes trajnimeve, shtimit të </w:t>
      </w:r>
      <w:r w:rsidR="00306A7B" w:rsidRPr="00B907A3">
        <w:rPr>
          <w:rFonts w:ascii="Garamond" w:hAnsi="Garamond"/>
          <w:b/>
          <w:i/>
          <w:sz w:val="24"/>
          <w:lang w:eastAsia="sl-SI"/>
        </w:rPr>
        <w:t>personelit</w:t>
      </w:r>
      <w:r w:rsidR="00A1052E" w:rsidRPr="00B907A3">
        <w:rPr>
          <w:rFonts w:ascii="Garamond" w:hAnsi="Garamond"/>
          <w:b/>
          <w:i/>
          <w:sz w:val="24"/>
          <w:lang w:eastAsia="sl-SI"/>
        </w:rPr>
        <w:t xml:space="preserve"> dhe përmirësimit të pajisjeve, si dhe përmirësimin e infrastrukturës, sigurisë së mjeteve dhe përdoruesve të rrugës. Do të vendoset një bashkërendim i rregullt, ndarje e të dhënave dhe bashkëpunim ndërmjet palëve të interesit, së bashku me një </w:t>
      </w:r>
      <w:r w:rsidR="00DA151F" w:rsidRPr="00B907A3">
        <w:rPr>
          <w:rFonts w:ascii="Garamond" w:hAnsi="Garamond"/>
          <w:b/>
          <w:i/>
          <w:sz w:val="24"/>
          <w:lang w:eastAsia="sl-SI"/>
        </w:rPr>
        <w:t xml:space="preserve">alokim </w:t>
      </w:r>
      <w:r w:rsidR="00A1052E" w:rsidRPr="00B907A3">
        <w:rPr>
          <w:rFonts w:ascii="Garamond" w:hAnsi="Garamond"/>
          <w:b/>
          <w:i/>
          <w:sz w:val="24"/>
          <w:lang w:eastAsia="sl-SI"/>
        </w:rPr>
        <w:t>më të mirë të fondeve në nivel kombëtar dhe</w:t>
      </w:r>
      <w:r w:rsidR="00DA151F" w:rsidRPr="00B907A3">
        <w:rPr>
          <w:rFonts w:ascii="Garamond" w:hAnsi="Garamond"/>
          <w:b/>
          <w:i/>
          <w:sz w:val="24"/>
          <w:lang w:eastAsia="sl-SI"/>
        </w:rPr>
        <w:t xml:space="preserve"> vendor</w:t>
      </w:r>
      <w:r w:rsidR="00A1052E" w:rsidRPr="00B907A3">
        <w:rPr>
          <w:rFonts w:ascii="Garamond" w:hAnsi="Garamond"/>
          <w:b/>
          <w:i/>
          <w:sz w:val="24"/>
          <w:lang w:eastAsia="sl-SI"/>
        </w:rPr>
        <w:t>. Është thelbësore të përmirësohet mbledhja e të dhënave, monitorimi dhe kërkimi shkencor, me një fokus të veçantë në promovimin e mënyrave më të sigurta të transportit, siç janë transporti publik, ecja dhe çiklizmi, me qëllim uljen e fataliteteve dhe mbështetjen e</w:t>
      </w:r>
      <w:r w:rsidR="00DA151F" w:rsidRPr="00B907A3">
        <w:rPr>
          <w:rFonts w:ascii="Garamond" w:hAnsi="Garamond"/>
          <w:b/>
          <w:i/>
          <w:sz w:val="24"/>
          <w:lang w:eastAsia="sl-SI"/>
        </w:rPr>
        <w:t xml:space="preserve"> mobilitetit t</w:t>
      </w:r>
      <w:r w:rsidR="00A1052E" w:rsidRPr="00B907A3">
        <w:rPr>
          <w:rFonts w:ascii="Garamond" w:hAnsi="Garamond"/>
          <w:b/>
          <w:i/>
          <w:sz w:val="24"/>
          <w:lang w:eastAsia="sl-SI"/>
        </w:rPr>
        <w:t>ë qëndruesh</w:t>
      </w:r>
      <w:r w:rsidR="00DA151F" w:rsidRPr="00B907A3">
        <w:rPr>
          <w:rFonts w:ascii="Garamond" w:hAnsi="Garamond"/>
          <w:b/>
          <w:i/>
          <w:sz w:val="24"/>
          <w:lang w:eastAsia="sl-SI"/>
        </w:rPr>
        <w:t>ë</w:t>
      </w:r>
      <w:r w:rsidR="00A1052E" w:rsidRPr="00B907A3">
        <w:rPr>
          <w:rFonts w:ascii="Garamond" w:hAnsi="Garamond"/>
          <w:b/>
          <w:i/>
          <w:sz w:val="24"/>
          <w:lang w:eastAsia="sl-SI"/>
        </w:rPr>
        <w:t>m.</w:t>
      </w:r>
    </w:p>
    <w:p w14:paraId="60A55DBD" w14:textId="1E1051F5" w:rsidR="00947263" w:rsidRPr="00B907A3" w:rsidRDefault="00D51215" w:rsidP="008C4E07">
      <w:pPr>
        <w:pStyle w:val="Heading2"/>
        <w:numPr>
          <w:ilvl w:val="0"/>
          <w:numId w:val="0"/>
        </w:numPr>
        <w:shd w:val="clear" w:color="auto" w:fill="E2EFD9" w:themeFill="accent6" w:themeFillTint="33"/>
        <w:spacing w:after="0"/>
        <w:ind w:firstLine="284"/>
        <w:rPr>
          <w:rFonts w:ascii="Garamond" w:hAnsi="Garamond"/>
          <w:color w:val="auto"/>
          <w:lang w:val="sq-AL"/>
        </w:rPr>
      </w:pPr>
      <w:bookmarkStart w:id="137" w:name="_Toc208840582"/>
      <w:r w:rsidRPr="00B907A3">
        <w:rPr>
          <w:rFonts w:ascii="Garamond" w:hAnsi="Garamond"/>
          <w:color w:val="auto"/>
          <w:lang w:val="sq-AL"/>
        </w:rPr>
        <w:t xml:space="preserve">5.2 </w:t>
      </w:r>
      <w:r w:rsidR="00B53652" w:rsidRPr="00B907A3">
        <w:rPr>
          <w:rFonts w:ascii="Garamond" w:hAnsi="Garamond"/>
          <w:color w:val="auto"/>
          <w:lang w:val="sq-AL"/>
        </w:rPr>
        <w:t>Rrugë</w:t>
      </w:r>
      <w:r w:rsidR="00DA151F" w:rsidRPr="00B907A3">
        <w:rPr>
          <w:rFonts w:ascii="Garamond" w:hAnsi="Garamond"/>
          <w:color w:val="auto"/>
          <w:lang w:val="sq-AL"/>
        </w:rPr>
        <w:t xml:space="preserve"> dhe mobilitet </w:t>
      </w:r>
      <w:r w:rsidR="00B53652" w:rsidRPr="00B907A3">
        <w:rPr>
          <w:rFonts w:ascii="Garamond" w:hAnsi="Garamond"/>
          <w:color w:val="auto"/>
          <w:lang w:val="sq-AL"/>
        </w:rPr>
        <w:t xml:space="preserve">më </w:t>
      </w:r>
      <w:r w:rsidR="00DA151F" w:rsidRPr="00B907A3">
        <w:rPr>
          <w:rFonts w:ascii="Garamond" w:hAnsi="Garamond"/>
          <w:color w:val="auto"/>
          <w:lang w:val="sq-AL"/>
        </w:rPr>
        <w:t xml:space="preserve">i </w:t>
      </w:r>
      <w:r w:rsidR="00B53652" w:rsidRPr="00B907A3">
        <w:rPr>
          <w:rFonts w:ascii="Garamond" w:hAnsi="Garamond"/>
          <w:color w:val="auto"/>
          <w:lang w:val="sq-AL"/>
        </w:rPr>
        <w:t>sigurt, përfshirë shpejtësi</w:t>
      </w:r>
      <w:r w:rsidR="00DA151F" w:rsidRPr="00B907A3">
        <w:rPr>
          <w:rFonts w:ascii="Garamond" w:hAnsi="Garamond"/>
          <w:color w:val="auto"/>
          <w:lang w:val="sq-AL"/>
        </w:rPr>
        <w:t xml:space="preserve">në e </w:t>
      </w:r>
      <w:r w:rsidR="00B53652" w:rsidRPr="00B907A3">
        <w:rPr>
          <w:rFonts w:ascii="Garamond" w:hAnsi="Garamond"/>
          <w:color w:val="auto"/>
          <w:lang w:val="sq-AL"/>
        </w:rPr>
        <w:t>sigurt</w:t>
      </w:r>
      <w:bookmarkEnd w:id="137"/>
    </w:p>
    <w:p w14:paraId="43D82998" w14:textId="3C16C463" w:rsidR="00326364" w:rsidRPr="00B907A3" w:rsidRDefault="00B53652"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Rrugët të sigurta kërkojnë planifikimin, projektimin dhe funksionimin e tyre, duke ofruar kuadrin për përdorimin e sigurt të rrugëve dhe të mjeteve autonome në të ardhmen.</w:t>
      </w:r>
    </w:p>
    <w:p w14:paraId="351725C6" w14:textId="2975F9A3" w:rsidR="00326364" w:rsidRPr="00B907A3" w:rsidRDefault="00326364" w:rsidP="008C4E07">
      <w:pPr>
        <w:spacing w:after="0"/>
        <w:ind w:firstLine="284"/>
        <w:jc w:val="center"/>
        <w:rPr>
          <w:rFonts w:ascii="Garamond" w:eastAsia="Calibri" w:hAnsi="Garamond"/>
          <w:spacing w:val="-2"/>
          <w:w w:val="105"/>
          <w:sz w:val="24"/>
          <w:lang w:eastAsia="en-US"/>
        </w:rPr>
      </w:pPr>
      <w:r w:rsidRPr="00B907A3">
        <w:rPr>
          <w:rFonts w:ascii="Garamond" w:eastAsia="Calibri" w:hAnsi="Garamond"/>
          <w:noProof/>
          <w:spacing w:val="-2"/>
          <w:w w:val="105"/>
          <w:sz w:val="24"/>
          <w:lang w:eastAsia="sq-AL"/>
        </w:rPr>
        <w:drawing>
          <wp:inline distT="0" distB="0" distL="0" distR="0" wp14:anchorId="2DF6AE45" wp14:editId="2DA22AD0">
            <wp:extent cx="4318000" cy="2365009"/>
            <wp:effectExtent l="0" t="0" r="6350" b="0"/>
            <wp:docPr id="7483654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65471" name="Picture 748365471"/>
                    <pic:cNvPicPr/>
                  </pic:nvPicPr>
                  <pic:blipFill rotWithShape="1">
                    <a:blip r:embed="rId31" cstate="print">
                      <a:extLst>
                        <a:ext uri="{28A0092B-C50C-407E-A947-70E740481C1C}">
                          <a14:useLocalDpi xmlns:a14="http://schemas.microsoft.com/office/drawing/2010/main" val="0"/>
                        </a:ext>
                      </a:extLst>
                    </a:blip>
                    <a:srcRect t="10800"/>
                    <a:stretch>
                      <a:fillRect/>
                    </a:stretch>
                  </pic:blipFill>
                  <pic:spPr bwMode="auto">
                    <a:xfrm>
                      <a:off x="0" y="0"/>
                      <a:ext cx="4338216" cy="2376081"/>
                    </a:xfrm>
                    <a:prstGeom prst="rect">
                      <a:avLst/>
                    </a:prstGeom>
                    <a:ln>
                      <a:noFill/>
                    </a:ln>
                    <a:extLst>
                      <a:ext uri="{53640926-AAD7-44D8-BBD7-CCE9431645EC}">
                        <a14:shadowObscured xmlns:a14="http://schemas.microsoft.com/office/drawing/2010/main"/>
                      </a:ext>
                    </a:extLst>
                  </pic:spPr>
                </pic:pic>
              </a:graphicData>
            </a:graphic>
          </wp:inline>
        </w:drawing>
      </w:r>
    </w:p>
    <w:p w14:paraId="430A08E8" w14:textId="37E04F02" w:rsidR="00947263" w:rsidRPr="00B907A3" w:rsidRDefault="00B53652"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Për të arritur rezultatin (specifik) të </w:t>
      </w:r>
      <w:r w:rsidR="00134A9A" w:rsidRPr="00B907A3">
        <w:rPr>
          <w:rFonts w:ascii="Garamond" w:eastAsia="Calibri" w:hAnsi="Garamond"/>
          <w:spacing w:val="-2"/>
          <w:w w:val="105"/>
          <w:sz w:val="24"/>
          <w:lang w:eastAsia="en-US"/>
        </w:rPr>
        <w:t>komponentit</w:t>
      </w:r>
      <w:r w:rsidRPr="00B907A3">
        <w:rPr>
          <w:rFonts w:ascii="Garamond" w:eastAsia="Calibri" w:hAnsi="Garamond"/>
          <w:spacing w:val="-2"/>
          <w:w w:val="105"/>
          <w:sz w:val="24"/>
          <w:lang w:eastAsia="en-US"/>
        </w:rPr>
        <w:t xml:space="preserve"> 2, janë identifikuar disa fusha strategjike për përmirësim në paragrafët pasues.</w:t>
      </w:r>
    </w:p>
    <w:p w14:paraId="11A90FFE" w14:textId="0ED15DDE" w:rsidR="00E92909"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8" w:name="_Toc208840583"/>
      <w:r w:rsidRPr="00B907A3">
        <w:rPr>
          <w:rFonts w:ascii="Garamond" w:hAnsi="Garamond"/>
          <w:color w:val="auto"/>
          <w:w w:val="105"/>
          <w:lang w:val="sq-AL"/>
        </w:rPr>
        <w:t xml:space="preserve">5.2.1 </w:t>
      </w:r>
      <w:r w:rsidR="00B53652" w:rsidRPr="00B907A3">
        <w:rPr>
          <w:rFonts w:ascii="Garamond" w:hAnsi="Garamond"/>
          <w:color w:val="auto"/>
          <w:w w:val="105"/>
          <w:lang w:val="sq-AL"/>
        </w:rPr>
        <w:t>Përmirësimi i planifikimit, projektimit, ndërtimit dhe mirëmbajtjes së rrugëve</w:t>
      </w:r>
      <w:bookmarkEnd w:id="138"/>
    </w:p>
    <w:p w14:paraId="24FC920D" w14:textId="0FD1AF0A" w:rsidR="00DA151F" w:rsidRPr="00B907A3" w:rsidRDefault="00B53652"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Rrugët e reja do të planifikohen, projektohen dhe ndërtohen </w:t>
      </w:r>
      <w:r w:rsidR="00DA151F" w:rsidRPr="00B907A3">
        <w:rPr>
          <w:rFonts w:ascii="Garamond" w:hAnsi="Garamond"/>
          <w:sz w:val="24"/>
          <w:lang w:val="sq-AL" w:eastAsia="en-US"/>
        </w:rPr>
        <w:t xml:space="preserve">duke </w:t>
      </w:r>
      <w:r w:rsidRPr="00B907A3">
        <w:rPr>
          <w:rFonts w:ascii="Garamond" w:hAnsi="Garamond"/>
          <w:sz w:val="24"/>
          <w:lang w:val="sq-AL" w:eastAsia="en-US"/>
        </w:rPr>
        <w:t>zbat</w:t>
      </w:r>
      <w:r w:rsidR="00DA151F" w:rsidRPr="00B907A3">
        <w:rPr>
          <w:rFonts w:ascii="Garamond" w:hAnsi="Garamond"/>
          <w:sz w:val="24"/>
          <w:lang w:val="sq-AL" w:eastAsia="en-US"/>
        </w:rPr>
        <w:t xml:space="preserve">uar </w:t>
      </w:r>
      <w:r w:rsidRPr="00B907A3">
        <w:rPr>
          <w:rFonts w:ascii="Garamond" w:hAnsi="Garamond"/>
          <w:sz w:val="24"/>
          <w:lang w:val="sq-AL" w:eastAsia="en-US"/>
        </w:rPr>
        <w:t>plotë</w:t>
      </w:r>
      <w:r w:rsidR="00DA151F" w:rsidRPr="00B907A3">
        <w:rPr>
          <w:rFonts w:ascii="Garamond" w:hAnsi="Garamond"/>
          <w:sz w:val="24"/>
          <w:lang w:val="sq-AL" w:eastAsia="en-US"/>
        </w:rPr>
        <w:t>sisht</w:t>
      </w:r>
      <w:r w:rsidRPr="00B907A3">
        <w:rPr>
          <w:rFonts w:ascii="Garamond" w:hAnsi="Garamond"/>
          <w:sz w:val="24"/>
          <w:lang w:val="sq-AL" w:eastAsia="en-US"/>
        </w:rPr>
        <w:t xml:space="preserve"> të gjitha procedura</w:t>
      </w:r>
      <w:r w:rsidR="00DA151F" w:rsidRPr="00B907A3">
        <w:rPr>
          <w:rFonts w:ascii="Garamond" w:hAnsi="Garamond"/>
          <w:sz w:val="24"/>
          <w:lang w:val="sq-AL" w:eastAsia="en-US"/>
        </w:rPr>
        <w:t xml:space="preserve">t e </w:t>
      </w:r>
      <w:r w:rsidRPr="00B907A3">
        <w:rPr>
          <w:rFonts w:ascii="Garamond" w:hAnsi="Garamond"/>
          <w:sz w:val="24"/>
          <w:lang w:val="sq-AL" w:eastAsia="en-US"/>
        </w:rPr>
        <w:t>Menaxhimit të Sigurisë së Infrastrukturës Rrugore (MSIRR) të përcaktuara në Direktivën e BE-së (96/2008 dhe 1936/2019). Rrugët ekzistuese do të rindërtohen, rehabilitohen dhe mirëmbahen në një mënyrë që siguron një standard të lartë sigurie rrugore përmes përdorimit të procedurave të MSIR</w:t>
      </w:r>
      <w:r w:rsidR="00DA151F" w:rsidRPr="00B907A3">
        <w:rPr>
          <w:rFonts w:ascii="Garamond" w:hAnsi="Garamond"/>
          <w:sz w:val="24"/>
          <w:lang w:val="sq-AL" w:eastAsia="en-US"/>
        </w:rPr>
        <w:t>R</w:t>
      </w:r>
      <w:r w:rsidRPr="00B907A3">
        <w:rPr>
          <w:rFonts w:ascii="Garamond" w:hAnsi="Garamond"/>
          <w:sz w:val="24"/>
          <w:lang w:val="sq-AL" w:eastAsia="en-US"/>
        </w:rPr>
        <w:t xml:space="preserve"> dhe zbatimit të propozimeve përkatëse. Një fokus i veçantë do</w:t>
      </w:r>
      <w:r w:rsidR="00887CC6">
        <w:rPr>
          <w:rFonts w:ascii="Garamond" w:hAnsi="Garamond"/>
          <w:sz w:val="24"/>
          <w:lang w:val="sq-AL" w:eastAsia="en-US"/>
        </w:rPr>
        <w:t xml:space="preserve"> </w:t>
      </w:r>
      <w:r w:rsidR="007951BD">
        <w:rPr>
          <w:rFonts w:ascii="Garamond" w:hAnsi="Garamond"/>
          <w:sz w:val="24"/>
          <w:lang w:val="sq-AL" w:eastAsia="en-US"/>
        </w:rPr>
        <w:t>t’i</w:t>
      </w:r>
      <w:r w:rsidR="00887CC6">
        <w:rPr>
          <w:rFonts w:ascii="Garamond" w:hAnsi="Garamond"/>
          <w:sz w:val="24"/>
          <w:lang w:val="sq-AL" w:eastAsia="en-US"/>
        </w:rPr>
        <w:t xml:space="preserve"> </w:t>
      </w:r>
      <w:r w:rsidRPr="00B907A3">
        <w:rPr>
          <w:rFonts w:ascii="Garamond" w:hAnsi="Garamond"/>
          <w:sz w:val="24"/>
          <w:lang w:val="sq-AL" w:eastAsia="en-US"/>
        </w:rPr>
        <w:t xml:space="preserve">kushtohet zbatimit të </w:t>
      </w:r>
      <w:r w:rsidR="00D64E55" w:rsidRPr="00B907A3">
        <w:rPr>
          <w:rFonts w:ascii="Garamond" w:hAnsi="Garamond"/>
          <w:sz w:val="24"/>
          <w:lang w:val="sq-AL" w:eastAsia="en-US"/>
        </w:rPr>
        <w:t>Q</w:t>
      </w:r>
      <w:r w:rsidR="00DA151F" w:rsidRPr="00B907A3">
        <w:rPr>
          <w:rFonts w:ascii="Garamond" w:hAnsi="Garamond"/>
          <w:sz w:val="24"/>
          <w:lang w:val="sq-AL" w:eastAsia="en-US"/>
        </w:rPr>
        <w:t xml:space="preserve">SA </w:t>
      </w:r>
      <w:r w:rsidRPr="00B907A3">
        <w:rPr>
          <w:rFonts w:ascii="Garamond" w:hAnsi="Garamond"/>
          <w:sz w:val="24"/>
          <w:lang w:val="sq-AL" w:eastAsia="en-US"/>
        </w:rPr>
        <w:t>(</w:t>
      </w:r>
      <w:r w:rsidR="00DA151F" w:rsidRPr="00B907A3">
        <w:rPr>
          <w:rFonts w:ascii="Garamond" w:hAnsi="Garamond"/>
          <w:sz w:val="24"/>
          <w:lang w:val="sq-AL" w:eastAsia="en-US"/>
        </w:rPr>
        <w:t xml:space="preserve">Qasjes së </w:t>
      </w:r>
      <w:r w:rsidR="00A021B5" w:rsidRPr="00B907A3">
        <w:rPr>
          <w:rFonts w:ascii="Garamond" w:hAnsi="Garamond"/>
          <w:sz w:val="24"/>
          <w:lang w:val="sq-AL" w:eastAsia="en-US"/>
        </w:rPr>
        <w:t>Sistemit</w:t>
      </w:r>
      <w:r w:rsidR="00DA151F" w:rsidRPr="00B907A3">
        <w:rPr>
          <w:rFonts w:ascii="Garamond" w:hAnsi="Garamond"/>
          <w:sz w:val="24"/>
          <w:lang w:val="sq-AL" w:eastAsia="en-US"/>
        </w:rPr>
        <w:t xml:space="preserve"> të Sigurt) </w:t>
      </w:r>
      <w:r w:rsidRPr="00B907A3">
        <w:rPr>
          <w:rFonts w:ascii="Garamond" w:hAnsi="Garamond"/>
          <w:sz w:val="24"/>
          <w:lang w:val="sq-AL" w:eastAsia="en-US"/>
        </w:rPr>
        <w:t xml:space="preserve">dhe koncepteve të shpejtësisë së sigurt, duke përfshirë përdoruesit e rrezikuar të rrugës dhe kërkesat e ardhshme për mjetet e automatizuara. Me garantimin e një standardi kaq të lartë të sigurisë </w:t>
      </w:r>
      <w:r w:rsidRPr="00B907A3">
        <w:rPr>
          <w:rFonts w:ascii="Garamond" w:hAnsi="Garamond"/>
          <w:sz w:val="24"/>
          <w:lang w:val="sq-AL" w:eastAsia="en-US"/>
        </w:rPr>
        <w:lastRenderedPageBreak/>
        <w:t>së infrastrukturës rrugore, rrugët do të jenë më tolerante ndaj gabimeve dhe pritet që</w:t>
      </w:r>
      <w:r w:rsidR="00DA151F" w:rsidRPr="00B907A3">
        <w:rPr>
          <w:rFonts w:ascii="Garamond" w:hAnsi="Garamond"/>
          <w:sz w:val="24"/>
          <w:lang w:val="sq-AL" w:eastAsia="en-US"/>
        </w:rPr>
        <w:t xml:space="preserve">r </w:t>
      </w:r>
      <w:r w:rsidRPr="00B907A3">
        <w:rPr>
          <w:rFonts w:ascii="Garamond" w:hAnsi="Garamond"/>
          <w:sz w:val="24"/>
          <w:lang w:val="sq-AL" w:eastAsia="en-US"/>
        </w:rPr>
        <w:t>r</w:t>
      </w:r>
      <w:r w:rsidR="00DA151F" w:rsidRPr="00B907A3">
        <w:rPr>
          <w:rFonts w:ascii="Garamond" w:hAnsi="Garamond"/>
          <w:sz w:val="24"/>
          <w:lang w:val="sq-AL" w:eastAsia="en-US"/>
        </w:rPr>
        <w:t>isku pë</w:t>
      </w:r>
      <w:r w:rsidRPr="00B907A3">
        <w:rPr>
          <w:rFonts w:ascii="Garamond" w:hAnsi="Garamond"/>
          <w:sz w:val="24"/>
          <w:lang w:val="sq-AL" w:eastAsia="en-US"/>
        </w:rPr>
        <w:t>r</w:t>
      </w:r>
      <w:r w:rsidR="00DA151F" w:rsidRPr="00B907A3">
        <w:rPr>
          <w:rFonts w:ascii="Garamond" w:hAnsi="Garamond"/>
          <w:sz w:val="24"/>
          <w:lang w:val="sq-AL" w:eastAsia="en-US"/>
        </w:rPr>
        <w:t xml:space="preserve"> humbje jete </w:t>
      </w:r>
      <w:r w:rsidRPr="00B907A3">
        <w:rPr>
          <w:rFonts w:ascii="Garamond" w:hAnsi="Garamond"/>
          <w:sz w:val="24"/>
          <w:lang w:val="sq-AL" w:eastAsia="en-US"/>
        </w:rPr>
        <w:t xml:space="preserve">nga aksidentet rrugore të ulet. </w:t>
      </w:r>
    </w:p>
    <w:p w14:paraId="65A7E8DD" w14:textId="17E2804B" w:rsidR="00B53652" w:rsidRPr="00B907A3" w:rsidRDefault="00B53652"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Vëmendje e veçantë do</w:t>
      </w:r>
      <w:r w:rsidR="00887CC6">
        <w:rPr>
          <w:rFonts w:ascii="Garamond" w:hAnsi="Garamond"/>
          <w:sz w:val="24"/>
          <w:lang w:val="sq-AL" w:eastAsia="en-US"/>
        </w:rPr>
        <w:t xml:space="preserve"> </w:t>
      </w:r>
      <w:r w:rsidR="007951BD">
        <w:rPr>
          <w:rFonts w:ascii="Garamond" w:hAnsi="Garamond"/>
          <w:sz w:val="24"/>
          <w:lang w:val="sq-AL" w:eastAsia="en-US"/>
        </w:rPr>
        <w:t>t’i</w:t>
      </w:r>
      <w:r w:rsidR="00887CC6">
        <w:rPr>
          <w:rFonts w:ascii="Garamond" w:hAnsi="Garamond"/>
          <w:sz w:val="24"/>
          <w:lang w:val="sq-AL" w:eastAsia="en-US"/>
        </w:rPr>
        <w:t xml:space="preserve"> </w:t>
      </w:r>
      <w:r w:rsidRPr="00B907A3">
        <w:rPr>
          <w:rFonts w:ascii="Garamond" w:hAnsi="Garamond"/>
          <w:sz w:val="24"/>
          <w:lang w:val="sq-AL" w:eastAsia="en-US"/>
        </w:rPr>
        <w:t>kushtohet masave për qetësimin e</w:t>
      </w:r>
      <w:r w:rsidR="00DA151F" w:rsidRPr="00B907A3">
        <w:rPr>
          <w:rFonts w:ascii="Garamond" w:hAnsi="Garamond"/>
          <w:sz w:val="24"/>
          <w:lang w:val="sq-AL" w:eastAsia="en-US"/>
        </w:rPr>
        <w:t xml:space="preserve"> qarkullimit</w:t>
      </w:r>
      <w:r w:rsidRPr="00B907A3">
        <w:rPr>
          <w:rFonts w:ascii="Garamond" w:hAnsi="Garamond"/>
          <w:sz w:val="24"/>
          <w:lang w:val="sq-AL" w:eastAsia="en-US"/>
        </w:rPr>
        <w:t>, veçanërisht në hyrjet e zonave të banuara, në afërsi të institucioneve arsimore dhe në vendkalimet për këmbësorë dhe çiklistë. Shumë nga infrastruktura aktuale ka nevojë për</w:t>
      </w:r>
      <w:r w:rsidR="00887CC6">
        <w:rPr>
          <w:rFonts w:ascii="Garamond" w:hAnsi="Garamond"/>
          <w:sz w:val="24"/>
          <w:lang w:val="sq-AL" w:eastAsia="en-US"/>
        </w:rPr>
        <w:t xml:space="preserve"> </w:t>
      </w:r>
      <w:r w:rsidR="00DB76F6">
        <w:rPr>
          <w:rFonts w:ascii="Garamond" w:hAnsi="Garamond"/>
          <w:sz w:val="24"/>
          <w:lang w:val="sq-AL" w:eastAsia="en-US"/>
        </w:rPr>
        <w:t>t’u</w:t>
      </w:r>
      <w:r w:rsidR="00887CC6">
        <w:rPr>
          <w:rFonts w:ascii="Garamond" w:hAnsi="Garamond"/>
          <w:sz w:val="24"/>
          <w:lang w:val="sq-AL" w:eastAsia="en-US"/>
        </w:rPr>
        <w:t xml:space="preserve"> </w:t>
      </w:r>
      <w:r w:rsidRPr="00B907A3">
        <w:rPr>
          <w:rFonts w:ascii="Garamond" w:hAnsi="Garamond"/>
          <w:sz w:val="24"/>
          <w:lang w:val="sq-AL" w:eastAsia="en-US"/>
        </w:rPr>
        <w:t>rinovuar në mënyrë që të përmirësohen kushtet e sigurisë për të gjithë përdoruesit. Ulja e shpejtësisë përmes masave infrastrukturore, si rrethrrotullimet, ishujt e trafikut dhe</w:t>
      </w:r>
      <w:r w:rsidR="00DA151F" w:rsidRPr="00B907A3">
        <w:rPr>
          <w:rFonts w:ascii="Garamond" w:hAnsi="Garamond"/>
          <w:sz w:val="24"/>
          <w:lang w:val="sq-AL" w:eastAsia="en-US"/>
        </w:rPr>
        <w:t xml:space="preserve"> pengesat (gungat)</w:t>
      </w:r>
      <w:r w:rsidRPr="00B907A3">
        <w:rPr>
          <w:rFonts w:ascii="Garamond" w:hAnsi="Garamond"/>
          <w:sz w:val="24"/>
          <w:lang w:val="sq-AL" w:eastAsia="en-US"/>
        </w:rPr>
        <w:t xml:space="preserve">, </w:t>
      </w:r>
      <w:r w:rsidR="00DA151F" w:rsidRPr="00B907A3">
        <w:rPr>
          <w:rFonts w:ascii="Garamond" w:hAnsi="Garamond"/>
          <w:sz w:val="24"/>
          <w:lang w:val="sq-AL" w:eastAsia="en-US"/>
        </w:rPr>
        <w:t xml:space="preserve">ka rezultuar </w:t>
      </w:r>
      <w:r w:rsidRPr="00B907A3">
        <w:rPr>
          <w:rFonts w:ascii="Garamond" w:hAnsi="Garamond"/>
          <w:sz w:val="24"/>
          <w:lang w:val="sq-AL" w:eastAsia="en-US"/>
        </w:rPr>
        <w:t xml:space="preserve">efektive, por </w:t>
      </w:r>
      <w:r w:rsidR="00DA151F" w:rsidRPr="00B907A3">
        <w:rPr>
          <w:rFonts w:ascii="Garamond" w:hAnsi="Garamond"/>
          <w:sz w:val="24"/>
          <w:lang w:val="sq-AL" w:eastAsia="en-US"/>
        </w:rPr>
        <w:t xml:space="preserve">këto masa </w:t>
      </w:r>
      <w:r w:rsidRPr="00B907A3">
        <w:rPr>
          <w:rFonts w:ascii="Garamond" w:hAnsi="Garamond"/>
          <w:sz w:val="24"/>
          <w:lang w:val="sq-AL" w:eastAsia="en-US"/>
        </w:rPr>
        <w:t>duhet të projektohen dhe zbatohen siç duhet. Masat e sigurisë në zonat e punimeve rrugore gjithashtu do të duhet të forcohen. E njëjta gjë vlen edhe për mirëmbajtjen e infrastrukturës ekzistuese, në vendet ku ka sinjalistikë dhe pajisje të dëmtuara apo të padukshme, karrexhata të dëmtuara dhe bankina të pa</w:t>
      </w:r>
      <w:r w:rsidR="00DA151F" w:rsidRPr="00B907A3">
        <w:rPr>
          <w:rFonts w:ascii="Garamond" w:hAnsi="Garamond"/>
          <w:sz w:val="24"/>
          <w:lang w:val="sq-AL" w:eastAsia="en-US"/>
        </w:rPr>
        <w:t xml:space="preserve"> mirë</w:t>
      </w:r>
      <w:r w:rsidRPr="00B907A3">
        <w:rPr>
          <w:rFonts w:ascii="Garamond" w:hAnsi="Garamond"/>
          <w:sz w:val="24"/>
          <w:lang w:val="sq-AL" w:eastAsia="en-US"/>
        </w:rPr>
        <w:t>mbajtura</w:t>
      </w:r>
      <w:r w:rsidR="00DA151F" w:rsidRPr="00B907A3">
        <w:rPr>
          <w:rFonts w:ascii="Garamond" w:hAnsi="Garamond"/>
          <w:sz w:val="24"/>
          <w:lang w:val="sq-AL" w:eastAsia="en-US"/>
        </w:rPr>
        <w:t xml:space="preserve"> </w:t>
      </w:r>
      <w:r w:rsidR="005C1DD9" w:rsidRPr="00B907A3">
        <w:rPr>
          <w:rFonts w:ascii="Garamond" w:hAnsi="Garamond"/>
          <w:sz w:val="24"/>
          <w:lang w:val="sq-AL" w:eastAsia="en-US"/>
        </w:rPr>
        <w:t>siç</w:t>
      </w:r>
      <w:r w:rsidR="00DA151F" w:rsidRPr="00B907A3">
        <w:rPr>
          <w:rFonts w:ascii="Garamond" w:hAnsi="Garamond"/>
          <w:sz w:val="24"/>
          <w:lang w:val="sq-AL" w:eastAsia="en-US"/>
        </w:rPr>
        <w:t xml:space="preserve"> duhet</w:t>
      </w:r>
      <w:r w:rsidRPr="00B907A3">
        <w:rPr>
          <w:rFonts w:ascii="Garamond" w:hAnsi="Garamond"/>
          <w:sz w:val="24"/>
          <w:lang w:val="sq-AL" w:eastAsia="en-US"/>
        </w:rPr>
        <w:t xml:space="preserve">, si edhe ndriçim të pamjaftueshëm të rrugëve. Si mirëmbajtja ashtu edhe ndërtimi i ri do të kërkojnë planifikim më të kujdesshëm dhe rritje të burimeve financiare të dedikuara dhe masave të bazuara </w:t>
      </w:r>
      <w:r w:rsidR="0059224F" w:rsidRPr="00B907A3">
        <w:rPr>
          <w:rFonts w:ascii="Garamond" w:hAnsi="Garamond"/>
          <w:sz w:val="24"/>
          <w:lang w:val="sq-AL" w:eastAsia="en-US"/>
        </w:rPr>
        <w:t>sipas</w:t>
      </w:r>
      <w:r w:rsidRPr="00B907A3">
        <w:rPr>
          <w:rFonts w:ascii="Garamond" w:hAnsi="Garamond"/>
          <w:sz w:val="24"/>
          <w:lang w:val="sq-AL" w:eastAsia="en-US"/>
        </w:rPr>
        <w:t xml:space="preserve"> udhëzues</w:t>
      </w:r>
      <w:r w:rsidR="0059224F" w:rsidRPr="00B907A3">
        <w:rPr>
          <w:rFonts w:ascii="Garamond" w:hAnsi="Garamond"/>
          <w:sz w:val="24"/>
          <w:lang w:val="sq-AL" w:eastAsia="en-US"/>
        </w:rPr>
        <w:t>ve</w:t>
      </w:r>
      <w:r w:rsidRPr="00B907A3">
        <w:rPr>
          <w:rFonts w:ascii="Garamond" w:hAnsi="Garamond"/>
          <w:sz w:val="24"/>
          <w:lang w:val="sq-AL" w:eastAsia="en-US"/>
        </w:rPr>
        <w:t xml:space="preserve"> dhe metodologji</w:t>
      </w:r>
      <w:r w:rsidR="0059224F" w:rsidRPr="00B907A3">
        <w:rPr>
          <w:rFonts w:ascii="Garamond" w:hAnsi="Garamond"/>
          <w:sz w:val="24"/>
          <w:lang w:val="sq-AL" w:eastAsia="en-US"/>
        </w:rPr>
        <w:t>ve</w:t>
      </w:r>
      <w:r w:rsidRPr="00B907A3">
        <w:rPr>
          <w:rFonts w:ascii="Garamond" w:hAnsi="Garamond"/>
          <w:sz w:val="24"/>
          <w:lang w:val="sq-AL" w:eastAsia="en-US"/>
        </w:rPr>
        <w:t xml:space="preserve"> moderne.</w:t>
      </w:r>
    </w:p>
    <w:p w14:paraId="29129E18" w14:textId="5E8F7EFD" w:rsidR="0032093A"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39" w:name="_Toc208840584"/>
      <w:r w:rsidRPr="00B907A3">
        <w:rPr>
          <w:rFonts w:ascii="Garamond" w:hAnsi="Garamond"/>
          <w:color w:val="auto"/>
          <w:w w:val="105"/>
          <w:lang w:val="sq-AL"/>
        </w:rPr>
        <w:t xml:space="preserve">5.2.2 </w:t>
      </w:r>
      <w:r w:rsidR="00DA151F" w:rsidRPr="00B907A3">
        <w:rPr>
          <w:rFonts w:ascii="Garamond" w:hAnsi="Garamond"/>
          <w:color w:val="auto"/>
          <w:w w:val="105"/>
          <w:lang w:val="sq-AL"/>
        </w:rPr>
        <w:t xml:space="preserve">Hartimi dhe </w:t>
      </w:r>
      <w:r w:rsidR="00B53652" w:rsidRPr="00B907A3">
        <w:rPr>
          <w:rFonts w:ascii="Garamond" w:hAnsi="Garamond"/>
          <w:color w:val="auto"/>
          <w:w w:val="105"/>
          <w:lang w:val="sq-AL"/>
        </w:rPr>
        <w:t xml:space="preserve">zbatimi i </w:t>
      </w:r>
      <w:r w:rsidR="00152D9C" w:rsidRPr="00B907A3">
        <w:rPr>
          <w:rFonts w:ascii="Garamond" w:hAnsi="Garamond"/>
          <w:color w:val="auto"/>
          <w:w w:val="105"/>
          <w:lang w:val="sq-AL"/>
        </w:rPr>
        <w:t>treguesve</w:t>
      </w:r>
      <w:r w:rsidR="00DA151F" w:rsidRPr="00B907A3">
        <w:rPr>
          <w:rFonts w:ascii="Garamond" w:hAnsi="Garamond"/>
          <w:color w:val="auto"/>
          <w:lang w:val="sq-AL" w:eastAsia="en-US"/>
        </w:rPr>
        <w:t xml:space="preserve"> </w:t>
      </w:r>
      <w:r w:rsidR="00B53652" w:rsidRPr="00B907A3">
        <w:rPr>
          <w:rFonts w:ascii="Garamond" w:hAnsi="Garamond"/>
          <w:color w:val="auto"/>
          <w:w w:val="105"/>
          <w:lang w:val="sq-AL"/>
        </w:rPr>
        <w:t>të vlerësimit të sigurisë për infrastrukturën rrugore kombëtare</w:t>
      </w:r>
      <w:bookmarkEnd w:id="139"/>
    </w:p>
    <w:p w14:paraId="39FA65B4" w14:textId="1BF4594F" w:rsidR="00B53652" w:rsidRPr="00B907A3" w:rsidRDefault="00B53652"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Zbatimi i Qasjes së Sistemit të Sigurt</w:t>
      </w:r>
      <w:r w:rsidR="00DA151F"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do të kërkojë hartëzimin sistematik të </w:t>
      </w:r>
      <w:r w:rsidR="00DA151F" w:rsidRPr="00B907A3">
        <w:rPr>
          <w:rFonts w:ascii="Garamond" w:eastAsia="Calibri" w:hAnsi="Garamond"/>
          <w:spacing w:val="-2"/>
          <w:w w:val="105"/>
          <w:sz w:val="24"/>
          <w:lang w:eastAsia="en-US"/>
        </w:rPr>
        <w:t xml:space="preserve">riskut </w:t>
      </w:r>
      <w:r w:rsidRPr="00B907A3">
        <w:rPr>
          <w:rFonts w:ascii="Garamond" w:eastAsia="Calibri" w:hAnsi="Garamond"/>
          <w:spacing w:val="-2"/>
          <w:w w:val="105"/>
          <w:sz w:val="24"/>
          <w:lang w:eastAsia="en-US"/>
        </w:rPr>
        <w:t xml:space="preserve">të aksidenteve me pasoja fatale dhe lëndime të rënda në të gjithë rrjetin rrugor, si dhe përdorimin e një mekanizmi të vlerësimit të </w:t>
      </w:r>
      <w:r w:rsidR="00DA151F" w:rsidRPr="00B907A3">
        <w:rPr>
          <w:rFonts w:ascii="Garamond" w:eastAsia="Calibri" w:hAnsi="Garamond"/>
          <w:spacing w:val="-2"/>
          <w:w w:val="105"/>
          <w:sz w:val="24"/>
          <w:lang w:eastAsia="en-US"/>
        </w:rPr>
        <w:t>nivelit t</w:t>
      </w:r>
      <w:r w:rsidR="00DA151F" w:rsidRPr="00B907A3">
        <w:rPr>
          <w:rFonts w:ascii="Garamond" w:hAnsi="Garamond"/>
          <w:sz w:val="24"/>
          <w:lang w:eastAsia="en-US"/>
        </w:rPr>
        <w:t xml:space="preserve">ë </w:t>
      </w:r>
      <w:r w:rsidRPr="00B907A3">
        <w:rPr>
          <w:rFonts w:ascii="Garamond" w:eastAsia="Calibri" w:hAnsi="Garamond"/>
          <w:spacing w:val="-2"/>
          <w:w w:val="105"/>
          <w:sz w:val="24"/>
          <w:lang w:eastAsia="en-US"/>
        </w:rPr>
        <w:t>sigurisë për të identifikuar ndërhyrjet prioritare, proaktive dhe me kosto-efektivitet për të mbrojtur të gjitha grupet e përdoruesve të rrugës.</w:t>
      </w:r>
    </w:p>
    <w:p w14:paraId="4B185D3C" w14:textId="7A28E167" w:rsidR="00F02B3F" w:rsidRPr="005C1DD9" w:rsidRDefault="00B53652" w:rsidP="005C1DD9">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Zhvillimi dhe zbatimi i </w:t>
      </w:r>
      <w:r w:rsidR="00BE4ECB" w:rsidRPr="00B907A3">
        <w:rPr>
          <w:rFonts w:ascii="Garamond" w:eastAsia="Calibri" w:hAnsi="Garamond"/>
          <w:spacing w:val="-2"/>
          <w:w w:val="105"/>
          <w:sz w:val="24"/>
          <w:lang w:eastAsia="en-US"/>
        </w:rPr>
        <w:t>tregues</w:t>
      </w:r>
      <w:r w:rsidR="00D258F7" w:rsidRPr="00B907A3">
        <w:rPr>
          <w:rFonts w:ascii="Garamond" w:hAnsi="Garamond"/>
          <w:sz w:val="24"/>
          <w:lang w:eastAsia="en-US"/>
        </w:rPr>
        <w:t xml:space="preserve">ve </w:t>
      </w:r>
      <w:r w:rsidRPr="00B907A3">
        <w:rPr>
          <w:rFonts w:ascii="Garamond" w:eastAsia="Calibri" w:hAnsi="Garamond"/>
          <w:spacing w:val="-2"/>
          <w:w w:val="105"/>
          <w:sz w:val="24"/>
          <w:lang w:eastAsia="en-US"/>
        </w:rPr>
        <w:t>të vlerësimit të</w:t>
      </w:r>
      <w:r w:rsidR="00D258F7" w:rsidRPr="00B907A3">
        <w:rPr>
          <w:rFonts w:ascii="Garamond" w:eastAsia="Calibri" w:hAnsi="Garamond"/>
          <w:spacing w:val="-2"/>
          <w:w w:val="105"/>
          <w:sz w:val="24"/>
          <w:lang w:eastAsia="en-US"/>
        </w:rPr>
        <w:t xml:space="preserve"> nivelit t</w:t>
      </w:r>
      <w:r w:rsidR="00D258F7" w:rsidRPr="00B907A3">
        <w:rPr>
          <w:rFonts w:ascii="Garamond" w:hAnsi="Garamond"/>
          <w:sz w:val="24"/>
          <w:lang w:eastAsia="en-US"/>
        </w:rPr>
        <w:t>ë</w:t>
      </w:r>
      <w:r w:rsidRPr="00B907A3">
        <w:rPr>
          <w:rFonts w:ascii="Garamond" w:eastAsia="Calibri" w:hAnsi="Garamond"/>
          <w:spacing w:val="-2"/>
          <w:w w:val="105"/>
          <w:sz w:val="24"/>
          <w:lang w:eastAsia="en-US"/>
        </w:rPr>
        <w:t xml:space="preserve"> sigurisë për infrastrukturën rrugore kombëtare, qoftë përmes hartëzimit të </w:t>
      </w:r>
      <w:r w:rsidR="00D258F7" w:rsidRPr="00B907A3">
        <w:rPr>
          <w:rFonts w:ascii="Garamond" w:eastAsia="Calibri" w:hAnsi="Garamond"/>
          <w:spacing w:val="-2"/>
          <w:w w:val="105"/>
          <w:sz w:val="24"/>
          <w:lang w:eastAsia="en-US"/>
        </w:rPr>
        <w:t xml:space="preserve">riskut </w:t>
      </w:r>
      <w:r w:rsidRPr="00B907A3">
        <w:rPr>
          <w:rFonts w:ascii="Garamond" w:eastAsia="Calibri" w:hAnsi="Garamond"/>
          <w:spacing w:val="-2"/>
          <w:w w:val="105"/>
          <w:sz w:val="24"/>
          <w:lang w:eastAsia="en-US"/>
        </w:rPr>
        <w:t>apo përmes sistemit të vlerësimit me yje, do të ndihmojë në orientimin e investimeve drejt segmenteve të rrugëve kombëtare me r</w:t>
      </w:r>
      <w:r w:rsidR="00D258F7" w:rsidRPr="00B907A3">
        <w:rPr>
          <w:rFonts w:ascii="Garamond" w:eastAsia="Calibri" w:hAnsi="Garamond"/>
          <w:spacing w:val="-2"/>
          <w:w w:val="105"/>
          <w:sz w:val="24"/>
          <w:lang w:eastAsia="en-US"/>
        </w:rPr>
        <w:t xml:space="preserve">iskun </w:t>
      </w:r>
      <w:r w:rsidRPr="00B907A3">
        <w:rPr>
          <w:rFonts w:ascii="Garamond" w:eastAsia="Calibri" w:hAnsi="Garamond"/>
          <w:spacing w:val="-2"/>
          <w:w w:val="105"/>
          <w:sz w:val="24"/>
          <w:lang w:eastAsia="en-US"/>
        </w:rPr>
        <w:t>më të lartë për vdekje ose lëndime të rënda.</w:t>
      </w:r>
      <w:r w:rsidR="00D258F7"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Duhet të prezantohen dhe ndiqen </w:t>
      </w:r>
      <w:r w:rsidR="006225BE" w:rsidRPr="00B907A3">
        <w:rPr>
          <w:rFonts w:ascii="Garamond" w:eastAsia="Calibri" w:hAnsi="Garamond"/>
          <w:spacing w:val="-2"/>
          <w:w w:val="105"/>
          <w:sz w:val="24"/>
          <w:lang w:eastAsia="en-US"/>
        </w:rPr>
        <w:t>T</w:t>
      </w:r>
      <w:r w:rsidR="00D258F7" w:rsidRPr="00B907A3">
        <w:rPr>
          <w:rFonts w:ascii="Garamond" w:eastAsia="Calibri" w:hAnsi="Garamond"/>
          <w:spacing w:val="-2"/>
          <w:w w:val="105"/>
          <w:sz w:val="24"/>
          <w:lang w:eastAsia="en-US"/>
        </w:rPr>
        <w:t xml:space="preserve">KP </w:t>
      </w:r>
      <w:r w:rsidRPr="00B907A3">
        <w:rPr>
          <w:rFonts w:ascii="Garamond" w:eastAsia="Calibri" w:hAnsi="Garamond"/>
          <w:spacing w:val="-2"/>
          <w:w w:val="105"/>
          <w:sz w:val="24"/>
          <w:lang w:eastAsia="en-US"/>
        </w:rPr>
        <w:t xml:space="preserve">-të infrastrukturore. </w:t>
      </w:r>
      <w:r w:rsidR="00D258F7" w:rsidRPr="00B907A3">
        <w:rPr>
          <w:rFonts w:ascii="Garamond" w:eastAsia="Calibri" w:hAnsi="Garamond"/>
          <w:spacing w:val="-2"/>
          <w:w w:val="105"/>
          <w:sz w:val="24"/>
          <w:lang w:eastAsia="en-US"/>
        </w:rPr>
        <w:t>Indikator</w:t>
      </w:r>
      <w:r w:rsidR="00D258F7" w:rsidRPr="00B907A3">
        <w:rPr>
          <w:rFonts w:ascii="Garamond" w:hAnsi="Garamond"/>
          <w:sz w:val="24"/>
          <w:lang w:eastAsia="en-US"/>
        </w:rPr>
        <w:t xml:space="preserve">ët e </w:t>
      </w:r>
      <w:r w:rsidRPr="00B907A3">
        <w:rPr>
          <w:rFonts w:ascii="Garamond" w:eastAsia="Calibri" w:hAnsi="Garamond"/>
          <w:spacing w:val="-2"/>
          <w:w w:val="105"/>
          <w:sz w:val="24"/>
          <w:lang w:eastAsia="en-US"/>
        </w:rPr>
        <w:t>mbledhur duhet të integrohen në të dhënat e sistemit RAMS dhe të adresohen përmes proceseve të rregullta të raportimit, monitorimit dhe vlerësimit.</w:t>
      </w:r>
      <w:r w:rsidR="00D258F7"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Të dhënat nga sistemi i ri </w:t>
      </w:r>
      <w:r w:rsidR="004C54EC" w:rsidRPr="00B907A3">
        <w:rPr>
          <w:rFonts w:ascii="Garamond" w:eastAsia="Calibri" w:hAnsi="Garamond"/>
          <w:spacing w:val="-2"/>
          <w:w w:val="105"/>
          <w:sz w:val="24"/>
          <w:lang w:eastAsia="en-US"/>
        </w:rPr>
        <w:t>Qendrës së Kontrollit të Trafikut</w:t>
      </w:r>
      <w:r w:rsidRPr="00B907A3">
        <w:rPr>
          <w:rFonts w:ascii="Garamond" w:eastAsia="Calibri" w:hAnsi="Garamond"/>
          <w:spacing w:val="-2"/>
          <w:w w:val="105"/>
          <w:sz w:val="24"/>
          <w:lang w:eastAsia="en-US"/>
        </w:rPr>
        <w:t xml:space="preserve"> do të shërbejnë si bazë për zhvillimin e një metodologjie që do</w:t>
      </w:r>
      <w:r w:rsidR="00887CC6">
        <w:rPr>
          <w:rFonts w:ascii="Garamond" w:eastAsia="Calibri" w:hAnsi="Garamond"/>
          <w:spacing w:val="-2"/>
          <w:w w:val="105"/>
          <w:sz w:val="24"/>
          <w:lang w:eastAsia="en-US"/>
        </w:rPr>
        <w:t xml:space="preserve"> </w:t>
      </w:r>
      <w:r w:rsidR="007951BD">
        <w:rPr>
          <w:rFonts w:ascii="Garamond" w:eastAsia="Calibri" w:hAnsi="Garamond"/>
          <w:spacing w:val="-2"/>
          <w:w w:val="105"/>
          <w:sz w:val="24"/>
          <w:lang w:eastAsia="en-US"/>
        </w:rPr>
        <w:t>t’i</w:t>
      </w:r>
      <w:r w:rsidR="00887CC6">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ndihmojë menaxherët e rrugëve të përcaktojnë përparësitë në shpërndarjen e burimeve të disponueshme për infrastrukturën rrugore, duke përfshirë të dhënat financiare, të </w:t>
      </w:r>
      <w:r w:rsidR="00D258F7" w:rsidRPr="00B907A3">
        <w:rPr>
          <w:rFonts w:ascii="Garamond" w:eastAsia="Calibri" w:hAnsi="Garamond"/>
          <w:spacing w:val="-2"/>
          <w:w w:val="105"/>
          <w:sz w:val="24"/>
          <w:lang w:eastAsia="en-US"/>
        </w:rPr>
        <w:t xml:space="preserve">qarkullimit </w:t>
      </w:r>
      <w:r w:rsidRPr="00B907A3">
        <w:rPr>
          <w:rFonts w:ascii="Garamond" w:eastAsia="Calibri" w:hAnsi="Garamond"/>
          <w:spacing w:val="-2"/>
          <w:w w:val="105"/>
          <w:sz w:val="24"/>
          <w:lang w:eastAsia="en-US"/>
        </w:rPr>
        <w:t>dhe të gjendjes së rrugëve.</w:t>
      </w:r>
    </w:p>
    <w:p w14:paraId="1A5D6555" w14:textId="67FF7BC1" w:rsidR="004638B3"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40" w:name="_Toc208840585"/>
      <w:r w:rsidRPr="00B907A3">
        <w:rPr>
          <w:rFonts w:ascii="Garamond" w:hAnsi="Garamond"/>
          <w:color w:val="auto"/>
          <w:w w:val="105"/>
          <w:lang w:val="sq-AL"/>
        </w:rPr>
        <w:t xml:space="preserve">5.2.3 </w:t>
      </w:r>
      <w:r w:rsidR="00B53652" w:rsidRPr="00B907A3">
        <w:rPr>
          <w:rFonts w:ascii="Garamond" w:hAnsi="Garamond"/>
          <w:color w:val="auto"/>
          <w:w w:val="105"/>
          <w:lang w:val="sq-AL"/>
        </w:rPr>
        <w:t>Përmirësimi i sigurisë rrugore në rrugët kombëtare dhe në vendndodhjet rrugore me r</w:t>
      </w:r>
      <w:r w:rsidR="007B1EBA" w:rsidRPr="00B907A3">
        <w:rPr>
          <w:rFonts w:ascii="Garamond" w:hAnsi="Garamond"/>
          <w:color w:val="auto"/>
          <w:w w:val="105"/>
          <w:lang w:val="sq-AL"/>
        </w:rPr>
        <w:t xml:space="preserve">isk </w:t>
      </w:r>
      <w:r w:rsidR="00B53652" w:rsidRPr="00B907A3">
        <w:rPr>
          <w:rFonts w:ascii="Garamond" w:hAnsi="Garamond"/>
          <w:color w:val="auto"/>
          <w:w w:val="105"/>
          <w:lang w:val="sq-AL"/>
        </w:rPr>
        <w:t>të shtuar për përdoruesit e rrezikuar të rrugës</w:t>
      </w:r>
      <w:bookmarkEnd w:id="140"/>
      <w:r w:rsidR="00B53652" w:rsidRPr="00B907A3">
        <w:rPr>
          <w:rFonts w:ascii="Garamond" w:hAnsi="Garamond"/>
          <w:color w:val="auto"/>
          <w:w w:val="105"/>
          <w:lang w:val="sq-AL"/>
        </w:rPr>
        <w:t xml:space="preserve"> </w:t>
      </w:r>
    </w:p>
    <w:p w14:paraId="208BD6CC" w14:textId="3AEEB374" w:rsidR="00A3489E" w:rsidRPr="00B907A3" w:rsidRDefault="0044408F"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Siguria rrugore në rrugët kryesore kombëtare do të përmirësohet dhe vendndodhjet e pasigurta (p.sh., pikat apo segmentet e zeza) në rrjetin rrugor do të trajtohen në mënyrë të veçantë. Vëmendje e veçantë do</w:t>
      </w:r>
      <w:r w:rsidR="00887CC6">
        <w:rPr>
          <w:rFonts w:ascii="Garamond" w:hAnsi="Garamond"/>
          <w:sz w:val="24"/>
          <w:lang w:val="sq-AL" w:eastAsia="en-US"/>
        </w:rPr>
        <w:t xml:space="preserve"> </w:t>
      </w:r>
      <w:r w:rsidR="00DB76F6">
        <w:rPr>
          <w:rFonts w:ascii="Garamond" w:hAnsi="Garamond"/>
          <w:sz w:val="24"/>
          <w:lang w:val="sq-AL" w:eastAsia="en-US"/>
        </w:rPr>
        <w:t>t’u</w:t>
      </w:r>
      <w:r w:rsidR="00887CC6">
        <w:rPr>
          <w:rFonts w:ascii="Garamond" w:hAnsi="Garamond"/>
          <w:sz w:val="24"/>
          <w:lang w:val="sq-AL" w:eastAsia="en-US"/>
        </w:rPr>
        <w:t xml:space="preserve"> </w:t>
      </w:r>
      <w:r w:rsidRPr="00B907A3">
        <w:rPr>
          <w:rFonts w:ascii="Garamond" w:hAnsi="Garamond"/>
          <w:sz w:val="24"/>
          <w:lang w:val="sq-AL" w:eastAsia="en-US"/>
        </w:rPr>
        <w:t xml:space="preserve">kushtohet të ashtuquajturave </w:t>
      </w:r>
      <w:r w:rsidR="007951BD">
        <w:rPr>
          <w:rFonts w:ascii="Garamond" w:hAnsi="Garamond"/>
          <w:sz w:val="24"/>
          <w:lang w:val="sq-AL" w:eastAsia="en-US"/>
        </w:rPr>
        <w:t>“</w:t>
      </w:r>
      <w:r w:rsidRPr="00B907A3">
        <w:rPr>
          <w:rFonts w:ascii="Garamond" w:hAnsi="Garamond"/>
          <w:sz w:val="24"/>
          <w:lang w:val="sq-AL" w:eastAsia="en-US"/>
        </w:rPr>
        <w:t>vendbanime lineare</w:t>
      </w:r>
      <w:r w:rsidR="007951BD">
        <w:rPr>
          <w:rFonts w:ascii="Garamond" w:hAnsi="Garamond"/>
          <w:sz w:val="24"/>
          <w:lang w:val="sq-AL" w:eastAsia="en-US"/>
        </w:rPr>
        <w:t>”</w:t>
      </w:r>
      <w:r w:rsidRPr="00B907A3">
        <w:rPr>
          <w:rFonts w:ascii="Garamond" w:hAnsi="Garamond"/>
          <w:sz w:val="24"/>
          <w:lang w:val="sq-AL" w:eastAsia="en-US"/>
        </w:rPr>
        <w:t xml:space="preserve"> përgjatë </w:t>
      </w:r>
      <w:r w:rsidR="007B1EBA" w:rsidRPr="00B907A3">
        <w:rPr>
          <w:rFonts w:ascii="Garamond" w:hAnsi="Garamond"/>
          <w:sz w:val="24"/>
          <w:lang w:val="sq-AL" w:eastAsia="en-US"/>
        </w:rPr>
        <w:t xml:space="preserve">akseve kombëtare </w:t>
      </w:r>
      <w:r w:rsidRPr="00B907A3">
        <w:rPr>
          <w:rFonts w:ascii="Garamond" w:hAnsi="Garamond"/>
          <w:sz w:val="24"/>
          <w:lang w:val="sq-AL" w:eastAsia="en-US"/>
        </w:rPr>
        <w:t xml:space="preserve">(pjesë të rrugëve </w:t>
      </w:r>
      <w:r w:rsidR="007B1EBA" w:rsidRPr="00B907A3">
        <w:rPr>
          <w:rFonts w:ascii="Garamond" w:hAnsi="Garamond"/>
          <w:sz w:val="24"/>
          <w:lang w:val="sq-AL" w:eastAsia="en-US"/>
        </w:rPr>
        <w:t xml:space="preserve">kombëtare </w:t>
      </w:r>
      <w:r w:rsidRPr="00B907A3">
        <w:rPr>
          <w:rFonts w:ascii="Garamond" w:hAnsi="Garamond"/>
          <w:sz w:val="24"/>
          <w:lang w:val="sq-AL" w:eastAsia="en-US"/>
        </w:rPr>
        <w:t xml:space="preserve">që kalojnë përmes zonave të banuara me numër të lartë përdoruesish të </w:t>
      </w:r>
      <w:r w:rsidR="007B1EBA" w:rsidRPr="00B907A3">
        <w:rPr>
          <w:rFonts w:ascii="Garamond" w:hAnsi="Garamond"/>
          <w:sz w:val="24"/>
          <w:lang w:val="sq-AL" w:eastAsia="en-US"/>
        </w:rPr>
        <w:t xml:space="preserve">rrezikuar </w:t>
      </w:r>
      <w:r w:rsidRPr="00B907A3">
        <w:rPr>
          <w:rFonts w:ascii="Garamond" w:hAnsi="Garamond"/>
          <w:sz w:val="24"/>
          <w:lang w:val="sq-AL" w:eastAsia="en-US"/>
        </w:rPr>
        <w:t>të rrugës). Për këto vendndodhje do të kryhen analiza shtesë të sigurisë rrugore, me fokus të veçantë te</w:t>
      </w:r>
      <w:r w:rsidR="007B1EBA" w:rsidRPr="00B907A3">
        <w:rPr>
          <w:rFonts w:ascii="Garamond" w:hAnsi="Garamond"/>
          <w:sz w:val="24"/>
          <w:lang w:val="sq-AL" w:eastAsia="en-US"/>
        </w:rPr>
        <w:t xml:space="preserve">k </w:t>
      </w:r>
      <w:r w:rsidRPr="00B907A3">
        <w:rPr>
          <w:rFonts w:ascii="Garamond" w:hAnsi="Garamond"/>
          <w:sz w:val="24"/>
          <w:lang w:val="sq-AL" w:eastAsia="en-US"/>
        </w:rPr>
        <w:t xml:space="preserve">përdoruesit e </w:t>
      </w:r>
      <w:r w:rsidR="007B1EBA" w:rsidRPr="00B907A3">
        <w:rPr>
          <w:rFonts w:ascii="Garamond" w:hAnsi="Garamond"/>
          <w:sz w:val="24"/>
          <w:lang w:val="sq-AL" w:eastAsia="en-US"/>
        </w:rPr>
        <w:t xml:space="preserve">rrezikuar </w:t>
      </w:r>
      <w:r w:rsidRPr="00B907A3">
        <w:rPr>
          <w:rFonts w:ascii="Garamond" w:hAnsi="Garamond"/>
          <w:sz w:val="24"/>
          <w:lang w:val="sq-AL" w:eastAsia="en-US"/>
        </w:rPr>
        <w:t xml:space="preserve">dhe zonat </w:t>
      </w:r>
      <w:r w:rsidR="007B1EBA" w:rsidRPr="00B907A3">
        <w:rPr>
          <w:rFonts w:ascii="Garamond" w:hAnsi="Garamond"/>
          <w:sz w:val="24"/>
          <w:lang w:val="sq-AL" w:eastAsia="en-US"/>
        </w:rPr>
        <w:t xml:space="preserve">ku ka shkolla </w:t>
      </w:r>
      <w:r w:rsidRPr="00B907A3">
        <w:rPr>
          <w:rFonts w:ascii="Garamond" w:hAnsi="Garamond"/>
          <w:sz w:val="24"/>
          <w:lang w:val="sq-AL" w:eastAsia="en-US"/>
        </w:rPr>
        <w:t>dhe, nëse është e nevojshme, do të përgatiten dhe zbatohen projekte përmirësimi.</w:t>
      </w:r>
      <w:r w:rsidR="007B1EBA" w:rsidRPr="00B907A3">
        <w:rPr>
          <w:rFonts w:ascii="Garamond" w:hAnsi="Garamond"/>
          <w:sz w:val="24"/>
          <w:lang w:val="sq-AL" w:eastAsia="en-US"/>
        </w:rPr>
        <w:t xml:space="preserve"> </w:t>
      </w:r>
      <w:r w:rsidRPr="00B907A3">
        <w:rPr>
          <w:rFonts w:ascii="Garamond" w:hAnsi="Garamond"/>
          <w:sz w:val="24"/>
          <w:lang w:val="sq-AL" w:eastAsia="en-US"/>
        </w:rPr>
        <w:t>Numri i përmirësimeve të sigurisë që do të realizohen çdo vit do të identifikohet në të gjithë rrjetin rrugor kombëtar, dhe do të hartohen dhe zbatohen planet përkatëse të sigurisë. Përveç kësaj, Autoriteti Rrugor Shqiptar (</w:t>
      </w:r>
      <w:r w:rsidR="007B1EBA" w:rsidRPr="00B907A3">
        <w:rPr>
          <w:rFonts w:ascii="Garamond" w:hAnsi="Garamond"/>
          <w:sz w:val="24"/>
          <w:lang w:val="sq-AL" w:eastAsia="en-US"/>
        </w:rPr>
        <w:t>ARRSH</w:t>
      </w:r>
      <w:r w:rsidRPr="00B907A3">
        <w:rPr>
          <w:rFonts w:ascii="Garamond" w:hAnsi="Garamond"/>
          <w:sz w:val="24"/>
          <w:lang w:val="sq-AL" w:eastAsia="en-US"/>
        </w:rPr>
        <w:t>) do të zbatojë një sërë masash me kosto të ulët në vendet e identifikuara, ndërsa do të zbatohen edhe planet afatgjata. Vëmendje shtesë do</w:t>
      </w:r>
      <w:r w:rsidR="00887CC6">
        <w:rPr>
          <w:rFonts w:ascii="Garamond" w:hAnsi="Garamond"/>
          <w:sz w:val="24"/>
          <w:lang w:val="sq-AL" w:eastAsia="en-US"/>
        </w:rPr>
        <w:t xml:space="preserve"> </w:t>
      </w:r>
      <w:r w:rsidR="007951BD">
        <w:rPr>
          <w:rFonts w:ascii="Garamond" w:hAnsi="Garamond"/>
          <w:sz w:val="24"/>
          <w:lang w:val="sq-AL" w:eastAsia="en-US"/>
        </w:rPr>
        <w:t>t’i</w:t>
      </w:r>
      <w:r w:rsidR="00887CC6">
        <w:rPr>
          <w:rFonts w:ascii="Garamond" w:hAnsi="Garamond"/>
          <w:sz w:val="24"/>
          <w:lang w:val="sq-AL" w:eastAsia="en-US"/>
        </w:rPr>
        <w:t xml:space="preserve"> </w:t>
      </w:r>
      <w:r w:rsidRPr="00B907A3">
        <w:rPr>
          <w:rFonts w:ascii="Garamond" w:hAnsi="Garamond"/>
          <w:sz w:val="24"/>
          <w:lang w:val="sq-AL" w:eastAsia="en-US"/>
        </w:rPr>
        <w:t xml:space="preserve">kushtohet </w:t>
      </w:r>
      <w:r w:rsidR="007B1EBA" w:rsidRPr="00B907A3">
        <w:rPr>
          <w:rFonts w:ascii="Garamond" w:hAnsi="Garamond"/>
          <w:sz w:val="24"/>
          <w:lang w:val="sq-AL" w:eastAsia="en-US"/>
        </w:rPr>
        <w:t xml:space="preserve">realizimit </w:t>
      </w:r>
      <w:r w:rsidRPr="00B907A3">
        <w:rPr>
          <w:rFonts w:ascii="Garamond" w:hAnsi="Garamond"/>
          <w:sz w:val="24"/>
          <w:lang w:val="sq-AL" w:eastAsia="en-US"/>
        </w:rPr>
        <w:t xml:space="preserve">të infrastrukturës së </w:t>
      </w:r>
      <w:r w:rsidR="007B1EBA" w:rsidRPr="00B907A3">
        <w:rPr>
          <w:rFonts w:ascii="Garamond" w:hAnsi="Garamond"/>
          <w:sz w:val="24"/>
          <w:lang w:val="sq-AL" w:eastAsia="en-US"/>
        </w:rPr>
        <w:t xml:space="preserve">veçuar </w:t>
      </w:r>
      <w:r w:rsidRPr="00B907A3">
        <w:rPr>
          <w:rFonts w:ascii="Garamond" w:hAnsi="Garamond"/>
          <w:sz w:val="24"/>
          <w:lang w:val="sq-AL" w:eastAsia="en-US"/>
        </w:rPr>
        <w:t xml:space="preserve">për </w:t>
      </w:r>
      <w:r w:rsidR="007B1EBA" w:rsidRPr="00B907A3">
        <w:rPr>
          <w:rFonts w:ascii="Garamond" w:hAnsi="Garamond"/>
          <w:sz w:val="24"/>
          <w:lang w:val="sq-AL" w:eastAsia="en-US"/>
        </w:rPr>
        <w:t xml:space="preserve">këmbësorët </w:t>
      </w:r>
      <w:r w:rsidRPr="00B907A3">
        <w:rPr>
          <w:rFonts w:ascii="Garamond" w:hAnsi="Garamond"/>
          <w:sz w:val="24"/>
          <w:lang w:val="sq-AL" w:eastAsia="en-US"/>
        </w:rPr>
        <w:t>dhe çikli</w:t>
      </w:r>
      <w:r w:rsidR="007B1EBA" w:rsidRPr="00B907A3">
        <w:rPr>
          <w:rFonts w:ascii="Garamond" w:hAnsi="Garamond"/>
          <w:sz w:val="24"/>
          <w:lang w:val="sq-AL" w:eastAsia="en-US"/>
        </w:rPr>
        <w:t xml:space="preserve">stët </w:t>
      </w:r>
      <w:r w:rsidRPr="00B907A3">
        <w:rPr>
          <w:rFonts w:ascii="Garamond" w:hAnsi="Garamond"/>
          <w:sz w:val="24"/>
          <w:lang w:val="sq-AL" w:eastAsia="en-US"/>
        </w:rPr>
        <w:t>në segmente të përzgjedhura rrugore.</w:t>
      </w:r>
    </w:p>
    <w:p w14:paraId="1EAEB6E6" w14:textId="29434B75" w:rsidR="00D20234"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41" w:name="_Toc199780793"/>
      <w:bookmarkStart w:id="142" w:name="_Toc199801760"/>
      <w:bookmarkStart w:id="143" w:name="_Toc208840586"/>
      <w:bookmarkEnd w:id="141"/>
      <w:bookmarkEnd w:id="142"/>
      <w:r w:rsidRPr="00B907A3">
        <w:rPr>
          <w:rFonts w:ascii="Garamond" w:hAnsi="Garamond"/>
          <w:color w:val="auto"/>
          <w:w w:val="105"/>
          <w:lang w:val="sq-AL"/>
        </w:rPr>
        <w:t xml:space="preserve">5.2.4 </w:t>
      </w:r>
      <w:r w:rsidR="0044408F" w:rsidRPr="00B907A3">
        <w:rPr>
          <w:rFonts w:ascii="Garamond" w:hAnsi="Garamond"/>
          <w:color w:val="auto"/>
          <w:w w:val="105"/>
          <w:lang w:val="sq-AL"/>
        </w:rPr>
        <w:t>Shpejtësitë e sigurta si thelb i</w:t>
      </w:r>
      <w:r w:rsidR="00C22A2C" w:rsidRPr="00B907A3">
        <w:rPr>
          <w:rFonts w:ascii="Garamond" w:hAnsi="Garamond"/>
          <w:color w:val="auto"/>
          <w:w w:val="105"/>
          <w:lang w:val="sq-AL"/>
        </w:rPr>
        <w:t xml:space="preserve"> </w:t>
      </w:r>
      <w:r w:rsidR="009B2768" w:rsidRPr="00B907A3">
        <w:rPr>
          <w:rFonts w:ascii="Garamond" w:hAnsi="Garamond"/>
          <w:color w:val="auto"/>
          <w:w w:val="105"/>
          <w:lang w:val="sq-AL"/>
        </w:rPr>
        <w:t>QSS</w:t>
      </w:r>
      <w:r w:rsidR="0044408F" w:rsidRPr="00B907A3">
        <w:rPr>
          <w:rFonts w:ascii="Garamond" w:hAnsi="Garamond"/>
          <w:color w:val="auto"/>
          <w:w w:val="105"/>
          <w:lang w:val="sq-AL"/>
        </w:rPr>
        <w:t>-së dhe i sigurisë së infrastrukturës</w:t>
      </w:r>
      <w:bookmarkEnd w:id="143"/>
    </w:p>
    <w:p w14:paraId="537ACC52" w14:textId="51680D25" w:rsidR="0044408F" w:rsidRPr="00B907A3" w:rsidRDefault="0044408F"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Qasjet e suksesshme të Sistemit të Sigurt sigurojnë që kufijtë e vendosur të shpejtësisë në pjesë të rrjetit rrugor të mos jenë më të lartë sesa niveli i mbrojtjes që ofrohet nga rrugët, anët e rrugëve, mjetet dhe trupi i njeriut. Edhe pse përplasjet mund të ndodhin, ato nuk duhet të çojnë në vdekje apo lëndime serioze.</w:t>
      </w:r>
    </w:p>
    <w:p w14:paraId="28FD3930" w14:textId="7F03F5C2" w:rsidR="0044408F" w:rsidRPr="00B907A3" w:rsidRDefault="0044408F" w:rsidP="008C4E07">
      <w:pPr>
        <w:spacing w:after="0"/>
        <w:ind w:firstLine="284"/>
        <w:rPr>
          <w:rFonts w:ascii="Garamond" w:hAnsi="Garamond"/>
          <w:sz w:val="24"/>
          <w:lang w:eastAsia="en-US"/>
        </w:rPr>
      </w:pPr>
      <w:r w:rsidRPr="00B907A3">
        <w:rPr>
          <w:rFonts w:ascii="Garamond" w:hAnsi="Garamond"/>
          <w:sz w:val="24"/>
          <w:lang w:eastAsia="en-US"/>
        </w:rPr>
        <w:t>P</w:t>
      </w:r>
      <w:r w:rsidR="00C22A2C" w:rsidRPr="00B907A3">
        <w:rPr>
          <w:rFonts w:ascii="Garamond" w:hAnsi="Garamond"/>
          <w:sz w:val="24"/>
          <w:lang w:eastAsia="en-US"/>
        </w:rPr>
        <w:t xml:space="preserve">rogresi me </w:t>
      </w:r>
      <w:r w:rsidR="00B1203B" w:rsidRPr="00B907A3">
        <w:rPr>
          <w:rFonts w:ascii="Garamond" w:hAnsi="Garamond"/>
          <w:sz w:val="24"/>
          <w:lang w:eastAsia="en-US"/>
        </w:rPr>
        <w:t>T</w:t>
      </w:r>
      <w:r w:rsidR="00C22A2C" w:rsidRPr="00B907A3">
        <w:rPr>
          <w:rFonts w:ascii="Garamond" w:hAnsi="Garamond"/>
          <w:sz w:val="24"/>
          <w:lang w:eastAsia="en-US"/>
        </w:rPr>
        <w:t xml:space="preserve">KP </w:t>
      </w:r>
      <w:r w:rsidRPr="00B907A3">
        <w:rPr>
          <w:rFonts w:ascii="Garamond" w:hAnsi="Garamond"/>
          <w:sz w:val="24"/>
          <w:lang w:eastAsia="en-US"/>
        </w:rPr>
        <w:t xml:space="preserve">-të që lidhen me shpejtësitë e sigurta (p.sh., </w:t>
      </w:r>
      <w:r w:rsidR="007951BD">
        <w:rPr>
          <w:rFonts w:ascii="Garamond" w:hAnsi="Garamond"/>
          <w:sz w:val="24"/>
          <w:lang w:eastAsia="en-US"/>
        </w:rPr>
        <w:t>“</w:t>
      </w:r>
      <w:r w:rsidRPr="00B907A3">
        <w:rPr>
          <w:rFonts w:ascii="Garamond" w:hAnsi="Garamond"/>
          <w:sz w:val="24"/>
          <w:lang w:eastAsia="en-US"/>
        </w:rPr>
        <w:t xml:space="preserve">Përqindja e mjeteve që udhëtojnë brenda kufijve të vendosur të shpejtësisë në kushte të </w:t>
      </w:r>
      <w:r w:rsidR="00C22A2C" w:rsidRPr="00B907A3">
        <w:rPr>
          <w:rFonts w:ascii="Garamond" w:hAnsi="Garamond"/>
          <w:sz w:val="24"/>
          <w:lang w:eastAsia="en-US"/>
        </w:rPr>
        <w:t xml:space="preserve">qarkullimit </w:t>
      </w:r>
      <w:r w:rsidRPr="00B907A3">
        <w:rPr>
          <w:rFonts w:ascii="Garamond" w:hAnsi="Garamond"/>
          <w:sz w:val="24"/>
          <w:lang w:eastAsia="en-US"/>
        </w:rPr>
        <w:t>të lirë dhe në lëvizje</w:t>
      </w:r>
      <w:r w:rsidR="007951BD">
        <w:rPr>
          <w:rFonts w:ascii="Garamond" w:hAnsi="Garamond"/>
          <w:sz w:val="24"/>
          <w:lang w:eastAsia="en-US"/>
        </w:rPr>
        <w:t>”</w:t>
      </w:r>
      <w:r w:rsidRPr="00B907A3">
        <w:rPr>
          <w:rFonts w:ascii="Garamond" w:hAnsi="Garamond"/>
          <w:sz w:val="24"/>
          <w:lang w:eastAsia="en-US"/>
        </w:rPr>
        <w:t>) do të monitorohet, vlerësohet dhe raportohet gjatë gjithë periudhës së zbatimit të Strategjisë së Sigurisë Rrugore (SSR</w:t>
      </w:r>
      <w:r w:rsidR="00C22A2C" w:rsidRPr="00B907A3">
        <w:rPr>
          <w:rFonts w:ascii="Garamond" w:hAnsi="Garamond"/>
          <w:sz w:val="24"/>
          <w:lang w:eastAsia="en-US"/>
        </w:rPr>
        <w:t>R</w:t>
      </w:r>
      <w:r w:rsidRPr="00B907A3">
        <w:rPr>
          <w:rFonts w:ascii="Garamond" w:hAnsi="Garamond"/>
          <w:sz w:val="24"/>
          <w:lang w:eastAsia="en-US"/>
        </w:rPr>
        <w:t xml:space="preserve">). Në përputhje me rezultatet, do të planifikohen dhe zbatohen fushata ndërgjegjësuese dhe </w:t>
      </w:r>
      <w:r w:rsidR="00C22A2C" w:rsidRPr="00B907A3">
        <w:rPr>
          <w:rFonts w:ascii="Garamond" w:hAnsi="Garamond"/>
          <w:sz w:val="24"/>
          <w:lang w:eastAsia="en-US"/>
        </w:rPr>
        <w:t>të zbatimit të ligjit</w:t>
      </w:r>
      <w:r w:rsidRPr="00B907A3">
        <w:rPr>
          <w:rFonts w:ascii="Garamond" w:hAnsi="Garamond"/>
          <w:sz w:val="24"/>
          <w:lang w:eastAsia="en-US"/>
        </w:rPr>
        <w:t>.</w:t>
      </w:r>
    </w:p>
    <w:p w14:paraId="5E0890EF" w14:textId="5E944C5C" w:rsidR="00D20234" w:rsidRPr="00B907A3" w:rsidRDefault="00D51215" w:rsidP="008C4E07">
      <w:pPr>
        <w:pStyle w:val="Heading3"/>
        <w:numPr>
          <w:ilvl w:val="0"/>
          <w:numId w:val="0"/>
        </w:numPr>
        <w:spacing w:before="0" w:after="0" w:line="240" w:lineRule="auto"/>
        <w:ind w:firstLine="284"/>
        <w:rPr>
          <w:rFonts w:ascii="Garamond" w:hAnsi="Garamond"/>
          <w:color w:val="auto"/>
          <w:w w:val="105"/>
          <w:lang w:val="sq-AL"/>
        </w:rPr>
      </w:pPr>
      <w:bookmarkStart w:id="144" w:name="_Toc208840587"/>
      <w:r w:rsidRPr="00B907A3">
        <w:rPr>
          <w:rFonts w:ascii="Garamond" w:hAnsi="Garamond"/>
          <w:color w:val="auto"/>
          <w:w w:val="105"/>
          <w:lang w:val="sq-AL"/>
        </w:rPr>
        <w:lastRenderedPageBreak/>
        <w:t xml:space="preserve">5.2.5 </w:t>
      </w:r>
      <w:r w:rsidR="0044408F" w:rsidRPr="00B907A3">
        <w:rPr>
          <w:rFonts w:ascii="Garamond" w:hAnsi="Garamond"/>
          <w:color w:val="auto"/>
          <w:w w:val="105"/>
          <w:lang w:val="sq-AL"/>
        </w:rPr>
        <w:t>Forcimi i kapaciteteve institucionale të administratave rrugore</w:t>
      </w:r>
      <w:bookmarkEnd w:id="144"/>
    </w:p>
    <w:p w14:paraId="2BB3A6F2" w14:textId="5464A4D8" w:rsidR="0044408F" w:rsidRPr="00B907A3" w:rsidRDefault="0044408F" w:rsidP="005C1DD9">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Për të siguruar zbatimin e aktiviteteve të planifikuara dhe arritjen e një standardi të lartë të sigurisë së infrastrukturës rrugore, kapacitetet e institucioneve që merren me sigurinë e infrastrukturës rrugore do të forcohen përmes krijimit të njësive të posaçme për sigurinë rrugore dhe trajnimit të një numri të mjaftueshëm ekspertësh për të trajtuar çështjet e sigurisë në </w:t>
      </w:r>
      <w:r w:rsidR="00C22A2C" w:rsidRPr="00B907A3">
        <w:rPr>
          <w:rFonts w:ascii="Garamond" w:hAnsi="Garamond"/>
          <w:sz w:val="24"/>
          <w:lang w:val="sq-AL" w:eastAsia="en-US"/>
        </w:rPr>
        <w:t xml:space="preserve">qarkullimin </w:t>
      </w:r>
      <w:r w:rsidRPr="00B907A3">
        <w:rPr>
          <w:rFonts w:ascii="Garamond" w:hAnsi="Garamond"/>
          <w:sz w:val="24"/>
          <w:lang w:val="sq-AL" w:eastAsia="en-US"/>
        </w:rPr>
        <w:t>rrugor.</w:t>
      </w:r>
    </w:p>
    <w:p w14:paraId="26186AC8" w14:textId="28B0050C" w:rsidR="0044408F" w:rsidRPr="00B907A3" w:rsidRDefault="0044408F" w:rsidP="005C1DD9">
      <w:pPr>
        <w:spacing w:after="0"/>
        <w:ind w:firstLine="284"/>
        <w:rPr>
          <w:rFonts w:ascii="Garamond" w:hAnsi="Garamond"/>
          <w:sz w:val="24"/>
          <w:lang w:eastAsia="en-US"/>
        </w:rPr>
      </w:pPr>
      <w:r w:rsidRPr="00B907A3">
        <w:rPr>
          <w:rFonts w:ascii="Garamond" w:hAnsi="Garamond"/>
          <w:sz w:val="24"/>
          <w:lang w:eastAsia="en-US"/>
        </w:rPr>
        <w:t xml:space="preserve">Sistemi ekzistues i licencimit/trajnimeve (p.sh., për </w:t>
      </w:r>
      <w:r w:rsidR="00A021B5" w:rsidRPr="00B907A3">
        <w:rPr>
          <w:rFonts w:ascii="Garamond" w:hAnsi="Garamond"/>
          <w:sz w:val="24"/>
          <w:lang w:eastAsia="en-US"/>
        </w:rPr>
        <w:t>auditimin/inspektimin e sigurisë rrugore</w:t>
      </w:r>
      <w:r w:rsidRPr="00B907A3">
        <w:rPr>
          <w:rFonts w:ascii="Garamond" w:hAnsi="Garamond"/>
          <w:sz w:val="24"/>
          <w:lang w:eastAsia="en-US"/>
        </w:rPr>
        <w:t>) do të rishikohet dhe, nëse është e nevojshme, do të përmirësohet, ashtu si edhe zhvillimi periodik profesional i stafit. Do të promovohet puna kërkimore akademike dhe transferimi i njohurive në lidhje me sigurinë e infrastrukturës. Në këtë mënyrë do të krijohen mundësi për zbatimin e plotë të mjeteve të sigurisë rrugore për përmirësimin e infrastrukturës rrugore.</w:t>
      </w:r>
    </w:p>
    <w:p w14:paraId="7592F1B2" w14:textId="5C494B84" w:rsidR="00746694" w:rsidRPr="00B907A3" w:rsidRDefault="0044408F" w:rsidP="005C1DD9">
      <w:pPr>
        <w:spacing w:after="0"/>
        <w:ind w:firstLine="284"/>
        <w:rPr>
          <w:rFonts w:ascii="Garamond" w:hAnsi="Garamond"/>
          <w:sz w:val="24"/>
          <w:lang w:eastAsia="en-US"/>
        </w:rPr>
      </w:pPr>
      <w:r w:rsidRPr="00B907A3">
        <w:rPr>
          <w:rFonts w:ascii="Garamond" w:hAnsi="Garamond"/>
          <w:sz w:val="24"/>
          <w:lang w:eastAsia="en-US"/>
        </w:rPr>
        <w:t xml:space="preserve">Bashkëpunimi me komunitetet vendore duhet të forcohet duke inkurajuar krijimin e </w:t>
      </w:r>
      <w:r w:rsidR="00621791" w:rsidRPr="00B907A3">
        <w:rPr>
          <w:rFonts w:ascii="Garamond" w:hAnsi="Garamond"/>
          <w:sz w:val="24"/>
          <w:lang w:eastAsia="en-US"/>
        </w:rPr>
        <w:t>Grupeve</w:t>
      </w:r>
      <w:r w:rsidR="00C22A2C" w:rsidRPr="00B907A3">
        <w:rPr>
          <w:rFonts w:ascii="Garamond" w:hAnsi="Garamond"/>
          <w:sz w:val="24"/>
          <w:lang w:eastAsia="en-US"/>
        </w:rPr>
        <w:t xml:space="preserve"> Teknikë Vendor</w:t>
      </w:r>
      <w:r w:rsidRPr="00B907A3">
        <w:rPr>
          <w:rFonts w:ascii="Garamond" w:hAnsi="Garamond"/>
          <w:sz w:val="24"/>
          <w:lang w:eastAsia="en-US"/>
        </w:rPr>
        <w:t xml:space="preserve">ë për </w:t>
      </w:r>
      <w:r w:rsidR="00C22A2C" w:rsidRPr="00B907A3">
        <w:rPr>
          <w:rFonts w:ascii="Garamond" w:hAnsi="Garamond"/>
          <w:sz w:val="24"/>
          <w:lang w:eastAsia="en-US"/>
        </w:rPr>
        <w:t>Sigurinë Rrugore</w:t>
      </w:r>
      <w:r w:rsidRPr="00B907A3">
        <w:rPr>
          <w:rFonts w:ascii="Garamond" w:hAnsi="Garamond"/>
          <w:sz w:val="24"/>
          <w:lang w:eastAsia="en-US"/>
        </w:rPr>
        <w:t>, të cilët do të kontribuonin gjithashtu në identifikimin dhe inspektimin e zonave me r</w:t>
      </w:r>
      <w:r w:rsidR="00C22A2C" w:rsidRPr="00B907A3">
        <w:rPr>
          <w:rFonts w:ascii="Garamond" w:hAnsi="Garamond"/>
          <w:sz w:val="24"/>
          <w:lang w:eastAsia="en-US"/>
        </w:rPr>
        <w:t xml:space="preserve">isk </w:t>
      </w:r>
      <w:r w:rsidRPr="00B907A3">
        <w:rPr>
          <w:rFonts w:ascii="Garamond" w:hAnsi="Garamond"/>
          <w:sz w:val="24"/>
          <w:lang w:eastAsia="en-US"/>
        </w:rPr>
        <w:t xml:space="preserve">të lartë në rrugët </w:t>
      </w:r>
      <w:r w:rsidR="00C22A2C" w:rsidRPr="00B907A3">
        <w:rPr>
          <w:rFonts w:ascii="Garamond" w:hAnsi="Garamond"/>
          <w:sz w:val="24"/>
          <w:lang w:eastAsia="en-US"/>
        </w:rPr>
        <w:t>vendore</w:t>
      </w:r>
      <w:r w:rsidRPr="00B907A3">
        <w:rPr>
          <w:rFonts w:ascii="Garamond" w:hAnsi="Garamond"/>
          <w:sz w:val="24"/>
          <w:lang w:eastAsia="en-US"/>
        </w:rPr>
        <w:t>.</w:t>
      </w:r>
    </w:p>
    <w:p w14:paraId="05AE9E01" w14:textId="7FA69BA9" w:rsidR="00F02B3F" w:rsidRPr="00B907A3" w:rsidRDefault="00D51215" w:rsidP="008C4E07">
      <w:pPr>
        <w:pStyle w:val="ListParagraph"/>
        <w:shd w:val="clear" w:color="auto" w:fill="E2EFD9" w:themeFill="accent6" w:themeFillTint="33"/>
        <w:ind w:left="0" w:firstLine="284"/>
        <w:jc w:val="both"/>
        <w:rPr>
          <w:rFonts w:ascii="Garamond" w:eastAsia="Calibri" w:hAnsi="Garamond"/>
          <w:b/>
          <w:bCs/>
          <w:sz w:val="24"/>
          <w:lang w:eastAsia="x-none"/>
        </w:rPr>
      </w:pPr>
      <w:r w:rsidRPr="00B907A3">
        <w:rPr>
          <w:rFonts w:ascii="Garamond" w:hAnsi="Garamond"/>
          <w:b/>
          <w:bCs/>
          <w:i/>
          <w:iCs/>
          <w:sz w:val="24"/>
        </w:rPr>
        <w:t xml:space="preserve">- </w:t>
      </w:r>
      <w:r w:rsidR="000C0C6B" w:rsidRPr="00B907A3">
        <w:rPr>
          <w:rFonts w:ascii="Garamond" w:hAnsi="Garamond"/>
          <w:b/>
          <w:bCs/>
          <w:i/>
          <w:iCs/>
          <w:sz w:val="24"/>
        </w:rPr>
        <w:t>Siguria e infrastrukturës rrugore në Shqipëri do të përmirësohet përmes zbatimit të plotë të procedurave të sigurisë rrugore të Bashkimit Evropian, duke u dhënë përparësi shpejtësi</w:t>
      </w:r>
      <w:r w:rsidR="00C22A2C" w:rsidRPr="00B907A3">
        <w:rPr>
          <w:rFonts w:ascii="Garamond" w:hAnsi="Garamond"/>
          <w:b/>
          <w:bCs/>
          <w:i/>
          <w:iCs/>
          <w:sz w:val="24"/>
        </w:rPr>
        <w:t>së s</w:t>
      </w:r>
      <w:r w:rsidR="000C0C6B" w:rsidRPr="00B907A3">
        <w:rPr>
          <w:rFonts w:ascii="Garamond" w:hAnsi="Garamond"/>
          <w:b/>
          <w:bCs/>
          <w:i/>
          <w:iCs/>
          <w:sz w:val="24"/>
        </w:rPr>
        <w:t xml:space="preserve">ë sigurt, përdoruesve të </w:t>
      </w:r>
      <w:r w:rsidR="00C22A2C" w:rsidRPr="00B907A3">
        <w:rPr>
          <w:rFonts w:ascii="Garamond" w:hAnsi="Garamond"/>
          <w:b/>
          <w:bCs/>
          <w:i/>
          <w:iCs/>
          <w:sz w:val="24"/>
        </w:rPr>
        <w:t xml:space="preserve">rrezikuar </w:t>
      </w:r>
      <w:r w:rsidR="000C0C6B" w:rsidRPr="00B907A3">
        <w:rPr>
          <w:rFonts w:ascii="Garamond" w:hAnsi="Garamond"/>
          <w:b/>
          <w:bCs/>
          <w:i/>
          <w:iCs/>
          <w:sz w:val="24"/>
        </w:rPr>
        <w:t>të rrugës dhe mirëmbajtjes së planifikuar</w:t>
      </w:r>
      <w:r w:rsidR="00C22A2C" w:rsidRPr="00B907A3">
        <w:rPr>
          <w:rFonts w:ascii="Garamond" w:hAnsi="Garamond"/>
          <w:b/>
          <w:bCs/>
          <w:i/>
          <w:iCs/>
          <w:sz w:val="24"/>
        </w:rPr>
        <w:t xml:space="preserve"> më mirë</w:t>
      </w:r>
      <w:r w:rsidR="000C0C6B" w:rsidRPr="00B907A3">
        <w:rPr>
          <w:rFonts w:ascii="Garamond" w:hAnsi="Garamond"/>
          <w:b/>
          <w:bCs/>
          <w:i/>
          <w:iCs/>
          <w:sz w:val="24"/>
        </w:rPr>
        <w:t>.</w:t>
      </w:r>
      <w:r w:rsidR="00887CC6">
        <w:rPr>
          <w:rFonts w:ascii="Garamond" w:hAnsi="Garamond"/>
          <w:b/>
          <w:bCs/>
          <w:i/>
          <w:iCs/>
          <w:sz w:val="24"/>
        </w:rPr>
        <w:t xml:space="preserve"> </w:t>
      </w:r>
      <w:r w:rsidR="000C0C6B" w:rsidRPr="00B907A3">
        <w:rPr>
          <w:rFonts w:ascii="Garamond" w:hAnsi="Garamond"/>
          <w:b/>
          <w:bCs/>
          <w:i/>
          <w:iCs/>
          <w:sz w:val="24"/>
        </w:rPr>
        <w:t xml:space="preserve">Një Sistem i ri i Menaxhimit të Sigurisë </w:t>
      </w:r>
      <w:r w:rsidR="004439EB" w:rsidRPr="00B907A3">
        <w:rPr>
          <w:rFonts w:ascii="Garamond" w:hAnsi="Garamond"/>
          <w:b/>
          <w:bCs/>
          <w:i/>
          <w:iCs/>
          <w:sz w:val="24"/>
        </w:rPr>
        <w:t>Rrugore</w:t>
      </w:r>
      <w:r w:rsidR="000C0C6B" w:rsidRPr="00B907A3">
        <w:rPr>
          <w:rFonts w:ascii="Garamond" w:hAnsi="Garamond"/>
          <w:b/>
          <w:bCs/>
          <w:i/>
          <w:iCs/>
          <w:sz w:val="24"/>
        </w:rPr>
        <w:t xml:space="preserve">, i bazuar në të dhënat për aksidentet dhe gjendjen e rrugëve, do të udhëheqë investimet në zonat me </w:t>
      </w:r>
      <w:r w:rsidR="00C22A2C" w:rsidRPr="00B907A3">
        <w:rPr>
          <w:rFonts w:ascii="Garamond" w:hAnsi="Garamond"/>
          <w:b/>
          <w:bCs/>
          <w:i/>
          <w:iCs/>
          <w:sz w:val="24"/>
        </w:rPr>
        <w:t xml:space="preserve">risk </w:t>
      </w:r>
      <w:r w:rsidR="000C0C6B" w:rsidRPr="00B907A3">
        <w:rPr>
          <w:rFonts w:ascii="Garamond" w:hAnsi="Garamond"/>
          <w:b/>
          <w:bCs/>
          <w:i/>
          <w:iCs/>
          <w:sz w:val="24"/>
        </w:rPr>
        <w:t xml:space="preserve">të lartë, ndërsa masa të menjëhershme me kosto të ulët dhe ndërhyrje më të mëdha do të adresojnë pikat kritike. Siguria rrugore në nivel bashkiak </w:t>
      </w:r>
      <w:r w:rsidR="001F2C0F" w:rsidRPr="00B907A3">
        <w:rPr>
          <w:rFonts w:ascii="Garamond" w:hAnsi="Garamond"/>
          <w:b/>
          <w:bCs/>
          <w:i/>
          <w:iCs/>
          <w:sz w:val="24"/>
        </w:rPr>
        <w:t>duhet</w:t>
      </w:r>
      <w:r w:rsidR="000C0C6B" w:rsidRPr="00B907A3">
        <w:rPr>
          <w:rFonts w:ascii="Garamond" w:hAnsi="Garamond"/>
          <w:b/>
          <w:bCs/>
          <w:i/>
          <w:iCs/>
          <w:sz w:val="24"/>
        </w:rPr>
        <w:t xml:space="preserve"> të fokusohet te</w:t>
      </w:r>
      <w:r w:rsidR="00C22A2C" w:rsidRPr="00B907A3">
        <w:rPr>
          <w:rFonts w:ascii="Garamond" w:hAnsi="Garamond"/>
          <w:b/>
          <w:bCs/>
          <w:i/>
          <w:iCs/>
          <w:sz w:val="24"/>
        </w:rPr>
        <w:t>k</w:t>
      </w:r>
      <w:r w:rsidR="000C0C6B" w:rsidRPr="00B907A3">
        <w:rPr>
          <w:rFonts w:ascii="Garamond" w:hAnsi="Garamond"/>
          <w:b/>
          <w:bCs/>
          <w:i/>
          <w:iCs/>
          <w:sz w:val="24"/>
        </w:rPr>
        <w:t xml:space="preserve"> përdoruesit </w:t>
      </w:r>
      <w:r w:rsidR="00C22A2C" w:rsidRPr="00B907A3">
        <w:rPr>
          <w:rFonts w:ascii="Garamond" w:hAnsi="Garamond"/>
          <w:b/>
          <w:bCs/>
          <w:i/>
          <w:iCs/>
          <w:sz w:val="24"/>
        </w:rPr>
        <w:t xml:space="preserve">e rrezikuar </w:t>
      </w:r>
      <w:r w:rsidR="000C0C6B" w:rsidRPr="00B907A3">
        <w:rPr>
          <w:rFonts w:ascii="Garamond" w:hAnsi="Garamond"/>
          <w:b/>
          <w:bCs/>
          <w:i/>
          <w:iCs/>
          <w:sz w:val="24"/>
        </w:rPr>
        <w:t>përmes masave të synuara për qetësimin e trafikut, përmirësime</w:t>
      </w:r>
      <w:r w:rsidR="00C22A2C" w:rsidRPr="00B907A3">
        <w:rPr>
          <w:rFonts w:ascii="Garamond" w:hAnsi="Garamond"/>
          <w:b/>
          <w:bCs/>
          <w:i/>
          <w:iCs/>
          <w:sz w:val="24"/>
        </w:rPr>
        <w:t xml:space="preserve">t </w:t>
      </w:r>
      <w:r w:rsidR="000C0C6B" w:rsidRPr="00B907A3">
        <w:rPr>
          <w:rFonts w:ascii="Garamond" w:hAnsi="Garamond"/>
          <w:b/>
          <w:bCs/>
          <w:i/>
          <w:iCs/>
          <w:sz w:val="24"/>
        </w:rPr>
        <w:t xml:space="preserve">në zonat </w:t>
      </w:r>
      <w:r w:rsidR="00C22A2C" w:rsidRPr="00B907A3">
        <w:rPr>
          <w:rFonts w:ascii="Garamond" w:hAnsi="Garamond"/>
          <w:b/>
          <w:bCs/>
          <w:i/>
          <w:iCs/>
          <w:sz w:val="24"/>
        </w:rPr>
        <w:t xml:space="preserve">ku ka </w:t>
      </w:r>
      <w:r w:rsidR="000C0C6B" w:rsidRPr="00B907A3">
        <w:rPr>
          <w:rFonts w:ascii="Garamond" w:hAnsi="Garamond"/>
          <w:b/>
          <w:bCs/>
          <w:i/>
          <w:iCs/>
          <w:sz w:val="24"/>
        </w:rPr>
        <w:t>shkoll</w:t>
      </w:r>
      <w:r w:rsidR="00C22A2C" w:rsidRPr="00B907A3">
        <w:rPr>
          <w:rFonts w:ascii="Garamond" w:hAnsi="Garamond"/>
          <w:b/>
          <w:bCs/>
          <w:i/>
          <w:iCs/>
          <w:sz w:val="24"/>
        </w:rPr>
        <w:t xml:space="preserve">a </w:t>
      </w:r>
      <w:r w:rsidR="000C0C6B" w:rsidRPr="00B907A3">
        <w:rPr>
          <w:rFonts w:ascii="Garamond" w:hAnsi="Garamond"/>
          <w:b/>
          <w:bCs/>
          <w:i/>
          <w:iCs/>
          <w:sz w:val="24"/>
        </w:rPr>
        <w:t>dhe angazhimi</w:t>
      </w:r>
      <w:r w:rsidR="00C22A2C" w:rsidRPr="00B907A3">
        <w:rPr>
          <w:rFonts w:ascii="Garamond" w:hAnsi="Garamond"/>
          <w:b/>
          <w:bCs/>
          <w:i/>
          <w:iCs/>
          <w:sz w:val="24"/>
        </w:rPr>
        <w:t xml:space="preserve">n </w:t>
      </w:r>
      <w:r w:rsidR="000C0C6B" w:rsidRPr="00B907A3">
        <w:rPr>
          <w:rFonts w:ascii="Garamond" w:hAnsi="Garamond"/>
          <w:b/>
          <w:bCs/>
          <w:i/>
          <w:iCs/>
          <w:sz w:val="24"/>
        </w:rPr>
        <w:t xml:space="preserve">aktiv të komunitetit </w:t>
      </w:r>
      <w:r w:rsidR="00C22A2C" w:rsidRPr="00B907A3">
        <w:rPr>
          <w:rFonts w:ascii="Garamond" w:hAnsi="Garamond"/>
          <w:b/>
          <w:bCs/>
          <w:i/>
          <w:iCs/>
          <w:sz w:val="24"/>
        </w:rPr>
        <w:t>vendor</w:t>
      </w:r>
      <w:r w:rsidR="000C0C6B" w:rsidRPr="00B907A3">
        <w:rPr>
          <w:rFonts w:ascii="Garamond" w:hAnsi="Garamond"/>
          <w:b/>
          <w:bCs/>
          <w:i/>
          <w:iCs/>
          <w:sz w:val="24"/>
        </w:rPr>
        <w:t>. Kufijtë e shpejtësisë do të pasqyrojnë parimet e Sistemit të Sigurt, të mbështetura nga monitorimi dhe ndërgjegjësimi publik. Kapaciteti institucional do të forcohet përmes trajnimit të ekspertëve, njësive të dedikuara dhe përfshirjes së komunitetit.</w:t>
      </w:r>
      <w:bookmarkStart w:id="145" w:name="_Toc197885102"/>
      <w:bookmarkStart w:id="146" w:name="_Toc197885103"/>
      <w:bookmarkStart w:id="147" w:name="_Toc197885104"/>
      <w:bookmarkStart w:id="148" w:name="_Toc197885105"/>
      <w:bookmarkStart w:id="149" w:name="_Toc197885106"/>
      <w:bookmarkStart w:id="150" w:name="_Toc197885107"/>
      <w:bookmarkStart w:id="151" w:name="_Toc197885108"/>
      <w:bookmarkStart w:id="152" w:name="_Toc197885109"/>
      <w:bookmarkStart w:id="153" w:name="_Toc197885110"/>
      <w:bookmarkStart w:id="154" w:name="_Toc197885111"/>
      <w:bookmarkStart w:id="155" w:name="_Toc197885112"/>
      <w:bookmarkEnd w:id="145"/>
      <w:bookmarkEnd w:id="146"/>
      <w:bookmarkEnd w:id="147"/>
      <w:bookmarkEnd w:id="148"/>
      <w:bookmarkEnd w:id="149"/>
      <w:bookmarkEnd w:id="150"/>
      <w:bookmarkEnd w:id="151"/>
      <w:bookmarkEnd w:id="152"/>
      <w:bookmarkEnd w:id="153"/>
      <w:bookmarkEnd w:id="154"/>
      <w:bookmarkEnd w:id="155"/>
    </w:p>
    <w:p w14:paraId="1330562A" w14:textId="1B3647BE" w:rsidR="00947263" w:rsidRPr="00B907A3" w:rsidRDefault="00D51215" w:rsidP="008C4E07">
      <w:pPr>
        <w:pStyle w:val="Heading2"/>
        <w:numPr>
          <w:ilvl w:val="0"/>
          <w:numId w:val="0"/>
        </w:numPr>
        <w:shd w:val="clear" w:color="auto" w:fill="E2EFD9" w:themeFill="accent6" w:themeFillTint="33"/>
        <w:spacing w:after="0"/>
        <w:ind w:firstLine="284"/>
        <w:rPr>
          <w:rFonts w:ascii="Garamond" w:hAnsi="Garamond"/>
          <w:color w:val="auto"/>
          <w:lang w:val="sq-AL"/>
        </w:rPr>
      </w:pPr>
      <w:bookmarkStart w:id="156" w:name="_Toc208840588"/>
      <w:r w:rsidRPr="00B907A3">
        <w:rPr>
          <w:rFonts w:ascii="Garamond" w:hAnsi="Garamond"/>
          <w:color w:val="auto"/>
          <w:lang w:val="sq-AL"/>
        </w:rPr>
        <w:t xml:space="preserve">5.3 </w:t>
      </w:r>
      <w:r w:rsidR="000C0C6B" w:rsidRPr="00B907A3">
        <w:rPr>
          <w:rFonts w:ascii="Garamond" w:hAnsi="Garamond"/>
          <w:color w:val="auto"/>
          <w:lang w:val="sq-AL"/>
        </w:rPr>
        <w:t>Automjete më të sigurta</w:t>
      </w:r>
      <w:bookmarkEnd w:id="156"/>
      <w:r w:rsidR="000C0C6B" w:rsidRPr="00B907A3">
        <w:rPr>
          <w:rFonts w:ascii="Garamond" w:hAnsi="Garamond"/>
          <w:color w:val="auto"/>
          <w:lang w:val="sq-AL"/>
        </w:rPr>
        <w:t xml:space="preserve"> </w:t>
      </w:r>
    </w:p>
    <w:p w14:paraId="001B6E49" w14:textId="23DB7699" w:rsidR="00326364" w:rsidRPr="00B907A3" w:rsidRDefault="004357E1"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Për të siguruar përmbushjen e rezultatit specifik të lidhur me </w:t>
      </w:r>
      <w:r w:rsidR="00F70D24" w:rsidRPr="00B907A3">
        <w:rPr>
          <w:rFonts w:ascii="Garamond" w:eastAsia="Calibri" w:hAnsi="Garamond"/>
          <w:spacing w:val="-2"/>
          <w:w w:val="105"/>
          <w:sz w:val="24"/>
          <w:lang w:eastAsia="en-US"/>
        </w:rPr>
        <w:t>komponentin</w:t>
      </w:r>
      <w:r w:rsidRPr="00B907A3">
        <w:rPr>
          <w:rFonts w:ascii="Garamond" w:eastAsia="Calibri" w:hAnsi="Garamond"/>
          <w:spacing w:val="-2"/>
          <w:w w:val="105"/>
          <w:sz w:val="24"/>
          <w:lang w:eastAsia="en-US"/>
        </w:rPr>
        <w:t xml:space="preserve"> 3, do të zbatohen masa që synojnë përmirësimin e sistemit të aksesit të mjeteve në rrjetin rrugor, si dhe përmirësimin e gjendjes teknike të mjeteve, emetimeve dhe standar</w:t>
      </w:r>
      <w:r w:rsidR="005C1DD9">
        <w:rPr>
          <w:rFonts w:ascii="Garamond" w:eastAsia="Calibri" w:hAnsi="Garamond"/>
          <w:spacing w:val="-2"/>
          <w:w w:val="105"/>
          <w:sz w:val="24"/>
          <w:lang w:eastAsia="en-US"/>
        </w:rPr>
        <w:t>d</w:t>
      </w:r>
      <w:r w:rsidRPr="00B907A3">
        <w:rPr>
          <w:rFonts w:ascii="Garamond" w:eastAsia="Calibri" w:hAnsi="Garamond"/>
          <w:spacing w:val="-2"/>
          <w:w w:val="105"/>
          <w:sz w:val="24"/>
          <w:lang w:eastAsia="en-US"/>
        </w:rPr>
        <w:t>eve të sigurisë aktive dhe pasive. Sistemi i mirëmbajtjes, të gjendjes regjistrimi i mjeteve dhe sistemi i kontrollit teknik të tyre do të përmirësohen gjithashtu, për të përfshirë edhe mjetet që aktualisht nuk i nënshtrohen kontrolleve teknike dhe për të rritur cilësinë e kontrolleve të kryera në rrugë dhe në ambientet e kompanive.</w:t>
      </w:r>
    </w:p>
    <w:p w14:paraId="5CBA9D4F" w14:textId="56BE5CC0" w:rsidR="00326364" w:rsidRPr="00B907A3" w:rsidRDefault="00326364" w:rsidP="008C4E07">
      <w:pPr>
        <w:spacing w:after="0"/>
        <w:ind w:firstLine="284"/>
        <w:jc w:val="center"/>
        <w:rPr>
          <w:rFonts w:ascii="Garamond" w:eastAsia="Calibri" w:hAnsi="Garamond"/>
          <w:spacing w:val="-2"/>
          <w:w w:val="105"/>
          <w:sz w:val="24"/>
          <w:lang w:eastAsia="en-US"/>
        </w:rPr>
      </w:pPr>
      <w:r w:rsidRPr="00B907A3">
        <w:rPr>
          <w:rFonts w:ascii="Garamond" w:eastAsia="Calibri" w:hAnsi="Garamond"/>
          <w:noProof/>
          <w:spacing w:val="-2"/>
          <w:w w:val="105"/>
          <w:sz w:val="24"/>
          <w:lang w:eastAsia="sq-AL"/>
        </w:rPr>
        <w:drawing>
          <wp:inline distT="0" distB="0" distL="0" distR="0" wp14:anchorId="5FF90BE3" wp14:editId="6AEC1BBA">
            <wp:extent cx="4307722" cy="2286068"/>
            <wp:effectExtent l="0" t="0" r="0" b="0"/>
            <wp:docPr id="17272150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215002" name="Picture 1727215002"/>
                    <pic:cNvPicPr/>
                  </pic:nvPicPr>
                  <pic:blipFill rotWithShape="1">
                    <a:blip r:embed="rId32">
                      <a:extLst>
                        <a:ext uri="{28A0092B-C50C-407E-A947-70E740481C1C}">
                          <a14:useLocalDpi xmlns:a14="http://schemas.microsoft.com/office/drawing/2010/main" val="0"/>
                        </a:ext>
                      </a:extLst>
                    </a:blip>
                    <a:srcRect l="11621" t="21952" r="7242" b="13436"/>
                    <a:stretch>
                      <a:fillRect/>
                    </a:stretch>
                  </pic:blipFill>
                  <pic:spPr bwMode="auto">
                    <a:xfrm>
                      <a:off x="0" y="0"/>
                      <a:ext cx="4319233" cy="2292177"/>
                    </a:xfrm>
                    <a:prstGeom prst="rect">
                      <a:avLst/>
                    </a:prstGeom>
                    <a:ln>
                      <a:noFill/>
                    </a:ln>
                    <a:extLst>
                      <a:ext uri="{53640926-AAD7-44D8-BBD7-CCE9431645EC}">
                        <a14:shadowObscured xmlns:a14="http://schemas.microsoft.com/office/drawing/2010/main"/>
                      </a:ext>
                    </a:extLst>
                  </pic:spPr>
                </pic:pic>
              </a:graphicData>
            </a:graphic>
          </wp:inline>
        </w:drawing>
      </w:r>
    </w:p>
    <w:p w14:paraId="406648F2" w14:textId="56DDD6EF" w:rsidR="00947263" w:rsidRPr="00B907A3" w:rsidRDefault="00282AA5" w:rsidP="008C4E07">
      <w:pPr>
        <w:spacing w:after="0"/>
        <w:ind w:firstLine="284"/>
        <w:rPr>
          <w:rFonts w:ascii="Garamond" w:eastAsia="Calibri" w:hAnsi="Garamond"/>
          <w:spacing w:val="-2"/>
          <w:w w:val="105"/>
          <w:sz w:val="24"/>
          <w:lang w:eastAsia="en-US"/>
        </w:rPr>
      </w:pPr>
      <w:r w:rsidRPr="00B907A3">
        <w:rPr>
          <w:rFonts w:ascii="Garamond" w:hAnsi="Garamond"/>
          <w:sz w:val="24"/>
        </w:rPr>
        <w:t>Në veçanti, fushat strategjike të mëposhtme në lidhje me përmirësimin e sigurisë së mjeteve janë paraqitur në paragrafët më poshtë.</w:t>
      </w:r>
    </w:p>
    <w:p w14:paraId="79456EFD" w14:textId="263C2F04" w:rsidR="00F5705D"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57" w:name="_Toc208840589"/>
      <w:r w:rsidRPr="00B907A3">
        <w:rPr>
          <w:rFonts w:ascii="Garamond" w:hAnsi="Garamond"/>
          <w:color w:val="auto"/>
          <w:lang w:val="sq-AL"/>
        </w:rPr>
        <w:t xml:space="preserve">5.3.1 </w:t>
      </w:r>
      <w:r w:rsidR="005C3B15" w:rsidRPr="00B907A3">
        <w:rPr>
          <w:rFonts w:ascii="Garamond" w:hAnsi="Garamond"/>
          <w:color w:val="auto"/>
          <w:lang w:val="sq-AL"/>
        </w:rPr>
        <w:t>Përmirësimi dhe kontrolli i gjendjes teknike të mjeteve</w:t>
      </w:r>
      <w:bookmarkEnd w:id="157"/>
    </w:p>
    <w:p w14:paraId="48C1E40A" w14:textId="09DE78AF" w:rsidR="00AA65A4" w:rsidRPr="00B907A3" w:rsidRDefault="00C47C93" w:rsidP="008C4E07">
      <w:pPr>
        <w:spacing w:after="0"/>
        <w:ind w:firstLine="284"/>
        <w:rPr>
          <w:rFonts w:ascii="Garamond" w:hAnsi="Garamond"/>
          <w:sz w:val="24"/>
          <w:lang w:eastAsia="sl-SI"/>
        </w:rPr>
      </w:pPr>
      <w:r w:rsidRPr="00B907A3">
        <w:rPr>
          <w:rFonts w:ascii="Garamond" w:hAnsi="Garamond"/>
          <w:sz w:val="24"/>
          <w:lang w:eastAsia="sl-SI"/>
        </w:rPr>
        <w:t>Ekziston nevoja për përmirësimin e sistemit të kontrollit teknik periodik, pasi një numër i konsiderueshëm i mjeteve nuk i nënshtrohen inspektimeve vjetore periodike. Në të njëjtën kohë, kontrolli i gjendjes teknike të mjetev</w:t>
      </w:r>
      <w:r w:rsidR="005C1DD9">
        <w:rPr>
          <w:rFonts w:ascii="Garamond" w:hAnsi="Garamond"/>
          <w:sz w:val="24"/>
          <w:lang w:eastAsia="sl-SI"/>
        </w:rPr>
        <w:t>e në rrugë nga Policia dhe Task-</w:t>
      </w:r>
      <w:r w:rsidRPr="00B907A3">
        <w:rPr>
          <w:rFonts w:ascii="Garamond" w:hAnsi="Garamond"/>
          <w:sz w:val="24"/>
          <w:lang w:eastAsia="sl-SI"/>
        </w:rPr>
        <w:t xml:space="preserve">Forca duhet të forcohet, me qëllim transpozimin dhe zbatimin e kërkesave të </w:t>
      </w:r>
      <w:r w:rsidRPr="00B907A3">
        <w:rPr>
          <w:rFonts w:ascii="Garamond" w:hAnsi="Garamond"/>
          <w:i/>
          <w:iCs/>
          <w:sz w:val="24"/>
          <w:lang w:eastAsia="sl-SI"/>
        </w:rPr>
        <w:t>acquis</w:t>
      </w:r>
      <w:r w:rsidRPr="00B907A3">
        <w:rPr>
          <w:rFonts w:ascii="Garamond" w:hAnsi="Garamond"/>
          <w:sz w:val="24"/>
          <w:lang w:eastAsia="sl-SI"/>
        </w:rPr>
        <w:t xml:space="preserve"> të BE-së për kontrollet teknike periodike, përfshirë </w:t>
      </w:r>
      <w:r w:rsidRPr="00B907A3">
        <w:rPr>
          <w:rFonts w:ascii="Garamond" w:hAnsi="Garamond"/>
          <w:sz w:val="24"/>
          <w:lang w:eastAsia="sl-SI"/>
        </w:rPr>
        <w:lastRenderedPageBreak/>
        <w:t xml:space="preserve">procedurat shtesë të veçanta për inspektime teknike për mjetet e specializuara, p.sh., për mjetet që transportojnë mallra të rrezikshme (ADR). </w:t>
      </w:r>
    </w:p>
    <w:p w14:paraId="521C02D8" w14:textId="51561DD0" w:rsidR="00C47C93" w:rsidRPr="00B907A3" w:rsidRDefault="00C47C93" w:rsidP="008C4E07">
      <w:pPr>
        <w:spacing w:after="0"/>
        <w:ind w:firstLine="284"/>
        <w:rPr>
          <w:rFonts w:ascii="Garamond" w:hAnsi="Garamond"/>
          <w:sz w:val="24"/>
          <w:lang w:eastAsia="sl-SI"/>
        </w:rPr>
      </w:pPr>
      <w:r w:rsidRPr="00B907A3">
        <w:rPr>
          <w:rFonts w:ascii="Garamond" w:hAnsi="Garamond"/>
          <w:sz w:val="24"/>
          <w:lang w:eastAsia="sl-SI"/>
        </w:rPr>
        <w:t>Përveç kësaj, kontrolli teknik i jashtëzakonshëm i automjeteve si pjesë e procedurës pas aksidenteve duhet të rishikohet dhe, nëse është e nevojshme, të përmirësohet, duke përfshirë trajnime të detyrueshme për ekspertët e mjeteve që do të marrin pjesë në vlerësimin pas aksidentit.</w:t>
      </w:r>
    </w:p>
    <w:p w14:paraId="6EEDD5DC" w14:textId="048AD3DD" w:rsidR="00A92F86"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58" w:name="_Toc208840590"/>
      <w:r w:rsidRPr="00B907A3">
        <w:rPr>
          <w:rFonts w:ascii="Garamond" w:hAnsi="Garamond"/>
          <w:color w:val="auto"/>
          <w:lang w:val="sq-AL"/>
        </w:rPr>
        <w:t xml:space="preserve">5.3.2 </w:t>
      </w:r>
      <w:r w:rsidR="00A30F29" w:rsidRPr="00B907A3">
        <w:rPr>
          <w:rFonts w:ascii="Garamond" w:hAnsi="Garamond"/>
          <w:color w:val="auto"/>
          <w:lang w:val="sq-AL"/>
        </w:rPr>
        <w:t>Kontroll</w:t>
      </w:r>
      <w:r w:rsidR="00AA65A4" w:rsidRPr="00B907A3">
        <w:rPr>
          <w:rFonts w:ascii="Garamond" w:hAnsi="Garamond"/>
          <w:color w:val="auto"/>
          <w:lang w:val="sq-AL"/>
        </w:rPr>
        <w:t xml:space="preserve">e </w:t>
      </w:r>
      <w:r w:rsidR="00A30F29" w:rsidRPr="00B907A3">
        <w:rPr>
          <w:rFonts w:ascii="Garamond" w:hAnsi="Garamond"/>
          <w:color w:val="auto"/>
          <w:lang w:val="sq-AL"/>
        </w:rPr>
        <w:t>të specializuara/të orientuara në rrugë (peshimi i mjeteve dhe inspektime teknike rrugore)</w:t>
      </w:r>
      <w:bookmarkEnd w:id="158"/>
    </w:p>
    <w:p w14:paraId="6C4F02F9" w14:textId="2463B7D9" w:rsidR="00AA65A4" w:rsidRPr="00B907A3" w:rsidRDefault="00A92F86" w:rsidP="008C4E07">
      <w:pPr>
        <w:spacing w:after="0"/>
        <w:ind w:firstLine="284"/>
        <w:rPr>
          <w:rFonts w:ascii="Garamond" w:hAnsi="Garamond"/>
          <w:sz w:val="24"/>
          <w:lang w:eastAsia="en-US"/>
        </w:rPr>
      </w:pPr>
      <w:r w:rsidRPr="00B907A3">
        <w:rPr>
          <w:rFonts w:ascii="Garamond" w:hAnsi="Garamond"/>
          <w:sz w:val="24"/>
          <w:lang w:eastAsia="en-US"/>
        </w:rPr>
        <w:t>Peshimi i automjeteve është një nga element</w:t>
      </w:r>
      <w:r w:rsidR="00D121E9">
        <w:rPr>
          <w:rFonts w:ascii="Garamond" w:hAnsi="Garamond"/>
          <w:sz w:val="24"/>
          <w:lang w:eastAsia="en-US"/>
        </w:rPr>
        <w:t>e</w:t>
      </w:r>
      <w:r w:rsidRPr="00B907A3">
        <w:rPr>
          <w:rFonts w:ascii="Garamond" w:hAnsi="Garamond"/>
          <w:sz w:val="24"/>
          <w:lang w:eastAsia="en-US"/>
        </w:rPr>
        <w:t>t kyç</w:t>
      </w:r>
      <w:r w:rsidR="00D121E9">
        <w:rPr>
          <w:rFonts w:ascii="Garamond" w:hAnsi="Garamond"/>
          <w:sz w:val="24"/>
          <w:lang w:eastAsia="en-US"/>
        </w:rPr>
        <w:t>e</w:t>
      </w:r>
      <w:r w:rsidR="00AA65A4" w:rsidRPr="00B907A3">
        <w:rPr>
          <w:rFonts w:ascii="Garamond" w:hAnsi="Garamond"/>
          <w:sz w:val="24"/>
          <w:lang w:eastAsia="en-US"/>
        </w:rPr>
        <w:t xml:space="preserve"> i</w:t>
      </w:r>
      <w:r w:rsidRPr="00B907A3">
        <w:rPr>
          <w:rFonts w:ascii="Garamond" w:hAnsi="Garamond"/>
          <w:sz w:val="24"/>
          <w:lang w:eastAsia="en-US"/>
        </w:rPr>
        <w:t xml:space="preserve"> menaxhimit të infrastrukturës rrugore, i cili mundëson mbrojtjen e investimeve publike, përmirësimin e sigurisë, promovimin e transportit të qëndrueshëm dhe kontributin në mbrojtjen e mjedisit. </w:t>
      </w:r>
    </w:p>
    <w:p w14:paraId="48FF9808" w14:textId="07622FB0" w:rsidR="00A92F86" w:rsidRPr="00B907A3" w:rsidRDefault="00A92F86" w:rsidP="008C4E07">
      <w:pPr>
        <w:spacing w:after="0"/>
        <w:ind w:firstLine="284"/>
        <w:rPr>
          <w:rFonts w:ascii="Garamond" w:hAnsi="Garamond"/>
          <w:sz w:val="24"/>
          <w:lang w:eastAsia="en-US"/>
        </w:rPr>
      </w:pPr>
      <w:r w:rsidRPr="00B907A3">
        <w:rPr>
          <w:rFonts w:ascii="Garamond" w:hAnsi="Garamond"/>
          <w:sz w:val="24"/>
          <w:lang w:eastAsia="en-US"/>
        </w:rPr>
        <w:t xml:space="preserve">Inspektimet teknike rrugore janë të përfshira në </w:t>
      </w:r>
      <w:r w:rsidR="00AA65A4" w:rsidRPr="00B907A3">
        <w:rPr>
          <w:rFonts w:ascii="Garamond" w:hAnsi="Garamond"/>
          <w:sz w:val="24"/>
          <w:lang w:eastAsia="en-US"/>
        </w:rPr>
        <w:t xml:space="preserve">kuadrin </w:t>
      </w:r>
      <w:r w:rsidRPr="00B907A3">
        <w:rPr>
          <w:rFonts w:ascii="Garamond" w:hAnsi="Garamond"/>
          <w:sz w:val="24"/>
          <w:lang w:eastAsia="en-US"/>
        </w:rPr>
        <w:t xml:space="preserve">ligjor, megjithatë, zbatimi i tyre duhet të </w:t>
      </w:r>
      <w:r w:rsidR="001449FC" w:rsidRPr="00B907A3">
        <w:rPr>
          <w:rFonts w:ascii="Garamond" w:hAnsi="Garamond"/>
          <w:sz w:val="24"/>
          <w:lang w:eastAsia="en-US"/>
        </w:rPr>
        <w:t>përmirësohet</w:t>
      </w:r>
      <w:r w:rsidRPr="00B907A3">
        <w:rPr>
          <w:rFonts w:ascii="Garamond" w:hAnsi="Garamond"/>
          <w:sz w:val="24"/>
          <w:lang w:eastAsia="en-US"/>
        </w:rPr>
        <w:t xml:space="preserve">. </w:t>
      </w:r>
      <w:r w:rsidR="00863E4B" w:rsidRPr="00B907A3">
        <w:rPr>
          <w:rFonts w:ascii="Garamond" w:hAnsi="Garamond"/>
          <w:sz w:val="24"/>
          <w:lang w:eastAsia="en-US"/>
        </w:rPr>
        <w:t xml:space="preserve">Policia Rrugore në bashkëpunim </w:t>
      </w:r>
      <w:r w:rsidR="00E83369" w:rsidRPr="00B907A3">
        <w:rPr>
          <w:rFonts w:ascii="Garamond" w:hAnsi="Garamond"/>
          <w:sz w:val="24"/>
          <w:lang w:eastAsia="en-US"/>
        </w:rPr>
        <w:t>me</w:t>
      </w:r>
      <w:r w:rsidRPr="00B907A3">
        <w:rPr>
          <w:rFonts w:ascii="Garamond" w:hAnsi="Garamond"/>
          <w:sz w:val="24"/>
          <w:lang w:eastAsia="en-US"/>
        </w:rPr>
        <w:t xml:space="preserve"> Task-Forc</w:t>
      </w:r>
      <w:r w:rsidR="00E83369" w:rsidRPr="00B907A3">
        <w:rPr>
          <w:rFonts w:ascii="Garamond" w:hAnsi="Garamond"/>
          <w:sz w:val="24"/>
          <w:lang w:eastAsia="en-US"/>
        </w:rPr>
        <w:t>ën</w:t>
      </w:r>
      <w:r w:rsidRPr="00B907A3">
        <w:rPr>
          <w:rFonts w:ascii="Garamond" w:hAnsi="Garamond"/>
          <w:sz w:val="24"/>
          <w:lang w:eastAsia="en-US"/>
        </w:rPr>
        <w:t xml:space="preserve"> e Transportit Rrugor janë të autorizuar për të kryer inspektime teknike të mjeteve tregtare.</w:t>
      </w:r>
    </w:p>
    <w:p w14:paraId="33C78728" w14:textId="446F2A19" w:rsidR="00406E9C"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59" w:name="_Toc208840591"/>
      <w:r w:rsidRPr="00B907A3">
        <w:rPr>
          <w:rFonts w:ascii="Garamond" w:hAnsi="Garamond"/>
          <w:color w:val="auto"/>
          <w:lang w:val="sq-AL"/>
        </w:rPr>
        <w:t xml:space="preserve">5.3.3 </w:t>
      </w:r>
      <w:r w:rsidR="00783C98" w:rsidRPr="00B907A3">
        <w:rPr>
          <w:rFonts w:ascii="Garamond" w:hAnsi="Garamond"/>
          <w:color w:val="auto"/>
          <w:lang w:val="sq-AL"/>
        </w:rPr>
        <w:t xml:space="preserve">Zbatimi i </w:t>
      </w:r>
      <w:r w:rsidR="00783C98" w:rsidRPr="00B907A3">
        <w:rPr>
          <w:rFonts w:ascii="Garamond" w:hAnsi="Garamond"/>
          <w:i/>
          <w:iCs/>
          <w:color w:val="auto"/>
          <w:lang w:val="sq-AL"/>
        </w:rPr>
        <w:t>acquis</w:t>
      </w:r>
      <w:r w:rsidR="00783C98" w:rsidRPr="00B907A3">
        <w:rPr>
          <w:rFonts w:ascii="Garamond" w:hAnsi="Garamond"/>
          <w:color w:val="auto"/>
          <w:lang w:val="sq-AL"/>
        </w:rPr>
        <w:t xml:space="preserve"> të BE-së për miratimin e tipit të mjeteve dhe promovimi i përdorimit të mjeteve me sisteme të avancuara sigurie (</w:t>
      </w:r>
      <w:r w:rsidR="00AA65A4" w:rsidRPr="00B907A3">
        <w:rPr>
          <w:rFonts w:ascii="Garamond" w:hAnsi="Garamond"/>
          <w:color w:val="auto"/>
          <w:lang w:val="sq-AL"/>
        </w:rPr>
        <w:t>ADAS</w:t>
      </w:r>
      <w:r w:rsidR="00783C98" w:rsidRPr="00B907A3">
        <w:rPr>
          <w:rFonts w:ascii="Garamond" w:hAnsi="Garamond"/>
          <w:color w:val="auto"/>
          <w:lang w:val="sq-AL"/>
        </w:rPr>
        <w:t>)</w:t>
      </w:r>
      <w:bookmarkEnd w:id="159"/>
    </w:p>
    <w:p w14:paraId="08DC5285" w14:textId="6DB5CDB7" w:rsidR="00EA2FD6" w:rsidRPr="00B907A3" w:rsidRDefault="0007401C"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Mjetet e reja Evropiane </w:t>
      </w:r>
      <w:r w:rsidR="00F35512" w:rsidRPr="00B907A3">
        <w:rPr>
          <w:rFonts w:ascii="Garamond" w:hAnsi="Garamond"/>
          <w:sz w:val="24"/>
          <w:lang w:val="sq-AL" w:eastAsia="en-US"/>
        </w:rPr>
        <w:t xml:space="preserve">janë të pajisura me sisteme të avancuara të asistencës për drejtuesit </w:t>
      </w:r>
      <w:r w:rsidR="00383B66" w:rsidRPr="00B907A3">
        <w:rPr>
          <w:rFonts w:ascii="Garamond" w:hAnsi="Garamond"/>
          <w:sz w:val="24"/>
          <w:lang w:val="sq-AL" w:eastAsia="en-US"/>
        </w:rPr>
        <w:t>ADAS.</w:t>
      </w:r>
      <w:r w:rsidR="00EA2FD6" w:rsidRPr="00B907A3">
        <w:rPr>
          <w:rFonts w:ascii="Garamond" w:hAnsi="Garamond"/>
          <w:sz w:val="24"/>
          <w:lang w:val="sq-AL" w:eastAsia="en-US"/>
        </w:rPr>
        <w:t xml:space="preserve"> Për të promovuar në mënyrë efektive sistemet </w:t>
      </w:r>
      <w:r w:rsidR="00AA65A4" w:rsidRPr="00B907A3">
        <w:rPr>
          <w:rFonts w:ascii="Garamond" w:hAnsi="Garamond"/>
          <w:sz w:val="24"/>
          <w:lang w:val="sq-AL" w:eastAsia="en-US"/>
        </w:rPr>
        <w:t xml:space="preserve">ADAS </w:t>
      </w:r>
      <w:r w:rsidR="00EA2FD6" w:rsidRPr="00B907A3">
        <w:rPr>
          <w:rFonts w:ascii="Garamond" w:hAnsi="Garamond"/>
          <w:sz w:val="24"/>
          <w:lang w:val="sq-AL" w:eastAsia="en-US"/>
        </w:rPr>
        <w:t xml:space="preserve">(Sistemet e Avancuara të Asistencës për Drejtuesit) </w:t>
      </w:r>
      <w:r w:rsidR="00AA65A4" w:rsidRPr="00B907A3">
        <w:rPr>
          <w:rFonts w:ascii="Garamond" w:hAnsi="Garamond"/>
          <w:sz w:val="24"/>
          <w:lang w:val="sq-AL" w:eastAsia="en-US"/>
        </w:rPr>
        <w:t xml:space="preserve">tek </w:t>
      </w:r>
      <w:r w:rsidR="00EA2FD6" w:rsidRPr="00B907A3">
        <w:rPr>
          <w:rFonts w:ascii="Garamond" w:hAnsi="Garamond"/>
          <w:sz w:val="24"/>
          <w:lang w:val="sq-AL" w:eastAsia="en-US"/>
        </w:rPr>
        <w:t>qytetarë</w:t>
      </w:r>
      <w:r w:rsidR="00AA65A4" w:rsidRPr="00B907A3">
        <w:rPr>
          <w:rFonts w:ascii="Garamond" w:hAnsi="Garamond"/>
          <w:sz w:val="24"/>
          <w:lang w:val="sq-AL" w:eastAsia="en-US"/>
        </w:rPr>
        <w:t>t</w:t>
      </w:r>
      <w:r w:rsidR="00EA2FD6" w:rsidRPr="00B907A3">
        <w:rPr>
          <w:rFonts w:ascii="Garamond" w:hAnsi="Garamond"/>
          <w:sz w:val="24"/>
          <w:lang w:val="sq-AL" w:eastAsia="en-US"/>
        </w:rPr>
        <w:t xml:space="preserve"> shqiptarë, duhet të fillohet me rritjen e ndërgjegjësimit publik. Prandaj, fushatat e mirëplanifikuara të informimit dhe edukimit janë jashtëzakonisht të rëndësishme. Është thelbësore të theksohen përfitimet që sistemet </w:t>
      </w:r>
      <w:r w:rsidR="00AA65A4" w:rsidRPr="00B907A3">
        <w:rPr>
          <w:rFonts w:ascii="Garamond" w:hAnsi="Garamond"/>
          <w:sz w:val="24"/>
          <w:lang w:val="sq-AL" w:eastAsia="en-US"/>
        </w:rPr>
        <w:t xml:space="preserve">ADAS </w:t>
      </w:r>
      <w:r w:rsidR="00EA2FD6" w:rsidRPr="00B907A3">
        <w:rPr>
          <w:rFonts w:ascii="Garamond" w:hAnsi="Garamond"/>
          <w:sz w:val="24"/>
          <w:lang w:val="sq-AL" w:eastAsia="en-US"/>
        </w:rPr>
        <w:t>ofrojnë për sigurinë, lehtësinë e përdorimit dhe mundësitë për ulje në çmimin e</w:t>
      </w:r>
      <w:r w:rsidR="002A1CC6" w:rsidRPr="00B907A3">
        <w:rPr>
          <w:rFonts w:ascii="Garamond" w:hAnsi="Garamond"/>
          <w:sz w:val="24"/>
          <w:lang w:val="sq-AL" w:eastAsia="en-US"/>
        </w:rPr>
        <w:t xml:space="preserve"> primeve/policave të</w:t>
      </w:r>
      <w:r w:rsidR="00EA2FD6" w:rsidRPr="00B907A3">
        <w:rPr>
          <w:rFonts w:ascii="Garamond" w:hAnsi="Garamond"/>
          <w:sz w:val="24"/>
          <w:lang w:val="sq-AL" w:eastAsia="en-US"/>
        </w:rPr>
        <w:t xml:space="preserve"> sigurimeve, veçanërisht për sigurimin e detyrueshëm të palës së tretë</w:t>
      </w:r>
      <w:r w:rsidR="002A1CC6" w:rsidRPr="00B907A3">
        <w:rPr>
          <w:rFonts w:ascii="Garamond" w:hAnsi="Garamond"/>
          <w:sz w:val="24"/>
          <w:lang w:val="sq-AL" w:eastAsia="en-US"/>
        </w:rPr>
        <w:t xml:space="preserve"> (TPL)</w:t>
      </w:r>
      <w:r w:rsidR="00EA2FD6" w:rsidRPr="00B907A3">
        <w:rPr>
          <w:rFonts w:ascii="Garamond" w:hAnsi="Garamond"/>
          <w:sz w:val="24"/>
          <w:lang w:val="sq-AL" w:eastAsia="en-US"/>
        </w:rPr>
        <w:t>, që mund të shihet nga qytetarët shqiptarë si një përparësi.</w:t>
      </w:r>
      <w:r w:rsidR="002A1CC6" w:rsidRPr="00B907A3">
        <w:rPr>
          <w:rFonts w:ascii="Garamond" w:hAnsi="Garamond"/>
          <w:sz w:val="24"/>
          <w:lang w:val="sq-AL" w:eastAsia="en-US"/>
        </w:rPr>
        <w:t xml:space="preserve"> </w:t>
      </w:r>
      <w:r w:rsidR="00EA2FD6" w:rsidRPr="00B907A3">
        <w:rPr>
          <w:rFonts w:ascii="Garamond" w:hAnsi="Garamond"/>
          <w:sz w:val="24"/>
          <w:lang w:val="sq-AL" w:eastAsia="en-US"/>
        </w:rPr>
        <w:t>Një partner i rëndësishëm i qeverisë në këto aktivitete është DPSHTRR. K</w:t>
      </w:r>
      <w:r w:rsidR="00136231" w:rsidRPr="00B907A3">
        <w:rPr>
          <w:rFonts w:ascii="Garamond" w:hAnsi="Garamond"/>
          <w:sz w:val="24"/>
          <w:lang w:val="sq-AL" w:eastAsia="en-US"/>
        </w:rPr>
        <w:t>y</w:t>
      </w:r>
      <w:r w:rsidR="00EA2FD6" w:rsidRPr="00B907A3">
        <w:rPr>
          <w:rFonts w:ascii="Garamond" w:hAnsi="Garamond"/>
          <w:sz w:val="24"/>
          <w:lang w:val="sq-AL" w:eastAsia="en-US"/>
        </w:rPr>
        <w:t xml:space="preserve"> institucion mund të zhvillojë fushata informuese për </w:t>
      </w:r>
      <w:r w:rsidR="002A1CC6" w:rsidRPr="00B907A3">
        <w:rPr>
          <w:rFonts w:ascii="Garamond" w:hAnsi="Garamond"/>
          <w:sz w:val="24"/>
          <w:lang w:val="sq-AL" w:eastAsia="en-US"/>
        </w:rPr>
        <w:t>ADAS</w:t>
      </w:r>
      <w:r w:rsidR="00EA2FD6" w:rsidRPr="00B907A3">
        <w:rPr>
          <w:rFonts w:ascii="Garamond" w:hAnsi="Garamond"/>
          <w:sz w:val="24"/>
          <w:lang w:val="sq-AL" w:eastAsia="en-US"/>
        </w:rPr>
        <w:t>, të prezantojë vlerësime të sistemeve të sigurisë gjatë regjistrimit të mjeteve dhe të mbikëqyrë cilësinë e sistemeve të instaluara në automjetet e përdorura të importuara nga jashtë. Nëse është e nevojshme, duhet bërë forcimi i kapaciteteve të këtij institucioni.</w:t>
      </w:r>
    </w:p>
    <w:p w14:paraId="17A3513E" w14:textId="517D8B74" w:rsidR="00EA2FD6" w:rsidRPr="00B907A3" w:rsidRDefault="00EA2FD6" w:rsidP="008C4E07">
      <w:pPr>
        <w:spacing w:after="0"/>
        <w:ind w:firstLine="284"/>
        <w:rPr>
          <w:rFonts w:ascii="Garamond" w:hAnsi="Garamond"/>
          <w:sz w:val="24"/>
          <w:lang w:eastAsia="en-US"/>
        </w:rPr>
      </w:pPr>
      <w:r w:rsidRPr="00B907A3">
        <w:rPr>
          <w:rFonts w:ascii="Garamond" w:hAnsi="Garamond"/>
          <w:sz w:val="24"/>
          <w:lang w:eastAsia="en-US"/>
        </w:rPr>
        <w:t xml:space="preserve">Gjithashtu, është e domosdoshme transpozimi dhe zbatimi i plotë i </w:t>
      </w:r>
      <w:r w:rsidRPr="00B907A3">
        <w:rPr>
          <w:rFonts w:ascii="Garamond" w:hAnsi="Garamond"/>
          <w:i/>
          <w:iCs/>
          <w:sz w:val="24"/>
          <w:lang w:eastAsia="en-US"/>
        </w:rPr>
        <w:t>acquis</w:t>
      </w:r>
      <w:r w:rsidRPr="00B907A3">
        <w:rPr>
          <w:rFonts w:ascii="Garamond" w:hAnsi="Garamond"/>
          <w:sz w:val="24"/>
          <w:lang w:eastAsia="en-US"/>
        </w:rPr>
        <w:t xml:space="preserve"> të BE-së për miratimin e tipit, si dhe i një autoriteti të mbikëqyrjes së tregut të automjeteve në Shqipëri, për të garantuar sigurinë e mjeteve në rrugët shqiptare. Spote televizive dhe video të shkurtra edukative në rrjetet sociale mund të demonstrojnë lehtësisht funksionimin e veçorive të veçanta të </w:t>
      </w:r>
      <w:r w:rsidR="002A1CC6" w:rsidRPr="00B907A3">
        <w:rPr>
          <w:rFonts w:ascii="Garamond" w:hAnsi="Garamond"/>
          <w:sz w:val="24"/>
          <w:lang w:eastAsia="en-US"/>
        </w:rPr>
        <w:t>ADAS</w:t>
      </w:r>
      <w:r w:rsidRPr="00B907A3">
        <w:rPr>
          <w:rFonts w:ascii="Garamond" w:hAnsi="Garamond"/>
          <w:sz w:val="24"/>
          <w:lang w:eastAsia="en-US"/>
        </w:rPr>
        <w:t>, si Frenimi Automatik Emergjent (AEB), Paralajmërimi për Përplasje Përpara (</w:t>
      </w:r>
      <w:r w:rsidR="002A1CC6" w:rsidRPr="00B907A3">
        <w:rPr>
          <w:rFonts w:ascii="Garamond" w:hAnsi="Garamond"/>
          <w:sz w:val="24"/>
          <w:lang w:eastAsia="en-US"/>
        </w:rPr>
        <w:t>FCW</w:t>
      </w:r>
      <w:r w:rsidRPr="00B907A3">
        <w:rPr>
          <w:rFonts w:ascii="Garamond" w:hAnsi="Garamond"/>
          <w:sz w:val="24"/>
          <w:lang w:eastAsia="en-US"/>
        </w:rPr>
        <w:t>) apo Asistenca për Qëndrimin në Korsi (</w:t>
      </w:r>
      <w:r w:rsidR="002A1CC6" w:rsidRPr="00B907A3">
        <w:rPr>
          <w:rFonts w:ascii="Garamond" w:hAnsi="Garamond"/>
          <w:sz w:val="24"/>
          <w:lang w:eastAsia="en-US"/>
        </w:rPr>
        <w:t>LKA</w:t>
      </w:r>
      <w:r w:rsidRPr="00B907A3">
        <w:rPr>
          <w:rFonts w:ascii="Garamond" w:hAnsi="Garamond"/>
          <w:sz w:val="24"/>
          <w:lang w:eastAsia="en-US"/>
        </w:rPr>
        <w:t xml:space="preserve">). Këto fushata duhet të përqendrohen në skenarë realë nga jeta në rrugë, për të treguar sesi </w:t>
      </w:r>
      <w:r w:rsidR="002A1CC6" w:rsidRPr="00B907A3">
        <w:rPr>
          <w:rFonts w:ascii="Garamond" w:hAnsi="Garamond"/>
          <w:sz w:val="24"/>
          <w:lang w:eastAsia="en-US"/>
        </w:rPr>
        <w:t xml:space="preserve">ADAS </w:t>
      </w:r>
      <w:r w:rsidRPr="00B907A3">
        <w:rPr>
          <w:rFonts w:ascii="Garamond" w:hAnsi="Garamond"/>
          <w:sz w:val="24"/>
          <w:lang w:eastAsia="en-US"/>
        </w:rPr>
        <w:t>parandalon aksidente dhe shpëton jetë.</w:t>
      </w:r>
    </w:p>
    <w:p w14:paraId="66B72860" w14:textId="2B85FE51" w:rsidR="00FC33B2" w:rsidRPr="00B907A3" w:rsidRDefault="00EA2FD6" w:rsidP="008C4E07">
      <w:pPr>
        <w:spacing w:after="0"/>
        <w:ind w:firstLine="284"/>
        <w:rPr>
          <w:rFonts w:ascii="Garamond" w:hAnsi="Garamond"/>
          <w:sz w:val="24"/>
          <w:lang w:eastAsia="en-US"/>
        </w:rPr>
      </w:pPr>
      <w:r w:rsidRPr="00B907A3">
        <w:rPr>
          <w:rFonts w:ascii="Garamond" w:hAnsi="Garamond"/>
          <w:sz w:val="24"/>
          <w:lang w:eastAsia="en-US"/>
        </w:rPr>
        <w:t xml:space="preserve">Ekspozitat e makinave, </w:t>
      </w:r>
      <w:r w:rsidR="002A1CC6" w:rsidRPr="00B907A3">
        <w:rPr>
          <w:rFonts w:ascii="Garamond" w:hAnsi="Garamond"/>
          <w:sz w:val="24"/>
          <w:lang w:eastAsia="en-US"/>
        </w:rPr>
        <w:t xml:space="preserve">evente </w:t>
      </w:r>
      <w:r w:rsidRPr="00B907A3">
        <w:rPr>
          <w:rFonts w:ascii="Garamond" w:hAnsi="Garamond"/>
          <w:sz w:val="24"/>
          <w:lang w:eastAsia="en-US"/>
        </w:rPr>
        <w:t xml:space="preserve">lokale dhe demonstrimet e hapura të teknologjisë, ku qytetarët kanë mundësi të përjetojnë vetë funksionimin e këtyre sistemeve, janë gjithashtu një pjesë e rëndësishme e edukimit. Mundësia për të provuar një automjet të pajisur me </w:t>
      </w:r>
      <w:r w:rsidR="002A1CC6" w:rsidRPr="00B907A3">
        <w:rPr>
          <w:rFonts w:ascii="Garamond" w:hAnsi="Garamond"/>
          <w:sz w:val="24"/>
          <w:lang w:eastAsia="en-US"/>
        </w:rPr>
        <w:t xml:space="preserve">ADAS </w:t>
      </w:r>
      <w:r w:rsidRPr="00B907A3">
        <w:rPr>
          <w:rFonts w:ascii="Garamond" w:hAnsi="Garamond"/>
          <w:sz w:val="24"/>
          <w:lang w:eastAsia="en-US"/>
        </w:rPr>
        <w:t>mund të bindë shumë skeptikë që kanë frikë nga risitë teknologjike.</w:t>
      </w:r>
    </w:p>
    <w:p w14:paraId="21147B0B" w14:textId="0D905D3F" w:rsidR="00C2015C"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60" w:name="_Toc208840592"/>
      <w:r w:rsidRPr="00B907A3">
        <w:rPr>
          <w:rFonts w:ascii="Garamond" w:hAnsi="Garamond"/>
          <w:color w:val="auto"/>
          <w:lang w:val="sq-AL"/>
        </w:rPr>
        <w:t xml:space="preserve">5.3.4 </w:t>
      </w:r>
      <w:r w:rsidR="00F82D5F" w:rsidRPr="00B907A3">
        <w:rPr>
          <w:rFonts w:ascii="Garamond" w:hAnsi="Garamond"/>
          <w:color w:val="auto"/>
          <w:lang w:val="sq-AL"/>
        </w:rPr>
        <w:t>Kushte për futjen e sigurt n</w:t>
      </w:r>
      <w:r w:rsidR="00A021B5" w:rsidRPr="00B907A3">
        <w:rPr>
          <w:rFonts w:ascii="Garamond" w:hAnsi="Garamond"/>
          <w:color w:val="auto"/>
          <w:lang w:val="sq-AL"/>
        </w:rPr>
        <w:t>ë</w:t>
      </w:r>
      <w:r w:rsidR="00F82D5F" w:rsidRPr="00B907A3">
        <w:rPr>
          <w:rFonts w:ascii="Garamond" w:hAnsi="Garamond"/>
          <w:color w:val="auto"/>
          <w:lang w:val="sq-AL"/>
        </w:rPr>
        <w:t xml:space="preserve"> qarkullim të mjeteve të mikro-</w:t>
      </w:r>
      <w:r w:rsidR="002A1CC6" w:rsidRPr="00B907A3">
        <w:rPr>
          <w:rFonts w:ascii="Garamond" w:hAnsi="Garamond"/>
          <w:color w:val="auto"/>
          <w:lang w:val="sq-AL"/>
        </w:rPr>
        <w:t xml:space="preserve">mobilitetit </w:t>
      </w:r>
      <w:r w:rsidR="00F82D5F" w:rsidRPr="00B907A3">
        <w:rPr>
          <w:rFonts w:ascii="Garamond" w:hAnsi="Garamond"/>
          <w:color w:val="auto"/>
          <w:lang w:val="sq-AL"/>
        </w:rPr>
        <w:t xml:space="preserve">në </w:t>
      </w:r>
      <w:r w:rsidR="002A1CC6" w:rsidRPr="00B907A3">
        <w:rPr>
          <w:rFonts w:ascii="Garamond" w:hAnsi="Garamond"/>
          <w:color w:val="auto"/>
          <w:lang w:val="sq-AL"/>
        </w:rPr>
        <w:t xml:space="preserve">qarkullimin </w:t>
      </w:r>
      <w:r w:rsidR="00F82D5F" w:rsidRPr="00B907A3">
        <w:rPr>
          <w:rFonts w:ascii="Garamond" w:hAnsi="Garamond"/>
          <w:color w:val="auto"/>
          <w:lang w:val="sq-AL"/>
        </w:rPr>
        <w:t>rrugor</w:t>
      </w:r>
      <w:bookmarkEnd w:id="160"/>
    </w:p>
    <w:p w14:paraId="31881D8C" w14:textId="05B82DAD" w:rsidR="002F1F56" w:rsidRPr="00B907A3" w:rsidRDefault="002A1CC6" w:rsidP="008C4E07">
      <w:pPr>
        <w:spacing w:after="0"/>
        <w:ind w:firstLine="284"/>
        <w:rPr>
          <w:rFonts w:ascii="Garamond" w:hAnsi="Garamond"/>
          <w:sz w:val="24"/>
          <w:lang w:eastAsia="sl-SI"/>
        </w:rPr>
      </w:pPr>
      <w:r w:rsidRPr="00B907A3">
        <w:rPr>
          <w:rFonts w:ascii="Garamond" w:hAnsi="Garamond"/>
          <w:sz w:val="24"/>
          <w:lang w:eastAsia="sl-SI"/>
        </w:rPr>
        <w:t xml:space="preserve">Mobiliteti </w:t>
      </w:r>
      <w:r w:rsidR="006164B8" w:rsidRPr="00B907A3">
        <w:rPr>
          <w:rFonts w:ascii="Garamond" w:hAnsi="Garamond"/>
          <w:sz w:val="24"/>
          <w:lang w:eastAsia="sl-SI"/>
        </w:rPr>
        <w:t>urban po nxit fuqishëm përdorimin e mjeteve të mikro-</w:t>
      </w:r>
      <w:r w:rsidRPr="00B907A3">
        <w:rPr>
          <w:rFonts w:ascii="Garamond" w:hAnsi="Garamond"/>
          <w:sz w:val="24"/>
          <w:lang w:eastAsia="sl-SI"/>
        </w:rPr>
        <w:t xml:space="preserve">mobilitetit </w:t>
      </w:r>
      <w:r w:rsidR="006164B8" w:rsidRPr="00B907A3">
        <w:rPr>
          <w:rFonts w:ascii="Garamond" w:hAnsi="Garamond"/>
          <w:sz w:val="24"/>
          <w:lang w:eastAsia="sl-SI"/>
        </w:rPr>
        <w:t>në transportin urban. Me synimin për të reduktuar numrin e aksidenteve ku përfshihen këto mjete të reja të mikro-</w:t>
      </w:r>
      <w:r w:rsidRPr="00B907A3">
        <w:rPr>
          <w:rFonts w:ascii="Garamond" w:hAnsi="Garamond"/>
          <w:sz w:val="24"/>
          <w:lang w:eastAsia="sl-SI"/>
        </w:rPr>
        <w:t>mobilitetit</w:t>
      </w:r>
      <w:r w:rsidR="006164B8" w:rsidRPr="00B907A3">
        <w:rPr>
          <w:rFonts w:ascii="Garamond" w:hAnsi="Garamond"/>
          <w:sz w:val="24"/>
          <w:lang w:eastAsia="sl-SI"/>
        </w:rPr>
        <w:t>, është e nevojshme të përmirësohe</w:t>
      </w:r>
      <w:r w:rsidR="00396C17" w:rsidRPr="00B907A3">
        <w:rPr>
          <w:rFonts w:ascii="Garamond" w:hAnsi="Garamond"/>
          <w:sz w:val="24"/>
          <w:lang w:eastAsia="sl-SI"/>
        </w:rPr>
        <w:t>n</w:t>
      </w:r>
      <w:r w:rsidR="006164B8" w:rsidRPr="00B907A3">
        <w:rPr>
          <w:rFonts w:ascii="Garamond" w:hAnsi="Garamond"/>
          <w:sz w:val="24"/>
          <w:lang w:eastAsia="sl-SI"/>
        </w:rPr>
        <w:t xml:space="preserve"> rregull</w:t>
      </w:r>
      <w:r w:rsidR="004B0E13" w:rsidRPr="00B907A3">
        <w:rPr>
          <w:rFonts w:ascii="Garamond" w:hAnsi="Garamond"/>
          <w:sz w:val="24"/>
          <w:lang w:eastAsia="sl-SI"/>
        </w:rPr>
        <w:t>at</w:t>
      </w:r>
      <w:r w:rsidR="006164B8" w:rsidRPr="00B907A3">
        <w:rPr>
          <w:rFonts w:ascii="Garamond" w:hAnsi="Garamond"/>
          <w:sz w:val="24"/>
          <w:lang w:eastAsia="sl-SI"/>
        </w:rPr>
        <w:t xml:space="preserve"> në lidhje me kushtet </w:t>
      </w:r>
      <w:r w:rsidR="00B01ED0" w:rsidRPr="00B907A3">
        <w:rPr>
          <w:rFonts w:ascii="Garamond" w:hAnsi="Garamond"/>
          <w:sz w:val="24"/>
          <w:lang w:eastAsia="sl-SI"/>
        </w:rPr>
        <w:t xml:space="preserve">e përdorimit </w:t>
      </w:r>
      <w:r w:rsidR="006164B8" w:rsidRPr="00B907A3">
        <w:rPr>
          <w:rFonts w:ascii="Garamond" w:hAnsi="Garamond"/>
          <w:sz w:val="24"/>
          <w:lang w:eastAsia="sl-SI"/>
        </w:rPr>
        <w:t>që këto mjete duhet të përmbushin për të pasur akses të sigurt në transportin urban. Përveç kësaj, do të jetë e nevojshme zbatimi i legjislacionit përkatës, si dhe trajnimi i personelit të zbatimit të ligjit dhe rritja e ndërgjegjësimit publik</w:t>
      </w:r>
      <w:r w:rsidR="00575933" w:rsidRPr="00B907A3">
        <w:rPr>
          <w:rFonts w:ascii="Garamond" w:hAnsi="Garamond"/>
          <w:sz w:val="24"/>
          <w:lang w:eastAsia="sl-SI"/>
        </w:rPr>
        <w:t>.</w:t>
      </w:r>
    </w:p>
    <w:p w14:paraId="1A048A53" w14:textId="6EE76193" w:rsidR="00F02B3F" w:rsidRPr="00B907A3" w:rsidRDefault="00D51215" w:rsidP="008C4E07">
      <w:pPr>
        <w:pStyle w:val="ListParagraph"/>
        <w:shd w:val="clear" w:color="auto" w:fill="E2EFD9" w:themeFill="accent6" w:themeFillTint="33"/>
        <w:ind w:left="0" w:firstLine="284"/>
        <w:rPr>
          <w:rFonts w:ascii="Garamond" w:eastAsia="Calibri" w:hAnsi="Garamond"/>
          <w:b/>
          <w:bCs/>
          <w:sz w:val="24"/>
          <w:lang w:eastAsia="x-none"/>
        </w:rPr>
      </w:pPr>
      <w:r w:rsidRPr="00B907A3">
        <w:rPr>
          <w:rFonts w:ascii="Garamond" w:hAnsi="Garamond"/>
          <w:b/>
          <w:i/>
          <w:sz w:val="24"/>
        </w:rPr>
        <w:t xml:space="preserve">- </w:t>
      </w:r>
      <w:r w:rsidR="006164B8" w:rsidRPr="00B907A3">
        <w:rPr>
          <w:rFonts w:ascii="Garamond" w:hAnsi="Garamond"/>
          <w:b/>
          <w:i/>
          <w:sz w:val="24"/>
        </w:rPr>
        <w:t xml:space="preserve">Përmirësimi i sigurisë së mjeteve përfshin rinovimin e flotës me mjete më të sigurta dhe me emetime më të ulëta, përmirësimin e sistemit të kontrollit teknik dhe kontrolleve në rrugë, zbatimin e plotë të sistemit të miratimit të tipit sipas BE-së dhe promovimin e sistemeve </w:t>
      </w:r>
      <w:r w:rsidR="002A1CC6" w:rsidRPr="00B907A3">
        <w:rPr>
          <w:rFonts w:ascii="Garamond" w:hAnsi="Garamond"/>
          <w:b/>
          <w:i/>
          <w:sz w:val="24"/>
        </w:rPr>
        <w:t>ADAS</w:t>
      </w:r>
      <w:r w:rsidR="006164B8" w:rsidRPr="00B907A3">
        <w:rPr>
          <w:rFonts w:ascii="Garamond" w:hAnsi="Garamond"/>
          <w:b/>
          <w:i/>
          <w:sz w:val="24"/>
        </w:rPr>
        <w:t>, rregullimin e sigurisë së mjeteve të mikro-</w:t>
      </w:r>
      <w:r w:rsidR="002A1CC6" w:rsidRPr="00B907A3">
        <w:rPr>
          <w:rFonts w:ascii="Garamond" w:hAnsi="Garamond"/>
          <w:b/>
          <w:i/>
          <w:sz w:val="24"/>
        </w:rPr>
        <w:t xml:space="preserve">mobilitetit </w:t>
      </w:r>
      <w:r w:rsidR="006164B8" w:rsidRPr="00B907A3">
        <w:rPr>
          <w:rFonts w:ascii="Garamond" w:hAnsi="Garamond"/>
          <w:b/>
          <w:i/>
          <w:sz w:val="24"/>
        </w:rPr>
        <w:t xml:space="preserve">dhe forcimin e masave të sigurisë për drejtuesit </w:t>
      </w:r>
      <w:r w:rsidR="00F94AF4" w:rsidRPr="00B907A3">
        <w:rPr>
          <w:rFonts w:ascii="Garamond" w:hAnsi="Garamond"/>
          <w:b/>
          <w:i/>
          <w:sz w:val="24"/>
        </w:rPr>
        <w:t>profesionist</w:t>
      </w:r>
      <w:r w:rsidR="006164B8" w:rsidRPr="00B907A3">
        <w:rPr>
          <w:rFonts w:ascii="Garamond" w:hAnsi="Garamond"/>
          <w:b/>
          <w:i/>
          <w:sz w:val="24"/>
        </w:rPr>
        <w:t>ë. Këto përpjekje synojnë të përmirësojnë aksesin e mjeteve në rrjetin rrugor dhe të rrisin standardet e përgjithshme të sigurisë</w:t>
      </w:r>
      <w:r w:rsidR="00711B74" w:rsidRPr="00B907A3">
        <w:rPr>
          <w:rFonts w:ascii="Garamond" w:hAnsi="Garamond"/>
          <w:b/>
          <w:i/>
          <w:sz w:val="24"/>
        </w:rPr>
        <w:t>.</w:t>
      </w:r>
    </w:p>
    <w:p w14:paraId="584460D5" w14:textId="644876F7" w:rsidR="00947263" w:rsidRPr="00B907A3" w:rsidRDefault="00D51215" w:rsidP="008C4E07">
      <w:pPr>
        <w:pStyle w:val="Heading2"/>
        <w:numPr>
          <w:ilvl w:val="0"/>
          <w:numId w:val="0"/>
        </w:numPr>
        <w:shd w:val="clear" w:color="auto" w:fill="E2EFD9" w:themeFill="accent6" w:themeFillTint="33"/>
        <w:spacing w:after="0"/>
        <w:ind w:firstLine="284"/>
        <w:rPr>
          <w:rFonts w:ascii="Garamond" w:hAnsi="Garamond"/>
          <w:color w:val="auto"/>
          <w:lang w:val="sq-AL"/>
        </w:rPr>
      </w:pPr>
      <w:bookmarkStart w:id="161" w:name="_Toc208840593"/>
      <w:r w:rsidRPr="00B907A3">
        <w:rPr>
          <w:rFonts w:ascii="Garamond" w:hAnsi="Garamond"/>
          <w:color w:val="auto"/>
          <w:lang w:val="sq-AL"/>
        </w:rPr>
        <w:lastRenderedPageBreak/>
        <w:t xml:space="preserve">5.4 </w:t>
      </w:r>
      <w:r w:rsidR="006164B8" w:rsidRPr="00B907A3">
        <w:rPr>
          <w:rFonts w:ascii="Garamond" w:hAnsi="Garamond"/>
          <w:color w:val="auto"/>
          <w:lang w:val="sq-AL"/>
        </w:rPr>
        <w:t>Përdorues Rrugorë më të Sigurt</w:t>
      </w:r>
      <w:bookmarkEnd w:id="161"/>
    </w:p>
    <w:p w14:paraId="26400B83" w14:textId="20F72E29" w:rsidR="00A73428" w:rsidRPr="00B907A3" w:rsidRDefault="00CC0A23" w:rsidP="008C4E07">
      <w:pPr>
        <w:pStyle w:val="NormalWeb"/>
        <w:spacing w:line="240" w:lineRule="auto"/>
        <w:ind w:firstLine="284"/>
        <w:jc w:val="both"/>
        <w:rPr>
          <w:rFonts w:ascii="Garamond" w:eastAsia="Calibri" w:hAnsi="Garamond"/>
          <w:spacing w:val="-2"/>
          <w:w w:val="105"/>
          <w:sz w:val="24"/>
          <w:lang w:val="sq-AL" w:eastAsia="en-US"/>
        </w:rPr>
      </w:pPr>
      <w:r w:rsidRPr="00B907A3">
        <w:rPr>
          <w:rFonts w:ascii="Garamond" w:eastAsia="Calibri" w:hAnsi="Garamond"/>
          <w:spacing w:val="-2"/>
          <w:w w:val="105"/>
          <w:sz w:val="24"/>
          <w:lang w:val="sq-AL" w:eastAsia="en-US"/>
        </w:rPr>
        <w:t>Nëse Qasja e Sistemit të Sigurt</w:t>
      </w:r>
      <w:r w:rsidR="002A1CC6" w:rsidRPr="00B907A3">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 xml:space="preserve">pranohet dhe integrohet në Strategjinë </w:t>
      </w:r>
      <w:r w:rsidR="002A1CC6" w:rsidRPr="00B907A3">
        <w:rPr>
          <w:rFonts w:ascii="Garamond" w:eastAsia="Calibri" w:hAnsi="Garamond"/>
          <w:spacing w:val="-2"/>
          <w:w w:val="105"/>
          <w:sz w:val="24"/>
          <w:lang w:val="sq-AL" w:eastAsia="en-US"/>
        </w:rPr>
        <w:t>pë</w:t>
      </w:r>
      <w:r w:rsidR="005C1DD9">
        <w:rPr>
          <w:rFonts w:ascii="Garamond" w:eastAsia="Calibri" w:hAnsi="Garamond"/>
          <w:spacing w:val="-2"/>
          <w:w w:val="105"/>
          <w:sz w:val="24"/>
          <w:lang w:val="sq-AL" w:eastAsia="en-US"/>
        </w:rPr>
        <w:t>r</w:t>
      </w:r>
      <w:r w:rsidR="002A1CC6" w:rsidRPr="00B907A3">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Siguri</w:t>
      </w:r>
      <w:r w:rsidR="002A1CC6" w:rsidRPr="00B907A3">
        <w:rPr>
          <w:rFonts w:ascii="Garamond" w:eastAsia="Calibri" w:hAnsi="Garamond"/>
          <w:spacing w:val="-2"/>
          <w:w w:val="105"/>
          <w:sz w:val="24"/>
          <w:lang w:val="sq-AL" w:eastAsia="en-US"/>
        </w:rPr>
        <w:t>n</w:t>
      </w:r>
      <w:r w:rsidRPr="00B907A3">
        <w:rPr>
          <w:rFonts w:ascii="Garamond" w:eastAsia="Calibri" w:hAnsi="Garamond"/>
          <w:spacing w:val="-2"/>
          <w:w w:val="105"/>
          <w:sz w:val="24"/>
          <w:lang w:val="sq-AL" w:eastAsia="en-US"/>
        </w:rPr>
        <w:t>ë Rrugore (SSR</w:t>
      </w:r>
      <w:r w:rsidR="002A1CC6" w:rsidRPr="00B907A3">
        <w:rPr>
          <w:rFonts w:ascii="Garamond" w:eastAsia="Calibri" w:hAnsi="Garamond"/>
          <w:spacing w:val="-2"/>
          <w:w w:val="105"/>
          <w:sz w:val="24"/>
          <w:lang w:val="sq-AL" w:eastAsia="en-US"/>
        </w:rPr>
        <w:t>R</w:t>
      </w:r>
      <w:r w:rsidRPr="00B907A3">
        <w:rPr>
          <w:rFonts w:ascii="Garamond" w:eastAsia="Calibri" w:hAnsi="Garamond"/>
          <w:spacing w:val="-2"/>
          <w:w w:val="105"/>
          <w:sz w:val="24"/>
          <w:lang w:val="sq-AL" w:eastAsia="en-US"/>
        </w:rPr>
        <w:t xml:space="preserve">), veçanërisht në tre </w:t>
      </w:r>
      <w:r w:rsidR="003F232B" w:rsidRPr="00B907A3">
        <w:rPr>
          <w:rFonts w:ascii="Garamond" w:eastAsia="Calibri" w:hAnsi="Garamond"/>
          <w:spacing w:val="-2"/>
          <w:w w:val="105"/>
          <w:sz w:val="24"/>
          <w:lang w:val="sq-AL" w:eastAsia="en-US"/>
        </w:rPr>
        <w:t>komponentët</w:t>
      </w:r>
      <w:r w:rsidRPr="00B907A3">
        <w:rPr>
          <w:rFonts w:ascii="Garamond" w:eastAsia="Calibri" w:hAnsi="Garamond"/>
          <w:spacing w:val="-2"/>
          <w:w w:val="105"/>
          <w:sz w:val="24"/>
          <w:lang w:val="sq-AL" w:eastAsia="en-US"/>
        </w:rPr>
        <w:t xml:space="preserve"> e par</w:t>
      </w:r>
      <w:r w:rsidR="000B23F9" w:rsidRPr="00B907A3">
        <w:rPr>
          <w:rFonts w:ascii="Garamond" w:eastAsia="Calibri" w:hAnsi="Garamond"/>
          <w:spacing w:val="-2"/>
          <w:w w:val="105"/>
          <w:sz w:val="24"/>
          <w:lang w:val="sq-AL" w:eastAsia="en-US"/>
        </w:rPr>
        <w:t>ë</w:t>
      </w:r>
      <w:r w:rsidRPr="00B907A3">
        <w:rPr>
          <w:rFonts w:ascii="Garamond" w:eastAsia="Calibri" w:hAnsi="Garamond"/>
          <w:spacing w:val="-2"/>
          <w:w w:val="105"/>
          <w:sz w:val="24"/>
          <w:lang w:val="sq-AL" w:eastAsia="en-US"/>
        </w:rPr>
        <w:t xml:space="preserve"> të sigurisë rrugore, mund të reduktohet </w:t>
      </w:r>
      <w:r w:rsidR="00AF794A" w:rsidRPr="00B907A3">
        <w:rPr>
          <w:rFonts w:ascii="Garamond" w:eastAsia="Calibri" w:hAnsi="Garamond"/>
          <w:spacing w:val="-2"/>
          <w:w w:val="105"/>
          <w:sz w:val="24"/>
          <w:lang w:val="sq-AL" w:eastAsia="en-US"/>
        </w:rPr>
        <w:t>probabiliteti</w:t>
      </w:r>
      <w:r w:rsidRPr="00B907A3">
        <w:rPr>
          <w:rFonts w:ascii="Garamond" w:eastAsia="Calibri" w:hAnsi="Garamond"/>
          <w:spacing w:val="-2"/>
          <w:w w:val="105"/>
          <w:sz w:val="24"/>
          <w:lang w:val="sq-AL" w:eastAsia="en-US"/>
        </w:rPr>
        <w:t xml:space="preserve"> dhe </w:t>
      </w:r>
      <w:r w:rsidR="002A1CC6" w:rsidRPr="00B907A3">
        <w:rPr>
          <w:rFonts w:ascii="Garamond" w:eastAsia="Calibri" w:hAnsi="Garamond"/>
          <w:spacing w:val="-2"/>
          <w:w w:val="105"/>
          <w:sz w:val="24"/>
          <w:lang w:val="sq-AL" w:eastAsia="en-US"/>
        </w:rPr>
        <w:t xml:space="preserve">shkalla </w:t>
      </w:r>
      <w:r w:rsidRPr="00B907A3">
        <w:rPr>
          <w:rFonts w:ascii="Garamond" w:eastAsia="Calibri" w:hAnsi="Garamond"/>
          <w:spacing w:val="-2"/>
          <w:w w:val="105"/>
          <w:sz w:val="24"/>
          <w:lang w:val="sq-AL" w:eastAsia="en-US"/>
        </w:rPr>
        <w:t>e aksidenteve. Megjithëse ka pasur përparime në infrastrukturë dhe në zbatimin e ligjit, numri</w:t>
      </w:r>
      <w:r w:rsidR="002A1CC6" w:rsidRPr="00B907A3">
        <w:rPr>
          <w:rFonts w:ascii="Garamond" w:eastAsia="Calibri" w:hAnsi="Garamond"/>
          <w:spacing w:val="-2"/>
          <w:w w:val="105"/>
          <w:sz w:val="24"/>
          <w:lang w:val="sq-AL" w:eastAsia="en-US"/>
        </w:rPr>
        <w:t xml:space="preserve"> ende i lart</w:t>
      </w:r>
      <w:r w:rsidRPr="00B907A3">
        <w:rPr>
          <w:rFonts w:ascii="Garamond" w:eastAsia="Calibri" w:hAnsi="Garamond"/>
          <w:spacing w:val="-2"/>
          <w:w w:val="105"/>
          <w:sz w:val="24"/>
          <w:lang w:val="sq-AL" w:eastAsia="en-US"/>
        </w:rPr>
        <w:t>ë</w:t>
      </w:r>
      <w:r w:rsidR="002A1CC6" w:rsidRPr="00B907A3">
        <w:rPr>
          <w:rFonts w:ascii="Garamond" w:eastAsia="Calibri" w:hAnsi="Garamond"/>
          <w:spacing w:val="-2"/>
          <w:w w:val="105"/>
          <w:sz w:val="24"/>
          <w:lang w:val="sq-AL" w:eastAsia="en-US"/>
        </w:rPr>
        <w:t xml:space="preserve"> i</w:t>
      </w:r>
      <w:r w:rsidRPr="00B907A3">
        <w:rPr>
          <w:rFonts w:ascii="Garamond" w:eastAsia="Calibri" w:hAnsi="Garamond"/>
          <w:spacing w:val="-2"/>
          <w:w w:val="105"/>
          <w:sz w:val="24"/>
          <w:lang w:val="sq-AL" w:eastAsia="en-US"/>
        </w:rPr>
        <w:t xml:space="preserve"> aksidenteve rrugore në Shqipëri nënvizon nevojën për masa shtesë sigurie</w:t>
      </w:r>
      <w:r w:rsidR="00B432C8" w:rsidRPr="00B907A3">
        <w:rPr>
          <w:rFonts w:ascii="Garamond" w:eastAsia="Calibri" w:hAnsi="Garamond"/>
          <w:spacing w:val="-2"/>
          <w:w w:val="105"/>
          <w:sz w:val="24"/>
          <w:lang w:val="sq-AL" w:eastAsia="en-US"/>
        </w:rPr>
        <w:t>,</w:t>
      </w:r>
      <w:r w:rsidR="005C1DD9">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veçanërisht për të mbrojtur pasagjerët dhe përdoruesit e rrugës më të rrezikuar, si këmbësorët, çiklistët dhe motoristët, të cilët përbëjnë shumicën e viktimave dhe të lënduarve.</w:t>
      </w:r>
      <w:r w:rsidR="00B432C8" w:rsidRPr="00B907A3">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 xml:space="preserve">Faktorët kryesorë që kontribuojnë përfshijnë tejkalimin e shpejtësisë, drejtimin e pakujdesshëm dhe nën efektin e alkoolit, përdorimin e telefonit gjatë drejtimit, përdorimin e ulët të pajisjeve të sigurisë dhe sjellje </w:t>
      </w:r>
      <w:r w:rsidR="00B432C8" w:rsidRPr="00B907A3">
        <w:rPr>
          <w:rFonts w:ascii="Garamond" w:eastAsia="Calibri" w:hAnsi="Garamond"/>
          <w:spacing w:val="-2"/>
          <w:w w:val="105"/>
          <w:sz w:val="24"/>
          <w:lang w:val="sq-AL" w:eastAsia="en-US"/>
        </w:rPr>
        <w:t xml:space="preserve">jo </w:t>
      </w:r>
      <w:r w:rsidRPr="00B907A3">
        <w:rPr>
          <w:rFonts w:ascii="Garamond" w:eastAsia="Calibri" w:hAnsi="Garamond"/>
          <w:spacing w:val="-2"/>
          <w:w w:val="105"/>
          <w:sz w:val="24"/>
          <w:lang w:val="sq-AL" w:eastAsia="en-US"/>
        </w:rPr>
        <w:t>të sigurta që burojnë nga mungesa e respektit të ndërsjellë, shpërfillja e rregullave dhe ndërgjegjësimi i pamjaftueshëm për r</w:t>
      </w:r>
      <w:r w:rsidR="002A1CC6" w:rsidRPr="00B907A3">
        <w:rPr>
          <w:rFonts w:ascii="Garamond" w:eastAsia="Calibri" w:hAnsi="Garamond"/>
          <w:spacing w:val="-2"/>
          <w:w w:val="105"/>
          <w:sz w:val="24"/>
          <w:lang w:val="sq-AL" w:eastAsia="en-US"/>
        </w:rPr>
        <w:t>iskun</w:t>
      </w:r>
      <w:r w:rsidRPr="00B907A3">
        <w:rPr>
          <w:rFonts w:ascii="Garamond" w:eastAsia="Calibri" w:hAnsi="Garamond"/>
          <w:spacing w:val="-2"/>
          <w:w w:val="105"/>
          <w:sz w:val="24"/>
          <w:lang w:val="sq-AL" w:eastAsia="en-US"/>
        </w:rPr>
        <w:t>, si nga drejtuesit (të rinj dhe të moshuar) ashtu edhe nga përdoruesit</w:t>
      </w:r>
      <w:r w:rsidR="00B432C8" w:rsidRPr="00B907A3">
        <w:rPr>
          <w:rFonts w:ascii="Garamond" w:eastAsia="Calibri" w:hAnsi="Garamond"/>
          <w:spacing w:val="-2"/>
          <w:w w:val="105"/>
          <w:sz w:val="24"/>
          <w:lang w:val="sq-AL" w:eastAsia="en-US"/>
        </w:rPr>
        <w:t xml:space="preserve"> e rrezikuar </w:t>
      </w:r>
      <w:r w:rsidRPr="00B907A3">
        <w:rPr>
          <w:rFonts w:ascii="Garamond" w:eastAsia="Calibri" w:hAnsi="Garamond"/>
          <w:spacing w:val="-2"/>
          <w:w w:val="105"/>
          <w:sz w:val="24"/>
          <w:lang w:val="sq-AL" w:eastAsia="en-US"/>
        </w:rPr>
        <w:t>të rrugës.</w:t>
      </w:r>
      <w:r w:rsidR="00C916DB" w:rsidRPr="00B907A3">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Në çdo rast, aksidentet që rezultojnë nga sjellje të rrezikshme të qëllimshme mund t</w:t>
      </w:r>
      <w:r w:rsidR="00B432C8" w:rsidRPr="00B907A3">
        <w:rPr>
          <w:rFonts w:ascii="Garamond" w:eastAsia="Calibri" w:hAnsi="Garamond"/>
          <w:spacing w:val="-2"/>
          <w:w w:val="105"/>
          <w:sz w:val="24"/>
          <w:lang w:val="sq-AL" w:eastAsia="en-US"/>
        </w:rPr>
        <w:t xml:space="preserve">ë </w:t>
      </w:r>
      <w:r w:rsidRPr="00B907A3">
        <w:rPr>
          <w:rFonts w:ascii="Garamond" w:eastAsia="Calibri" w:hAnsi="Garamond"/>
          <w:spacing w:val="-2"/>
          <w:w w:val="105"/>
          <w:sz w:val="24"/>
          <w:lang w:val="sq-AL" w:eastAsia="en-US"/>
        </w:rPr>
        <w:t xml:space="preserve">parandalohen përmes edukimit të përdoruesve të rrugës për të bërë zgjedhje më të sigurta. Në fakt, përdorimi i sigurt i rrugës përfshin një sërë sjelljesh të sigurta që identifikohen përmes disa </w:t>
      </w:r>
      <w:r w:rsidR="00845A95" w:rsidRPr="00B907A3">
        <w:rPr>
          <w:rFonts w:ascii="Garamond" w:eastAsia="Calibri" w:hAnsi="Garamond"/>
          <w:spacing w:val="-2"/>
          <w:w w:val="105"/>
          <w:sz w:val="24"/>
          <w:lang w:val="sq-AL" w:eastAsia="en-US"/>
        </w:rPr>
        <w:t>tregue</w:t>
      </w:r>
      <w:r w:rsidR="0002766E" w:rsidRPr="00B907A3">
        <w:rPr>
          <w:rFonts w:ascii="Garamond" w:eastAsia="Calibri" w:hAnsi="Garamond"/>
          <w:spacing w:val="-2"/>
          <w:w w:val="105"/>
          <w:sz w:val="24"/>
          <w:lang w:val="sq-AL" w:eastAsia="en-US"/>
        </w:rPr>
        <w:t>s</w:t>
      </w:r>
      <w:r w:rsidR="009549DB" w:rsidRPr="00B907A3">
        <w:rPr>
          <w:rFonts w:ascii="Garamond" w:eastAsia="Calibri" w:hAnsi="Garamond"/>
          <w:spacing w:val="-2"/>
          <w:w w:val="105"/>
          <w:sz w:val="24"/>
          <w:lang w:val="sq-AL" w:eastAsia="en-US"/>
        </w:rPr>
        <w:t>ve ky</w:t>
      </w:r>
      <w:r w:rsidR="0002766E" w:rsidRPr="00B907A3">
        <w:rPr>
          <w:rFonts w:ascii="Garamond" w:eastAsia="Calibri" w:hAnsi="Garamond"/>
          <w:spacing w:val="-2"/>
          <w:w w:val="105"/>
          <w:sz w:val="24"/>
          <w:lang w:val="sq-AL" w:eastAsia="en-US"/>
        </w:rPr>
        <w:t>ç</w:t>
      </w:r>
      <w:r w:rsidR="009549DB" w:rsidRPr="00B907A3">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të performancës (</w:t>
      </w:r>
      <w:r w:rsidR="0002766E" w:rsidRPr="00B907A3">
        <w:rPr>
          <w:rFonts w:ascii="Garamond" w:eastAsia="Calibri" w:hAnsi="Garamond"/>
          <w:spacing w:val="-2"/>
          <w:w w:val="105"/>
          <w:sz w:val="24"/>
          <w:lang w:val="sq-AL" w:eastAsia="en-US"/>
        </w:rPr>
        <w:t>T</w:t>
      </w:r>
      <w:r w:rsidR="009549DB" w:rsidRPr="00B907A3">
        <w:rPr>
          <w:rFonts w:ascii="Garamond" w:eastAsia="Calibri" w:hAnsi="Garamond"/>
          <w:spacing w:val="-2"/>
          <w:w w:val="105"/>
          <w:sz w:val="24"/>
          <w:lang w:val="sq-AL" w:eastAsia="en-US"/>
        </w:rPr>
        <w:t>KP</w:t>
      </w:r>
      <w:r w:rsidRPr="00B907A3">
        <w:rPr>
          <w:rFonts w:ascii="Garamond" w:eastAsia="Calibri" w:hAnsi="Garamond"/>
          <w:spacing w:val="-2"/>
          <w:w w:val="105"/>
          <w:sz w:val="24"/>
          <w:lang w:val="sq-AL" w:eastAsia="en-US"/>
        </w:rPr>
        <w:t xml:space="preserve">), si: respektimi i kufijve të shpejtësisë, përdorimi i rripit të sigurimit, përdorimi i pajisjeve mbrojtëse, pajtueshmëria me kufizimet ndaj alkoolit dhe shmangia e </w:t>
      </w:r>
      <w:r w:rsidR="005C1DD9" w:rsidRPr="00B907A3">
        <w:rPr>
          <w:rFonts w:ascii="Garamond" w:eastAsia="Calibri" w:hAnsi="Garamond"/>
          <w:spacing w:val="-2"/>
          <w:w w:val="105"/>
          <w:sz w:val="24"/>
          <w:lang w:val="sq-AL" w:eastAsia="en-US"/>
        </w:rPr>
        <w:t>shpërqendrimit</w:t>
      </w:r>
      <w:r w:rsidRPr="00B907A3">
        <w:rPr>
          <w:rFonts w:ascii="Garamond" w:eastAsia="Calibri" w:hAnsi="Garamond"/>
          <w:spacing w:val="-2"/>
          <w:w w:val="105"/>
          <w:sz w:val="24"/>
          <w:lang w:val="sq-AL" w:eastAsia="en-US"/>
        </w:rPr>
        <w:t>.</w:t>
      </w:r>
      <w:r w:rsidR="008866AC" w:rsidRPr="00B907A3">
        <w:rPr>
          <w:rFonts w:ascii="Garamond" w:eastAsia="Calibri" w:hAnsi="Garamond"/>
          <w:spacing w:val="-2"/>
          <w:w w:val="105"/>
          <w:sz w:val="24"/>
          <w:lang w:val="sq-AL" w:eastAsia="en-US"/>
        </w:rPr>
        <w:t xml:space="preserve"> </w:t>
      </w:r>
      <w:r w:rsidRPr="00B907A3">
        <w:rPr>
          <w:rFonts w:ascii="Garamond" w:eastAsia="Calibri" w:hAnsi="Garamond"/>
          <w:spacing w:val="-2"/>
          <w:w w:val="105"/>
          <w:sz w:val="24"/>
          <w:lang w:val="sq-AL" w:eastAsia="en-US"/>
        </w:rPr>
        <w:t xml:space="preserve">Për të arritur rezultatin specifik që lidhet me </w:t>
      </w:r>
      <w:r w:rsidR="00596EF9" w:rsidRPr="00B907A3">
        <w:rPr>
          <w:rFonts w:ascii="Garamond" w:eastAsia="Calibri" w:hAnsi="Garamond"/>
          <w:spacing w:val="-2"/>
          <w:w w:val="105"/>
          <w:sz w:val="24"/>
          <w:lang w:val="sq-AL" w:eastAsia="en-US"/>
        </w:rPr>
        <w:t>komponentin</w:t>
      </w:r>
      <w:r w:rsidRPr="00B907A3">
        <w:rPr>
          <w:rFonts w:ascii="Garamond" w:eastAsia="Calibri" w:hAnsi="Garamond"/>
          <w:spacing w:val="-2"/>
          <w:w w:val="105"/>
          <w:sz w:val="24"/>
          <w:lang w:val="sq-AL" w:eastAsia="en-US"/>
        </w:rPr>
        <w:t xml:space="preserve"> 4, është e nevojshme të monitorohen </w:t>
      </w:r>
      <w:r w:rsidR="00596EF9" w:rsidRPr="00B907A3">
        <w:rPr>
          <w:rFonts w:ascii="Garamond" w:eastAsia="Calibri" w:hAnsi="Garamond"/>
          <w:spacing w:val="-2"/>
          <w:w w:val="105"/>
          <w:sz w:val="24"/>
          <w:lang w:val="sq-AL" w:eastAsia="en-US"/>
        </w:rPr>
        <w:t>T</w:t>
      </w:r>
      <w:r w:rsidR="009549DB" w:rsidRPr="00B907A3">
        <w:rPr>
          <w:rFonts w:ascii="Garamond" w:eastAsia="Calibri" w:hAnsi="Garamond"/>
          <w:spacing w:val="-2"/>
          <w:w w:val="105"/>
          <w:sz w:val="24"/>
          <w:lang w:val="sq-AL" w:eastAsia="en-US"/>
        </w:rPr>
        <w:t>KP</w:t>
      </w:r>
      <w:r w:rsidRPr="00B907A3">
        <w:rPr>
          <w:rFonts w:ascii="Garamond" w:eastAsia="Calibri" w:hAnsi="Garamond"/>
          <w:spacing w:val="-2"/>
          <w:w w:val="105"/>
          <w:sz w:val="24"/>
          <w:lang w:val="sq-AL" w:eastAsia="en-US"/>
        </w:rPr>
        <w:t>-të, si edhe qëndrimet e përdoruesve ndaj sjelljeve të rrezikshme në trafik dhe të zbatohen ndërhyrje dhe masa të përshtatshme të fokusuara në grupet specifike të përdoruesve të rrugës</w:t>
      </w:r>
      <w:r w:rsidR="00ED2D2A" w:rsidRPr="00B907A3">
        <w:rPr>
          <w:rFonts w:ascii="Garamond" w:eastAsia="Calibri" w:hAnsi="Garamond"/>
          <w:spacing w:val="-2"/>
          <w:w w:val="105"/>
          <w:sz w:val="24"/>
          <w:lang w:val="sq-AL" w:eastAsia="en-US"/>
        </w:rPr>
        <w:t xml:space="preserve">. </w:t>
      </w:r>
    </w:p>
    <w:p w14:paraId="4D31E408" w14:textId="77777777" w:rsidR="00A73428" w:rsidRPr="00B907A3" w:rsidRDefault="00A73428" w:rsidP="008C4E07">
      <w:pPr>
        <w:pStyle w:val="NormalWeb"/>
        <w:spacing w:line="240" w:lineRule="auto"/>
        <w:ind w:firstLine="284"/>
        <w:jc w:val="both"/>
        <w:rPr>
          <w:rFonts w:ascii="Garamond" w:eastAsia="Calibri" w:hAnsi="Garamond"/>
          <w:spacing w:val="-2"/>
          <w:w w:val="105"/>
          <w:sz w:val="24"/>
          <w:lang w:val="sq-AL" w:eastAsia="en-US"/>
        </w:rPr>
      </w:pPr>
    </w:p>
    <w:p w14:paraId="540D7953" w14:textId="1C655FBF" w:rsidR="00A73428" w:rsidRPr="00B907A3" w:rsidRDefault="00A73428" w:rsidP="008C4E07">
      <w:pPr>
        <w:pStyle w:val="NormalWeb"/>
        <w:spacing w:line="240" w:lineRule="auto"/>
        <w:ind w:firstLine="284"/>
        <w:jc w:val="center"/>
        <w:rPr>
          <w:rFonts w:ascii="Garamond" w:eastAsia="Calibri" w:hAnsi="Garamond"/>
          <w:spacing w:val="-2"/>
          <w:w w:val="105"/>
          <w:sz w:val="24"/>
          <w:lang w:val="sq-AL" w:eastAsia="en-US"/>
        </w:rPr>
      </w:pPr>
      <w:r w:rsidRPr="00B907A3">
        <w:rPr>
          <w:rFonts w:ascii="Garamond" w:eastAsia="Calibri" w:hAnsi="Garamond"/>
          <w:noProof/>
          <w:spacing w:val="-2"/>
          <w:w w:val="105"/>
          <w:sz w:val="24"/>
          <w:lang w:val="sq-AL" w:eastAsia="sq-AL"/>
        </w:rPr>
        <w:drawing>
          <wp:inline distT="0" distB="0" distL="0" distR="0" wp14:anchorId="7816D1F7" wp14:editId="3B7BC119">
            <wp:extent cx="4324350" cy="2449777"/>
            <wp:effectExtent l="0" t="0" r="0" b="8255"/>
            <wp:docPr id="124124022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240226" name="Picture 1241240226"/>
                    <pic:cNvPicPr/>
                  </pic:nvPicPr>
                  <pic:blipFill rotWithShape="1">
                    <a:blip r:embed="rId33">
                      <a:extLst>
                        <a:ext uri="{28A0092B-C50C-407E-A947-70E740481C1C}">
                          <a14:useLocalDpi xmlns:a14="http://schemas.microsoft.com/office/drawing/2010/main" val="0"/>
                        </a:ext>
                      </a:extLst>
                    </a:blip>
                    <a:srcRect l="-208" t="17030" r="208" b="36478"/>
                    <a:stretch>
                      <a:fillRect/>
                    </a:stretch>
                  </pic:blipFill>
                  <pic:spPr bwMode="auto">
                    <a:xfrm>
                      <a:off x="0" y="0"/>
                      <a:ext cx="4341641" cy="2459572"/>
                    </a:xfrm>
                    <a:prstGeom prst="rect">
                      <a:avLst/>
                    </a:prstGeom>
                    <a:ln>
                      <a:noFill/>
                    </a:ln>
                    <a:extLst>
                      <a:ext uri="{53640926-AAD7-44D8-BBD7-CCE9431645EC}">
                        <a14:shadowObscured xmlns:a14="http://schemas.microsoft.com/office/drawing/2010/main"/>
                      </a:ext>
                    </a:extLst>
                  </pic:spPr>
                </pic:pic>
              </a:graphicData>
            </a:graphic>
          </wp:inline>
        </w:drawing>
      </w:r>
    </w:p>
    <w:p w14:paraId="5243B600" w14:textId="624D4877" w:rsidR="00947263" w:rsidRPr="00B907A3" w:rsidRDefault="00C916DB" w:rsidP="008C4E07">
      <w:pPr>
        <w:pStyle w:val="NormalWeb"/>
        <w:spacing w:line="240" w:lineRule="auto"/>
        <w:ind w:firstLine="284"/>
        <w:jc w:val="both"/>
        <w:rPr>
          <w:rFonts w:ascii="Garamond" w:eastAsia="Calibri" w:hAnsi="Garamond"/>
          <w:spacing w:val="-2"/>
          <w:w w:val="105"/>
          <w:sz w:val="24"/>
          <w:lang w:val="sq-AL" w:eastAsia="en-US"/>
        </w:rPr>
      </w:pPr>
      <w:r w:rsidRPr="00B907A3">
        <w:rPr>
          <w:rFonts w:ascii="Garamond" w:eastAsia="Calibri" w:hAnsi="Garamond"/>
          <w:spacing w:val="-2"/>
          <w:w w:val="105"/>
          <w:sz w:val="24"/>
          <w:lang w:val="sq-AL" w:eastAsia="en-US"/>
        </w:rPr>
        <w:t>Prandaj, në paragrafët më poshtë identifikohen disa fusha strategjike për përmirësime.</w:t>
      </w:r>
    </w:p>
    <w:p w14:paraId="3AF3E8AC" w14:textId="769A1025" w:rsidR="00BA09A9"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62" w:name="_Toc208840594"/>
      <w:r w:rsidRPr="00B907A3">
        <w:rPr>
          <w:rFonts w:ascii="Garamond" w:hAnsi="Garamond"/>
          <w:color w:val="auto"/>
          <w:lang w:val="sq-AL"/>
        </w:rPr>
        <w:t xml:space="preserve">5.4.1 </w:t>
      </w:r>
      <w:r w:rsidR="00C916DB" w:rsidRPr="00B907A3">
        <w:rPr>
          <w:rFonts w:ascii="Garamond" w:hAnsi="Garamond"/>
          <w:color w:val="auto"/>
          <w:lang w:val="sq-AL"/>
        </w:rPr>
        <w:t>Përmirësime në sistemin e edukimit për sigurinë rrugore</w:t>
      </w:r>
      <w:bookmarkEnd w:id="162"/>
    </w:p>
    <w:p w14:paraId="21B1868F" w14:textId="24C45DBA" w:rsidR="00C916DB" w:rsidRPr="00B907A3" w:rsidRDefault="00C916DB" w:rsidP="008C4E07">
      <w:pPr>
        <w:spacing w:after="0"/>
        <w:ind w:firstLine="284"/>
        <w:rPr>
          <w:rFonts w:ascii="Garamond" w:hAnsi="Garamond"/>
          <w:sz w:val="24"/>
          <w:lang w:eastAsia="sl-SI"/>
        </w:rPr>
      </w:pPr>
      <w:r w:rsidRPr="00B907A3">
        <w:rPr>
          <w:rFonts w:ascii="Garamond" w:hAnsi="Garamond"/>
          <w:sz w:val="24"/>
          <w:lang w:eastAsia="sl-SI"/>
        </w:rPr>
        <w:t xml:space="preserve">Edukimi për sigurinë rrugore bazohet në spektrin e masave që zhvillojnë dhe përmirësojnë njohuritë, qëndrimet dhe sjelljet (aftësitë), të cilat janë thelbësore për pjesëmarrje të sigurt në trafik. Ky sistem duhet të mbulojë përdoruesit e rrugës që nga moshat e vogla (fëmijët e moshës parashkollore dhe shkollore), pastaj të rinjtë, të rriturit dhe veçanërisht ata që janë prindër ose kujdestarë, si dhe pjesëmarrësit më të vjetër në </w:t>
      </w:r>
      <w:r w:rsidR="009549DB" w:rsidRPr="00B907A3">
        <w:rPr>
          <w:rFonts w:ascii="Garamond" w:hAnsi="Garamond"/>
          <w:sz w:val="24"/>
          <w:lang w:eastAsia="sl-SI"/>
        </w:rPr>
        <w:t>qarkullim</w:t>
      </w:r>
      <w:r w:rsidRPr="00B907A3">
        <w:rPr>
          <w:rFonts w:ascii="Garamond" w:hAnsi="Garamond"/>
          <w:sz w:val="24"/>
          <w:lang w:eastAsia="sl-SI"/>
        </w:rPr>
        <w:t>. Përmirësimi i njohurive dhe krijimi i një qasje kritike ndaj sjelljeve të rrezikshme në trafik do të mundësojë zhvillimin e sjelljeve të sigurta të përdoruesve të rrugës. Kjo, në fund të fundit, do të çojë në uljen e aksidenteve dhe pasojave të tyre për të gjithë përdoruesit e rrugës dhe ekonominë si të tillë. Për të arritur rezultatet e dëshiruara, edukimi dhe trajnimi për sigurinë rrugore duhet të kryhet vazhdimisht. Kurrikulat dhe programet e sigurisë rrugore në disa pjesë do të përmirësohen dhe zhvillohen (p.sh., në institucionet parashkollore dhe shkollore, më shumë vëmendje do të përqendrohet në trajnimet praktike të cilat do</w:t>
      </w:r>
      <w:r w:rsidR="00887CC6">
        <w:rPr>
          <w:rFonts w:ascii="Garamond" w:hAnsi="Garamond"/>
          <w:sz w:val="24"/>
          <w:lang w:eastAsia="sl-SI"/>
        </w:rPr>
        <w:t xml:space="preserve"> </w:t>
      </w:r>
      <w:r w:rsidR="00DB76F6">
        <w:rPr>
          <w:rFonts w:ascii="Garamond" w:hAnsi="Garamond"/>
          <w:sz w:val="24"/>
          <w:lang w:eastAsia="sl-SI"/>
        </w:rPr>
        <w:t>t’u</w:t>
      </w:r>
      <w:r w:rsidR="00887CC6">
        <w:rPr>
          <w:rFonts w:ascii="Garamond" w:hAnsi="Garamond"/>
          <w:sz w:val="24"/>
          <w:lang w:eastAsia="sl-SI"/>
        </w:rPr>
        <w:t xml:space="preserve"> </w:t>
      </w:r>
      <w:r w:rsidRPr="00B907A3">
        <w:rPr>
          <w:rFonts w:ascii="Garamond" w:hAnsi="Garamond"/>
          <w:sz w:val="24"/>
          <w:lang w:eastAsia="sl-SI"/>
        </w:rPr>
        <w:t>mundësojnë fëmijëve të fitojnë njohuri praktike, qëndrime dhe së fundmi zakone dhe sjellje pozitive të dëshiruara).</w:t>
      </w:r>
    </w:p>
    <w:p w14:paraId="0A9B5A50" w14:textId="36F6EA7F" w:rsidR="008D1353" w:rsidRPr="00B907A3" w:rsidRDefault="00C916DB" w:rsidP="008C4E07">
      <w:pPr>
        <w:spacing w:after="0"/>
        <w:ind w:firstLine="284"/>
        <w:rPr>
          <w:rFonts w:ascii="Garamond" w:hAnsi="Garamond"/>
          <w:sz w:val="24"/>
          <w:lang w:eastAsia="sl-SI"/>
        </w:rPr>
      </w:pPr>
      <w:r w:rsidRPr="00B907A3">
        <w:rPr>
          <w:rFonts w:ascii="Garamond" w:hAnsi="Garamond"/>
          <w:sz w:val="24"/>
          <w:lang w:eastAsia="sl-SI"/>
        </w:rPr>
        <w:t>Përdoruesit e mikro-</w:t>
      </w:r>
      <w:r w:rsidR="009549DB" w:rsidRPr="00B907A3">
        <w:rPr>
          <w:rFonts w:ascii="Garamond" w:hAnsi="Garamond"/>
          <w:sz w:val="24"/>
          <w:lang w:eastAsia="sl-SI"/>
        </w:rPr>
        <w:t xml:space="preserve">mobilitetit </w:t>
      </w:r>
      <w:r w:rsidRPr="00B907A3">
        <w:rPr>
          <w:rFonts w:ascii="Garamond" w:hAnsi="Garamond"/>
          <w:sz w:val="24"/>
          <w:lang w:eastAsia="sl-SI"/>
        </w:rPr>
        <w:t xml:space="preserve">(p.sh., biçikleta, biçikleta elektrike, </w:t>
      </w:r>
      <w:r w:rsidR="005C1DD9" w:rsidRPr="00B907A3">
        <w:rPr>
          <w:rFonts w:ascii="Garamond" w:hAnsi="Garamond"/>
          <w:sz w:val="24"/>
          <w:lang w:eastAsia="sl-SI"/>
        </w:rPr>
        <w:t>skuterë</w:t>
      </w:r>
      <w:r w:rsidRPr="00B907A3">
        <w:rPr>
          <w:rFonts w:ascii="Garamond" w:hAnsi="Garamond"/>
          <w:sz w:val="24"/>
          <w:lang w:eastAsia="sl-SI"/>
        </w:rPr>
        <w:t xml:space="preserve"> elektrikë, </w:t>
      </w:r>
      <w:r w:rsidRPr="00A021B5">
        <w:rPr>
          <w:rFonts w:ascii="Garamond" w:hAnsi="Garamond"/>
          <w:i/>
          <w:sz w:val="24"/>
          <w:lang w:eastAsia="sl-SI"/>
        </w:rPr>
        <w:t>skateboard</w:t>
      </w:r>
      <w:r w:rsidR="00162A19" w:rsidRPr="00A021B5">
        <w:rPr>
          <w:rFonts w:ascii="Garamond" w:hAnsi="Garamond"/>
          <w:i/>
          <w:sz w:val="24"/>
          <w:lang w:eastAsia="sl-SI"/>
        </w:rPr>
        <w:t>e</w:t>
      </w:r>
      <w:r w:rsidRPr="00B907A3">
        <w:rPr>
          <w:rFonts w:ascii="Garamond" w:hAnsi="Garamond"/>
          <w:sz w:val="24"/>
          <w:lang w:eastAsia="sl-SI"/>
        </w:rPr>
        <w:t xml:space="preserve"> dhe madje edhe automjete kompakte si mopedët, etj.) duhet të përfshihen gjithashtu në edukimin formal ose informal në lidhje me </w:t>
      </w:r>
      <w:r w:rsidR="009549DB" w:rsidRPr="00B907A3">
        <w:rPr>
          <w:rFonts w:ascii="Garamond" w:hAnsi="Garamond"/>
          <w:sz w:val="24"/>
          <w:lang w:eastAsia="sl-SI"/>
        </w:rPr>
        <w:t xml:space="preserve">risqet </w:t>
      </w:r>
      <w:r w:rsidRPr="00B907A3">
        <w:rPr>
          <w:rFonts w:ascii="Garamond" w:hAnsi="Garamond"/>
          <w:sz w:val="24"/>
          <w:lang w:eastAsia="sl-SI"/>
        </w:rPr>
        <w:t xml:space="preserve">më të zakonshme të identifikuara në </w:t>
      </w:r>
      <w:r w:rsidR="009549DB" w:rsidRPr="00B907A3">
        <w:rPr>
          <w:rFonts w:ascii="Garamond" w:hAnsi="Garamond"/>
          <w:sz w:val="24"/>
          <w:lang w:eastAsia="sl-SI"/>
        </w:rPr>
        <w:t xml:space="preserve">qarkullim </w:t>
      </w:r>
      <w:r w:rsidRPr="00B907A3">
        <w:rPr>
          <w:rFonts w:ascii="Garamond" w:hAnsi="Garamond"/>
          <w:sz w:val="24"/>
          <w:lang w:eastAsia="sl-SI"/>
        </w:rPr>
        <w:t xml:space="preserve">(shpejtësi, drejtim nën </w:t>
      </w:r>
      <w:r w:rsidRPr="00B907A3">
        <w:rPr>
          <w:rFonts w:ascii="Garamond" w:hAnsi="Garamond"/>
          <w:sz w:val="24"/>
          <w:lang w:eastAsia="sl-SI"/>
        </w:rPr>
        <w:lastRenderedPageBreak/>
        <w:t>ndikimin e alkoolit, mospërdorim i pajisjeve mbrojtëse, etj.) dhe sjelljet e duhura në rrugë, duke përfshirë shpejtësinë e sigurt dhe dhënien e përparësisë së kalimit.</w:t>
      </w:r>
    </w:p>
    <w:p w14:paraId="23E4B548" w14:textId="71B3285E" w:rsidR="00BA09A9"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63" w:name="_Toc208840595"/>
      <w:r w:rsidRPr="00B907A3">
        <w:rPr>
          <w:rFonts w:ascii="Garamond" w:hAnsi="Garamond"/>
          <w:color w:val="auto"/>
          <w:lang w:val="sq-AL"/>
        </w:rPr>
        <w:t xml:space="preserve">5.4.2 </w:t>
      </w:r>
      <w:r w:rsidR="00162A19" w:rsidRPr="00B907A3">
        <w:rPr>
          <w:rFonts w:ascii="Garamond" w:hAnsi="Garamond"/>
          <w:color w:val="auto"/>
          <w:lang w:val="sq-AL"/>
        </w:rPr>
        <w:t>Përmirësimi dhe intensifikimi i fushatave të ndërgjegjësimit parandalues</w:t>
      </w:r>
      <w:bookmarkEnd w:id="163"/>
    </w:p>
    <w:p w14:paraId="180B41C8" w14:textId="3973DE86" w:rsidR="00BA09A9" w:rsidRPr="00B907A3" w:rsidRDefault="00162A19"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Për të rritur sigurinë e përdoruesve të rrugës në nivelin më të lartë të mundshëm dhe për të arritur objektivat strategjikë dhe specifikë të përcaktuar, është e domosdoshme të përmirësohen aktivitetet parandaluese dhe promovuese të sigurisë rrugore, kryesisht përmes fushatave ndërgjegjësuese të dizajnuara mirë dhe me cilësi të lartë, të cilat synojnë grupet kryesore të përdoruesve me rrezik të lartë dhe sjelljet e rrezikshme. Përmes këtyre fushatave ndërgjegjësuese, pjesëmarrësit në </w:t>
      </w:r>
      <w:r w:rsidR="009549DB" w:rsidRPr="00B907A3">
        <w:rPr>
          <w:rFonts w:ascii="Garamond" w:hAnsi="Garamond"/>
          <w:sz w:val="24"/>
          <w:lang w:val="sq-AL" w:eastAsia="en-US"/>
        </w:rPr>
        <w:t xml:space="preserve">qarkullim </w:t>
      </w:r>
      <w:r w:rsidRPr="00B907A3">
        <w:rPr>
          <w:rFonts w:ascii="Garamond" w:hAnsi="Garamond"/>
          <w:sz w:val="24"/>
          <w:lang w:val="sq-AL" w:eastAsia="en-US"/>
        </w:rPr>
        <w:t>do të informohen mbi rregullat e reja të trafikut, rreziqet e reja dhe ekzistuese në</w:t>
      </w:r>
      <w:r w:rsidR="009549DB" w:rsidRPr="00B907A3">
        <w:rPr>
          <w:rFonts w:ascii="Garamond" w:hAnsi="Garamond"/>
          <w:sz w:val="24"/>
          <w:lang w:val="sq-AL" w:eastAsia="en-US"/>
        </w:rPr>
        <w:t xml:space="preserve"> qarkullim</w:t>
      </w:r>
      <w:r w:rsidRPr="00B907A3">
        <w:rPr>
          <w:rFonts w:ascii="Garamond" w:hAnsi="Garamond"/>
          <w:sz w:val="24"/>
          <w:lang w:val="sq-AL" w:eastAsia="en-US"/>
        </w:rPr>
        <w:t xml:space="preserve">, sistemet e reja në automjete, gjendjen e rrugëve dhe mjedisin rrugor. Për më tepër, do të promovohen sjellje pozitive në </w:t>
      </w:r>
      <w:r w:rsidR="009549DB" w:rsidRPr="00B907A3">
        <w:rPr>
          <w:rFonts w:ascii="Garamond" w:hAnsi="Garamond"/>
          <w:sz w:val="24"/>
          <w:lang w:val="sq-AL" w:eastAsia="en-US"/>
        </w:rPr>
        <w:t>rrug</w:t>
      </w:r>
      <w:r w:rsidR="009549DB" w:rsidRPr="00B907A3">
        <w:rPr>
          <w:rFonts w:ascii="Garamond" w:eastAsia="Calibri" w:hAnsi="Garamond"/>
          <w:spacing w:val="-2"/>
          <w:w w:val="105"/>
          <w:sz w:val="24"/>
          <w:lang w:val="sq-AL" w:eastAsia="en-US"/>
        </w:rPr>
        <w:t>ë</w:t>
      </w:r>
      <w:r w:rsidRPr="00B907A3">
        <w:rPr>
          <w:rFonts w:ascii="Garamond" w:hAnsi="Garamond"/>
          <w:sz w:val="24"/>
          <w:lang w:val="sq-AL" w:eastAsia="en-US"/>
        </w:rPr>
        <w:t>. Më saktë, do të zbatohen fushata sigurie rrugore të koordinuara, të bazuara në fakte dhe të dhëna, me mbështetje të qartë politike, institucionale, mediatike dhe veçanërisht të Policisë. Kjo do të çojë në ndryshime pozitive në sjelljen e pjesëmarrësve në trafik. Bashkëpunimi i mirë ndërmjet institucioneve kombëtare dhe komuniteteve vendore është thelbësor në procesin e edukimit dhe zbatimit të fushatave parandaluese për të përmirësuar sigurinë rrugore, pasi kjo ndihmon për të arritur në mënyrë më efikase një gamë më të gjerë përdoruesish të rrugës. Rekomandohet si shembull i një praktike të mire,</w:t>
      </w:r>
      <w:r w:rsidR="00887CC6">
        <w:rPr>
          <w:rFonts w:ascii="Garamond" w:hAnsi="Garamond"/>
          <w:sz w:val="24"/>
          <w:lang w:val="sq-AL" w:eastAsia="en-US"/>
        </w:rPr>
        <w:t xml:space="preserve"> </w:t>
      </w:r>
      <w:r w:rsidRPr="00B907A3">
        <w:rPr>
          <w:rFonts w:ascii="Garamond" w:hAnsi="Garamond"/>
          <w:sz w:val="24"/>
          <w:lang w:val="sq-AL" w:eastAsia="en-US"/>
        </w:rPr>
        <w:t xml:space="preserve">krijimi i </w:t>
      </w:r>
      <w:r w:rsidR="00085AA3" w:rsidRPr="00B907A3">
        <w:rPr>
          <w:rFonts w:ascii="Garamond" w:hAnsi="Garamond"/>
          <w:sz w:val="24"/>
          <w:lang w:val="sq-AL" w:eastAsia="en-US"/>
        </w:rPr>
        <w:t>grupeve</w:t>
      </w:r>
      <w:r w:rsidRPr="00B907A3">
        <w:rPr>
          <w:rFonts w:ascii="Garamond" w:hAnsi="Garamond"/>
          <w:sz w:val="24"/>
          <w:lang w:val="sq-AL" w:eastAsia="en-US"/>
        </w:rPr>
        <w:t xml:space="preserve"> vendor</w:t>
      </w:r>
      <w:r w:rsidR="00085AA3" w:rsidRPr="00B907A3">
        <w:rPr>
          <w:rFonts w:ascii="Garamond" w:hAnsi="Garamond"/>
          <w:sz w:val="24"/>
          <w:lang w:val="sq-AL" w:eastAsia="en-US"/>
        </w:rPr>
        <w:t>e</w:t>
      </w:r>
      <w:r w:rsidRPr="00B907A3">
        <w:rPr>
          <w:rFonts w:ascii="Garamond" w:hAnsi="Garamond"/>
          <w:sz w:val="24"/>
          <w:lang w:val="sq-AL" w:eastAsia="en-US"/>
        </w:rPr>
        <w:t xml:space="preserve"> për parandalimin dhe edukimin mbi sigurinë rrugore, të përbërë nga të gjithë aktorët e prekur në nivel lokal</w:t>
      </w:r>
      <w:r w:rsidR="00B65587" w:rsidRPr="00B907A3">
        <w:rPr>
          <w:rFonts w:ascii="Garamond" w:hAnsi="Garamond"/>
          <w:sz w:val="24"/>
          <w:lang w:val="sq-AL" w:eastAsia="en-US"/>
        </w:rPr>
        <w:t>.</w:t>
      </w:r>
    </w:p>
    <w:p w14:paraId="02E75919" w14:textId="3A29E15B" w:rsidR="00BA09A9"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64" w:name="_Toc208840596"/>
      <w:r w:rsidRPr="00B907A3">
        <w:rPr>
          <w:rFonts w:ascii="Garamond" w:hAnsi="Garamond"/>
          <w:color w:val="auto"/>
          <w:lang w:val="sq-AL"/>
        </w:rPr>
        <w:t xml:space="preserve">5.4.3 </w:t>
      </w:r>
      <w:r w:rsidR="00162A19" w:rsidRPr="00B907A3">
        <w:rPr>
          <w:rFonts w:ascii="Garamond" w:hAnsi="Garamond"/>
          <w:color w:val="auto"/>
          <w:lang w:val="sq-AL"/>
        </w:rPr>
        <w:t>Përmirësimi i sistemit të zbatimit</w:t>
      </w:r>
      <w:r w:rsidR="009549DB" w:rsidRPr="00B907A3">
        <w:rPr>
          <w:rFonts w:ascii="Garamond" w:hAnsi="Garamond"/>
          <w:color w:val="auto"/>
          <w:lang w:val="sq-AL"/>
        </w:rPr>
        <w:t xml:space="preserve"> të ligjit</w:t>
      </w:r>
      <w:bookmarkEnd w:id="164"/>
    </w:p>
    <w:p w14:paraId="198A2556" w14:textId="5C96416A" w:rsidR="000A0AC7" w:rsidRPr="00B907A3" w:rsidRDefault="00162A19" w:rsidP="008C4E07">
      <w:pPr>
        <w:spacing w:after="0"/>
        <w:ind w:firstLine="284"/>
        <w:rPr>
          <w:rFonts w:ascii="Garamond" w:hAnsi="Garamond"/>
          <w:sz w:val="24"/>
          <w:lang w:eastAsia="sl-SI"/>
        </w:rPr>
      </w:pPr>
      <w:r w:rsidRPr="00B907A3">
        <w:rPr>
          <w:rFonts w:ascii="Garamond" w:hAnsi="Garamond"/>
          <w:sz w:val="24"/>
          <w:lang w:eastAsia="sl-SI"/>
        </w:rPr>
        <w:t xml:space="preserve">Përveç edukimit të përdoruesve të rrugës, për të siguruar respektimin e standardeve ligjore ekzistuese që përshkruajnë rregullat e sjelljes në </w:t>
      </w:r>
      <w:r w:rsidR="009549DB" w:rsidRPr="00B907A3">
        <w:rPr>
          <w:rFonts w:ascii="Garamond" w:hAnsi="Garamond"/>
          <w:sz w:val="24"/>
          <w:lang w:eastAsia="sl-SI"/>
        </w:rPr>
        <w:t>qarkullim</w:t>
      </w:r>
      <w:r w:rsidRPr="00B907A3">
        <w:rPr>
          <w:rFonts w:ascii="Garamond" w:hAnsi="Garamond"/>
          <w:sz w:val="24"/>
          <w:lang w:eastAsia="sl-SI"/>
        </w:rPr>
        <w:t>, është e nevojshme të aplikohet sistemi i kontrollit rrugor me dukshmëri të lartë dhe të udhëhequr nga të dhëna inteligjente, me kapacitet të plotë (institucional dhe të lidhur me personelin).</w:t>
      </w:r>
      <w:r w:rsidR="00456540" w:rsidRPr="00B907A3">
        <w:rPr>
          <w:rFonts w:ascii="Garamond" w:hAnsi="Garamond"/>
          <w:sz w:val="24"/>
          <w:lang w:eastAsia="sl-SI"/>
        </w:rPr>
        <w:t xml:space="preserve"> </w:t>
      </w:r>
      <w:r w:rsidRPr="00B907A3">
        <w:rPr>
          <w:rFonts w:ascii="Garamond" w:hAnsi="Garamond"/>
          <w:sz w:val="24"/>
          <w:lang w:eastAsia="sl-SI"/>
        </w:rPr>
        <w:t>Në mënyrë që të gjithë përdoruesit e rrugës të përshtaten me një sistem të sjelljes së sigurt në rrugë, të bazuar në njohuri dhe qëndrime pozitive, nevojitet një ekuilibër midis zbatimit të masave që synojnë përmirësimin e njohurive dhe aftësive, nga njëra anë, dhe masave detyruese, nga ana tjetër.</w:t>
      </w:r>
      <w:r w:rsidR="00456540" w:rsidRPr="00B907A3">
        <w:rPr>
          <w:rFonts w:ascii="Garamond" w:hAnsi="Garamond"/>
          <w:sz w:val="24"/>
          <w:lang w:eastAsia="sl-SI"/>
        </w:rPr>
        <w:t xml:space="preserve"> </w:t>
      </w:r>
      <w:r w:rsidRPr="00B907A3">
        <w:rPr>
          <w:rFonts w:ascii="Garamond" w:hAnsi="Garamond"/>
          <w:sz w:val="24"/>
          <w:lang w:eastAsia="sl-SI"/>
        </w:rPr>
        <w:t>Masat detyruese i mundësojnë një numri më të vogël të përdoruesve të rrugës, të prirur për të kryer shkelje në</w:t>
      </w:r>
      <w:r w:rsidR="009549DB" w:rsidRPr="00B907A3">
        <w:rPr>
          <w:rFonts w:ascii="Garamond" w:hAnsi="Garamond"/>
          <w:sz w:val="24"/>
          <w:lang w:eastAsia="sl-SI"/>
        </w:rPr>
        <w:t xml:space="preserve"> qarkullim</w:t>
      </w:r>
      <w:r w:rsidRPr="00B907A3">
        <w:rPr>
          <w:rFonts w:ascii="Garamond" w:hAnsi="Garamond"/>
          <w:sz w:val="24"/>
          <w:lang w:eastAsia="sl-SI"/>
        </w:rPr>
        <w:t>, të ndryshojnë qëndrimet ose sjelljet e tyre ekzistuese përmes aplikimit të sanksioneve të përshtatshme që kanë karakter edukativ dhe parandalues.</w:t>
      </w:r>
      <w:r w:rsidR="009F1FB0" w:rsidRPr="00B907A3">
        <w:rPr>
          <w:rFonts w:ascii="Garamond" w:hAnsi="Garamond"/>
          <w:sz w:val="24"/>
          <w:lang w:eastAsia="sl-SI"/>
        </w:rPr>
        <w:t xml:space="preserve"> </w:t>
      </w:r>
      <w:r w:rsidRPr="00B907A3">
        <w:rPr>
          <w:rFonts w:ascii="Garamond" w:hAnsi="Garamond"/>
          <w:sz w:val="24"/>
          <w:lang w:eastAsia="sl-SI"/>
        </w:rPr>
        <w:t>Në këtë kuptim, është e nevojshme të përdoren masat detyruese për të rritur ndjesinë (r</w:t>
      </w:r>
      <w:r w:rsidR="009549DB" w:rsidRPr="00B907A3">
        <w:rPr>
          <w:rFonts w:ascii="Garamond" w:hAnsi="Garamond"/>
          <w:sz w:val="24"/>
          <w:lang w:eastAsia="sl-SI"/>
        </w:rPr>
        <w:t xml:space="preserve">iskun </w:t>
      </w:r>
      <w:r w:rsidRPr="00B907A3">
        <w:rPr>
          <w:rFonts w:ascii="Garamond" w:hAnsi="Garamond"/>
          <w:sz w:val="24"/>
          <w:lang w:eastAsia="sl-SI"/>
        </w:rPr>
        <w:t>subjektiv) te çdo përdorues i rrugës se një shkelje e mundshme do të zbulohet shpejt, do të dokumentohet qartë dhe më pas do të ndëshkohet shpejt, gjë që mund të arrihet, ndër të tjera, përmes përmirësimit të sistemit, mirëmbajtjes dhe përmirësimit të rregullave dhe sistemeve ekzistuese dhe instalimit të sistemeve të reja për zbulimin automatik të shkeljeve (p.sh., matja e shpejtësisë aktuale dhe mesatare, etj.).</w:t>
      </w:r>
    </w:p>
    <w:p w14:paraId="595F2D48" w14:textId="603C3416" w:rsidR="00BA09A9"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65" w:name="_Toc208840597"/>
      <w:r w:rsidRPr="00B907A3">
        <w:rPr>
          <w:rFonts w:ascii="Garamond" w:hAnsi="Garamond"/>
          <w:color w:val="auto"/>
          <w:lang w:val="sq-AL"/>
        </w:rPr>
        <w:t xml:space="preserve">5.4.4 </w:t>
      </w:r>
      <w:r w:rsidR="009F1FB0" w:rsidRPr="00B907A3">
        <w:rPr>
          <w:rFonts w:ascii="Garamond" w:hAnsi="Garamond"/>
          <w:color w:val="auto"/>
          <w:lang w:val="sq-AL"/>
        </w:rPr>
        <w:t>Monitorimi i nivelit të njohurive, qëndrimeve dhe sjelljes së sigurt të përdoruesve të rrugës</w:t>
      </w:r>
      <w:bookmarkEnd w:id="165"/>
    </w:p>
    <w:p w14:paraId="0A25C1D6" w14:textId="0FDBB02B" w:rsidR="00746694" w:rsidRPr="00B907A3" w:rsidRDefault="009F1FB0" w:rsidP="008C4E07">
      <w:pPr>
        <w:spacing w:after="0"/>
        <w:ind w:firstLine="284"/>
        <w:rPr>
          <w:rFonts w:ascii="Garamond" w:hAnsi="Garamond"/>
          <w:sz w:val="24"/>
          <w:lang w:eastAsia="sl-SI"/>
        </w:rPr>
      </w:pPr>
      <w:r w:rsidRPr="00B907A3">
        <w:rPr>
          <w:rFonts w:ascii="Garamond" w:hAnsi="Garamond"/>
          <w:sz w:val="24"/>
          <w:lang w:eastAsia="sl-SI"/>
        </w:rPr>
        <w:t>Për zbatimin e suksesshëm të qëllimeve dhe objektivave specifik</w:t>
      </w:r>
      <w:r w:rsidR="00D121E9" w:rsidRPr="00B907A3">
        <w:rPr>
          <w:rFonts w:ascii="Garamond" w:hAnsi="Garamond"/>
          <w:sz w:val="24"/>
          <w:lang w:eastAsia="sl-SI"/>
        </w:rPr>
        <w:t>ë</w:t>
      </w:r>
      <w:r w:rsidRPr="00B907A3">
        <w:rPr>
          <w:rFonts w:ascii="Garamond" w:hAnsi="Garamond"/>
          <w:sz w:val="24"/>
          <w:lang w:eastAsia="sl-SI"/>
        </w:rPr>
        <w:t xml:space="preserve"> të Strategjisë së Sigurisë Rrugore (</w:t>
      </w:r>
      <w:r w:rsidR="005B413A" w:rsidRPr="00B907A3">
        <w:rPr>
          <w:rFonts w:ascii="Garamond" w:hAnsi="Garamond"/>
          <w:sz w:val="24"/>
          <w:lang w:eastAsia="sl-SI"/>
        </w:rPr>
        <w:t>SS</w:t>
      </w:r>
      <w:r w:rsidR="009549DB" w:rsidRPr="00B907A3">
        <w:rPr>
          <w:rFonts w:ascii="Garamond" w:hAnsi="Garamond"/>
          <w:sz w:val="24"/>
          <w:lang w:eastAsia="sl-SI"/>
        </w:rPr>
        <w:t>R</w:t>
      </w:r>
      <w:r w:rsidR="005B413A" w:rsidRPr="00B907A3">
        <w:rPr>
          <w:rFonts w:ascii="Garamond" w:hAnsi="Garamond"/>
          <w:sz w:val="24"/>
          <w:lang w:eastAsia="sl-SI"/>
        </w:rPr>
        <w:t>R</w:t>
      </w:r>
      <w:r w:rsidRPr="00B907A3">
        <w:rPr>
          <w:rFonts w:ascii="Garamond" w:hAnsi="Garamond"/>
          <w:sz w:val="24"/>
          <w:lang w:eastAsia="sl-SI"/>
        </w:rPr>
        <w:t xml:space="preserve">), është e domosdoshme të krijohet një sistem gjithëpërfshirës monitorimi. Një sistem i tillë duhet të përmbajë rezultatet përfundimtare të sigurisë rrugore dhe, më e rëndësishmja, të mundësojë monitorimin periodik të </w:t>
      </w:r>
      <w:r w:rsidR="00B1436E" w:rsidRPr="00B907A3">
        <w:rPr>
          <w:rFonts w:ascii="Garamond" w:hAnsi="Garamond"/>
          <w:sz w:val="24"/>
          <w:lang w:eastAsia="sl-SI"/>
        </w:rPr>
        <w:t>Tregues</w:t>
      </w:r>
      <w:r w:rsidR="006D039D" w:rsidRPr="00B907A3">
        <w:rPr>
          <w:rFonts w:ascii="Garamond" w:eastAsia="Calibri" w:hAnsi="Garamond"/>
          <w:spacing w:val="-2"/>
          <w:w w:val="105"/>
          <w:sz w:val="24"/>
          <w:lang w:eastAsia="en-US"/>
        </w:rPr>
        <w:t xml:space="preserve">ve </w:t>
      </w:r>
      <w:r w:rsidR="006D039D" w:rsidRPr="00B907A3">
        <w:rPr>
          <w:rFonts w:ascii="Garamond" w:hAnsi="Garamond"/>
          <w:sz w:val="24"/>
          <w:lang w:eastAsia="sl-SI"/>
        </w:rPr>
        <w:t xml:space="preserve">Kyç </w:t>
      </w:r>
      <w:r w:rsidRPr="00B907A3">
        <w:rPr>
          <w:rFonts w:ascii="Garamond" w:hAnsi="Garamond"/>
          <w:sz w:val="24"/>
          <w:lang w:eastAsia="sl-SI"/>
        </w:rPr>
        <w:t>të Performancës (</w:t>
      </w:r>
      <w:r w:rsidR="00C0640D" w:rsidRPr="00B907A3">
        <w:rPr>
          <w:rFonts w:ascii="Garamond" w:hAnsi="Garamond"/>
          <w:sz w:val="24"/>
          <w:lang w:eastAsia="sl-SI"/>
        </w:rPr>
        <w:t>T</w:t>
      </w:r>
      <w:r w:rsidR="005C1DD9">
        <w:rPr>
          <w:rFonts w:ascii="Garamond" w:hAnsi="Garamond"/>
          <w:sz w:val="24"/>
          <w:lang w:eastAsia="sl-SI"/>
        </w:rPr>
        <w:t>KP</w:t>
      </w:r>
      <w:r w:rsidRPr="00B907A3">
        <w:rPr>
          <w:rFonts w:ascii="Garamond" w:hAnsi="Garamond"/>
          <w:sz w:val="24"/>
          <w:lang w:eastAsia="sl-SI"/>
        </w:rPr>
        <w:t xml:space="preserve">-ve). Kjo qasje do të mundësojë përgatitjen e ndërhyrjeve në kohë që synojnë sjelljet specifike të rrezikshme që mund të çojnë në aksidente. Përveç monitorimit të rezultateve përfundimtare dhe </w:t>
      </w:r>
      <w:r w:rsidR="00C0640D" w:rsidRPr="00B907A3">
        <w:rPr>
          <w:rFonts w:ascii="Garamond" w:hAnsi="Garamond"/>
          <w:sz w:val="24"/>
          <w:lang w:eastAsia="sl-SI"/>
        </w:rPr>
        <w:t>T</w:t>
      </w:r>
      <w:r w:rsidR="006D039D" w:rsidRPr="00B907A3">
        <w:rPr>
          <w:rFonts w:ascii="Garamond" w:hAnsi="Garamond"/>
          <w:sz w:val="24"/>
          <w:lang w:eastAsia="sl-SI"/>
        </w:rPr>
        <w:t>KP</w:t>
      </w:r>
      <w:r w:rsidRPr="00B907A3">
        <w:rPr>
          <w:rFonts w:ascii="Garamond" w:hAnsi="Garamond"/>
          <w:sz w:val="24"/>
          <w:lang w:eastAsia="sl-SI"/>
        </w:rPr>
        <w:t xml:space="preserve">-ve, është gjithashtu e rëndësishme të monitorohen qëndrimet e përdoruesve kundrejt </w:t>
      </w:r>
      <w:r w:rsidR="00C0640D" w:rsidRPr="00B907A3">
        <w:rPr>
          <w:rFonts w:ascii="Garamond" w:hAnsi="Garamond"/>
          <w:sz w:val="24"/>
          <w:lang w:eastAsia="sl-SI"/>
        </w:rPr>
        <w:t>T</w:t>
      </w:r>
      <w:r w:rsidR="006D039D" w:rsidRPr="00B907A3">
        <w:rPr>
          <w:rFonts w:ascii="Garamond" w:hAnsi="Garamond"/>
          <w:sz w:val="24"/>
          <w:lang w:eastAsia="sl-SI"/>
        </w:rPr>
        <w:t>KP</w:t>
      </w:r>
      <w:r w:rsidRPr="00B907A3">
        <w:rPr>
          <w:rFonts w:ascii="Garamond" w:hAnsi="Garamond"/>
          <w:sz w:val="24"/>
          <w:lang w:eastAsia="sl-SI"/>
        </w:rPr>
        <w:t xml:space="preserve">-ve (sjelljeve </w:t>
      </w:r>
      <w:r w:rsidR="006D039D" w:rsidRPr="00B907A3">
        <w:rPr>
          <w:rFonts w:ascii="Garamond" w:hAnsi="Garamond"/>
          <w:sz w:val="24"/>
          <w:lang w:eastAsia="sl-SI"/>
        </w:rPr>
        <w:t>me risk</w:t>
      </w:r>
      <w:r w:rsidRPr="00B907A3">
        <w:rPr>
          <w:rFonts w:ascii="Garamond" w:hAnsi="Garamond"/>
          <w:sz w:val="24"/>
          <w:lang w:eastAsia="sl-SI"/>
        </w:rPr>
        <w:t>) dhe, nëse është e nevojshme, të zbatohen masa korrigjuese. Së fundi, vlerësimet periodike të nivelit të njohurive në një kampion të përzgjedhur të përdoruesve të rrugës mund të tregojnë probleme specifike ndaj të cilave duhet të drejtohen ndërhyrjet.</w:t>
      </w:r>
    </w:p>
    <w:p w14:paraId="71CC0272" w14:textId="2530AB08" w:rsidR="00D1716A" w:rsidRPr="00B907A3" w:rsidRDefault="00D51215" w:rsidP="008C4E07">
      <w:pPr>
        <w:pStyle w:val="NormalWeb"/>
        <w:shd w:val="clear" w:color="auto" w:fill="E2EFD9" w:themeFill="accent6" w:themeFillTint="33"/>
        <w:spacing w:line="240" w:lineRule="auto"/>
        <w:ind w:firstLine="284"/>
        <w:jc w:val="both"/>
        <w:rPr>
          <w:rFonts w:ascii="Garamond" w:hAnsi="Garamond"/>
          <w:b/>
          <w:i/>
          <w:sz w:val="24"/>
          <w:lang w:val="sq-AL" w:eastAsia="sl-SI"/>
        </w:rPr>
      </w:pPr>
      <w:r w:rsidRPr="00B907A3">
        <w:rPr>
          <w:rFonts w:ascii="Garamond" w:hAnsi="Garamond"/>
          <w:b/>
          <w:i/>
          <w:sz w:val="24"/>
          <w:lang w:val="sq-AL" w:eastAsia="sl-SI"/>
        </w:rPr>
        <w:t xml:space="preserve">- </w:t>
      </w:r>
      <w:r w:rsidR="002D543D" w:rsidRPr="00B907A3">
        <w:rPr>
          <w:rFonts w:ascii="Garamond" w:hAnsi="Garamond"/>
          <w:b/>
          <w:i/>
          <w:sz w:val="24"/>
          <w:lang w:val="sq-AL" w:eastAsia="sl-SI"/>
        </w:rPr>
        <w:t xml:space="preserve">Edukimi për sigurinë rrugore dhe të mësuarit gjatë gjithë jetës kanë një rëndësi parësore. Edukimi për sigurinë rrugore duhet të integrohet në të gjitha fazat e jetës, që nga parashkollorët deri në moshën e tretë. Kjo përfshin programe udhëtimi të sigurt për fëmijët, edukim për sigurinë rrugore në shkolla, trajnim për drejtuesit e mjeteve si dhe mundësi për të mësuar gjatë gjithë jetës për drejtuesit e mjeteve. </w:t>
      </w:r>
    </w:p>
    <w:p w14:paraId="30BFCBA0" w14:textId="6807BAFC" w:rsidR="00947263" w:rsidRPr="00B907A3" w:rsidRDefault="00D51215" w:rsidP="008C4E07">
      <w:pPr>
        <w:pStyle w:val="Heading2"/>
        <w:numPr>
          <w:ilvl w:val="0"/>
          <w:numId w:val="0"/>
        </w:numPr>
        <w:shd w:val="clear" w:color="auto" w:fill="E2EFD9" w:themeFill="accent6" w:themeFillTint="33"/>
        <w:spacing w:after="0"/>
        <w:ind w:firstLine="284"/>
        <w:rPr>
          <w:rFonts w:ascii="Garamond" w:hAnsi="Garamond"/>
          <w:color w:val="auto"/>
          <w:lang w:val="sq-AL"/>
        </w:rPr>
      </w:pPr>
      <w:bookmarkStart w:id="166" w:name="_Toc197885124"/>
      <w:bookmarkStart w:id="167" w:name="_Toc197885125"/>
      <w:bookmarkStart w:id="168" w:name="_Toc197885126"/>
      <w:bookmarkStart w:id="169" w:name="_Toc197885127"/>
      <w:bookmarkStart w:id="170" w:name="_Toc197885128"/>
      <w:bookmarkStart w:id="171" w:name="_Toc197885129"/>
      <w:bookmarkStart w:id="172" w:name="_Toc208840598"/>
      <w:bookmarkEnd w:id="166"/>
      <w:bookmarkEnd w:id="167"/>
      <w:bookmarkEnd w:id="168"/>
      <w:bookmarkEnd w:id="169"/>
      <w:bookmarkEnd w:id="170"/>
      <w:bookmarkEnd w:id="171"/>
      <w:r w:rsidRPr="00B907A3">
        <w:rPr>
          <w:rFonts w:ascii="Garamond" w:hAnsi="Garamond"/>
          <w:color w:val="auto"/>
          <w:lang w:val="sq-AL"/>
        </w:rPr>
        <w:lastRenderedPageBreak/>
        <w:t xml:space="preserve">5.5 </w:t>
      </w:r>
      <w:r w:rsidR="002D543D" w:rsidRPr="00B907A3">
        <w:rPr>
          <w:rFonts w:ascii="Garamond" w:hAnsi="Garamond"/>
          <w:color w:val="auto"/>
          <w:lang w:val="sq-AL"/>
        </w:rPr>
        <w:t>Kujdesi pas aksidentit dhe rehabilitimi</w:t>
      </w:r>
      <w:bookmarkEnd w:id="172"/>
    </w:p>
    <w:p w14:paraId="7538A9E1" w14:textId="158A9C57" w:rsidR="00A73428" w:rsidRPr="00B907A3" w:rsidRDefault="008F0A23"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Kujdesi pas aksidentit ka të bëjë me shpëtimin, trajtimin dhe rehabilitimin e të mbijetuarve nga aksidentet rrugore dhe synon të zvogëlojë nivelin e rëndë dhe pasojat e dëmtimeve. Ky kujdes përfshin përdorimin e sistemeve efikase të njoftimit të emergjencës, mbërritjen e sigurt dhe në kohë të personelit mjekësor të kualifikuar në vendin e aksidentit si dhe diagnostikimin e saktë dhe stabilizimin e pacientit në vendngjarje. Më tej, procesi vazhdon me transportin e sigurt të pacientit drejt qendrës më të përshtatshme për trajtim, me ofrimin e ndihmës cilësore në urgjencë dhe trajtimit të traumave, disponueshmërinë e shërbimeve të specializuara të rehabilitimit, si dhe mbështetjen për rehabilitimin e të dëmtuarit dhe rikthimin e tij në jetën që kishte para aksidentit</w:t>
      </w:r>
      <w:r w:rsidR="008508A9" w:rsidRPr="00B907A3">
        <w:rPr>
          <w:rFonts w:ascii="Garamond" w:eastAsia="Calibri" w:hAnsi="Garamond"/>
          <w:spacing w:val="-2"/>
          <w:w w:val="105"/>
          <w:sz w:val="24"/>
          <w:lang w:eastAsia="en-US"/>
        </w:rPr>
        <w:t>.</w:t>
      </w:r>
      <w:r w:rsidR="00CB3B03" w:rsidRPr="00B907A3">
        <w:rPr>
          <w:rFonts w:ascii="Garamond" w:eastAsia="Calibri" w:hAnsi="Garamond"/>
          <w:spacing w:val="-2"/>
          <w:w w:val="105"/>
          <w:sz w:val="24"/>
          <w:lang w:eastAsia="en-US"/>
        </w:rPr>
        <w:t xml:space="preserve"> </w:t>
      </w:r>
    </w:p>
    <w:p w14:paraId="1CA3F46C" w14:textId="60523A70" w:rsidR="00A714D3" w:rsidRPr="00B907A3" w:rsidRDefault="00CA1896"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Për të arritur rezultatin specifik të lidhur me </w:t>
      </w:r>
      <w:r w:rsidR="005943C0" w:rsidRPr="00B907A3">
        <w:rPr>
          <w:rFonts w:ascii="Garamond" w:eastAsia="Calibri" w:hAnsi="Garamond"/>
          <w:spacing w:val="-2"/>
          <w:w w:val="105"/>
          <w:sz w:val="24"/>
          <w:lang w:eastAsia="en-US"/>
        </w:rPr>
        <w:t>komponentin</w:t>
      </w:r>
      <w:r w:rsidRPr="00B907A3">
        <w:rPr>
          <w:rFonts w:ascii="Garamond" w:eastAsia="Calibri" w:hAnsi="Garamond"/>
          <w:spacing w:val="-2"/>
          <w:w w:val="105"/>
          <w:sz w:val="24"/>
          <w:lang w:eastAsia="en-US"/>
        </w:rPr>
        <w:t xml:space="preserve"> 5, ekzistojnë disa fusha që kanë nevojë për përmirësim</w:t>
      </w:r>
      <w:r w:rsidR="00EB6ACC" w:rsidRPr="00B907A3">
        <w:rPr>
          <w:rFonts w:ascii="Garamond" w:eastAsia="Calibri" w:hAnsi="Garamond"/>
          <w:spacing w:val="-2"/>
          <w:w w:val="105"/>
          <w:sz w:val="24"/>
          <w:lang w:eastAsia="en-US"/>
        </w:rPr>
        <w:t>:</w:t>
      </w:r>
    </w:p>
    <w:p w14:paraId="4F0E30DB" w14:textId="1860BE02" w:rsidR="00A714D3"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73" w:name="_Toc208840599"/>
      <w:r w:rsidRPr="00B907A3">
        <w:rPr>
          <w:rFonts w:ascii="Garamond" w:hAnsi="Garamond"/>
          <w:color w:val="auto"/>
          <w:lang w:val="sq-AL"/>
        </w:rPr>
        <w:t xml:space="preserve">5.5.1 </w:t>
      </w:r>
      <w:r w:rsidR="00BE3ACC" w:rsidRPr="00B907A3">
        <w:rPr>
          <w:rFonts w:ascii="Garamond" w:hAnsi="Garamond"/>
          <w:color w:val="auto"/>
          <w:lang w:val="sq-AL"/>
        </w:rPr>
        <w:t>Përmirësimi dhe standardizimi i komunikimit ndërmjet shërbimeve të para pas një aksidenti rrugor</w:t>
      </w:r>
      <w:bookmarkEnd w:id="173"/>
    </w:p>
    <w:p w14:paraId="7805EFEC" w14:textId="158D39FC" w:rsidR="00A714D3" w:rsidRPr="00B907A3" w:rsidRDefault="00E1569D" w:rsidP="008C4E07">
      <w:pPr>
        <w:spacing w:after="0"/>
        <w:ind w:firstLine="284"/>
        <w:rPr>
          <w:rFonts w:ascii="Garamond" w:eastAsia="Calibri" w:hAnsi="Garamond"/>
          <w:spacing w:val="-2"/>
          <w:w w:val="105"/>
          <w:sz w:val="24"/>
          <w:lang w:eastAsia="en-US"/>
        </w:rPr>
      </w:pPr>
      <w:r w:rsidRPr="00B907A3">
        <w:rPr>
          <w:rFonts w:ascii="Garamond" w:hAnsi="Garamond"/>
          <w:sz w:val="24"/>
          <w:lang w:eastAsia="sl-SI"/>
        </w:rPr>
        <w:t>Përmirësimi dhe standardizimi i dy qendrave kombëtare: 112 dhe 127 mbi procedurat e mbledhjes fillestare të të dhënave (triazhimi), me vëmendje të veçantë ndaj shkëmbimit cilësor të të dhënave të mbledhura, në mënyrë që të shmanget dyfishimi i mbledhjes së të dhënave (triazhimit) midis dy shërbimeve</w:t>
      </w:r>
      <w:r w:rsidR="00B5692C" w:rsidRPr="00B907A3">
        <w:rPr>
          <w:rFonts w:ascii="Garamond" w:hAnsi="Garamond"/>
          <w:sz w:val="24"/>
          <w:lang w:eastAsia="sl-SI"/>
        </w:rPr>
        <w:t xml:space="preserve">. </w:t>
      </w:r>
      <w:r w:rsidR="00FB5830">
        <w:rPr>
          <w:rFonts w:ascii="Garamond" w:hAnsi="Garamond"/>
          <w:sz w:val="24"/>
          <w:lang w:eastAsia="sl-SI"/>
        </w:rPr>
        <w:t>Përmirësimi/</w:t>
      </w:r>
      <w:r w:rsidRPr="00B907A3">
        <w:rPr>
          <w:rFonts w:ascii="Garamond" w:hAnsi="Garamond"/>
          <w:sz w:val="24"/>
          <w:lang w:eastAsia="sl-SI"/>
        </w:rPr>
        <w:t>standardizimi i shkëmbimit të të dhënave për personat e lënduar ndërmjet shërbimit 127 dhe spitaleve ku janë dërguar pacientët (spitali më i afërt me qendër traume) dhe vendosja e një procedure ndjekjeje për pacientin (sinkronizimi i të dhënave ndërmjet kujdesit para-spitalor dhe atij spitalor). Përmirësimet e propozuara do të kenë efekte pozitive të menjëhershme pas zbatimit të tyre në shkurtimin e kohës së reagimit</w:t>
      </w:r>
      <w:r w:rsidR="00ED3657" w:rsidRPr="00B907A3">
        <w:rPr>
          <w:rFonts w:ascii="Garamond" w:hAnsi="Garamond"/>
          <w:sz w:val="24"/>
          <w:lang w:eastAsia="sl-SI"/>
        </w:rPr>
        <w:t>.</w:t>
      </w:r>
    </w:p>
    <w:p w14:paraId="54A877AA" w14:textId="03A5F164" w:rsidR="00D02280"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74" w:name="_Toc208840600"/>
      <w:r w:rsidRPr="00B907A3">
        <w:rPr>
          <w:rFonts w:ascii="Garamond" w:hAnsi="Garamond"/>
          <w:color w:val="auto"/>
          <w:lang w:val="sq-AL"/>
        </w:rPr>
        <w:t xml:space="preserve">5.5.2 </w:t>
      </w:r>
      <w:r w:rsidR="00E1569D" w:rsidRPr="00B907A3">
        <w:rPr>
          <w:rFonts w:ascii="Garamond" w:hAnsi="Garamond"/>
          <w:color w:val="auto"/>
          <w:lang w:val="sq-AL"/>
        </w:rPr>
        <w:t>Përmirësimi i ekspertizës, kompetencës dhe trajnimit të personelit të shërbimeve të urgjencës për veprimet pas aksidenteve</w:t>
      </w:r>
      <w:bookmarkEnd w:id="174"/>
    </w:p>
    <w:p w14:paraId="5E03A0F4" w14:textId="2832CFE9" w:rsidR="00D02280" w:rsidRPr="00B907A3" w:rsidRDefault="008D63C1" w:rsidP="008C4E07">
      <w:pPr>
        <w:pStyle w:val="NormalWeb"/>
        <w:spacing w:line="240" w:lineRule="auto"/>
        <w:ind w:firstLine="284"/>
        <w:jc w:val="both"/>
        <w:rPr>
          <w:rFonts w:ascii="Garamond" w:hAnsi="Garamond"/>
          <w:sz w:val="24"/>
          <w:lang w:val="sq-AL" w:eastAsia="pl-PL"/>
        </w:rPr>
      </w:pPr>
      <w:r w:rsidRPr="00B907A3">
        <w:rPr>
          <w:rFonts w:ascii="Garamond" w:hAnsi="Garamond"/>
          <w:sz w:val="24"/>
          <w:lang w:val="sq-AL" w:eastAsia="pl-PL"/>
        </w:rPr>
        <w:t>Z</w:t>
      </w:r>
      <w:r w:rsidR="00B23E9B" w:rsidRPr="00B907A3">
        <w:rPr>
          <w:rFonts w:ascii="Garamond" w:hAnsi="Garamond"/>
          <w:sz w:val="24"/>
          <w:lang w:val="sq-AL" w:eastAsia="pl-PL"/>
        </w:rPr>
        <w:t>hvillimi profesional dhe programe</w:t>
      </w:r>
      <w:r w:rsidR="00354094" w:rsidRPr="00B907A3">
        <w:rPr>
          <w:rFonts w:ascii="Garamond" w:hAnsi="Garamond"/>
          <w:sz w:val="24"/>
          <w:lang w:val="sq-AL" w:eastAsia="pl-PL"/>
        </w:rPr>
        <w:t>t</w:t>
      </w:r>
      <w:r w:rsidR="00B23E9B" w:rsidRPr="00B907A3">
        <w:rPr>
          <w:rFonts w:ascii="Garamond" w:hAnsi="Garamond"/>
          <w:sz w:val="24"/>
          <w:lang w:val="sq-AL" w:eastAsia="pl-PL"/>
        </w:rPr>
        <w:t xml:space="preserve"> </w:t>
      </w:r>
      <w:r w:rsidR="00354094" w:rsidRPr="00B907A3">
        <w:rPr>
          <w:rFonts w:ascii="Garamond" w:hAnsi="Garamond"/>
          <w:sz w:val="24"/>
          <w:lang w:val="sq-AL" w:eastAsia="pl-PL"/>
        </w:rPr>
        <w:t>e</w:t>
      </w:r>
      <w:r w:rsidR="00B23E9B" w:rsidRPr="00B907A3">
        <w:rPr>
          <w:rFonts w:ascii="Garamond" w:hAnsi="Garamond"/>
          <w:sz w:val="24"/>
          <w:lang w:val="sq-AL" w:eastAsia="pl-PL"/>
        </w:rPr>
        <w:t xml:space="preserve"> trajnimit </w:t>
      </w:r>
      <w:r w:rsidR="00354094" w:rsidRPr="00B907A3">
        <w:rPr>
          <w:rFonts w:ascii="Garamond" w:hAnsi="Garamond"/>
          <w:sz w:val="24"/>
          <w:lang w:val="sq-AL" w:eastAsia="pl-PL"/>
        </w:rPr>
        <w:t xml:space="preserve">duhet të përmirësohen </w:t>
      </w:r>
      <w:r w:rsidR="00AA6C71" w:rsidRPr="00B907A3">
        <w:rPr>
          <w:rFonts w:ascii="Garamond" w:hAnsi="Garamond"/>
          <w:sz w:val="24"/>
          <w:lang w:val="sq-AL" w:eastAsia="pl-PL"/>
        </w:rPr>
        <w:t>për</w:t>
      </w:r>
      <w:r w:rsidR="00B23E9B" w:rsidRPr="00B907A3">
        <w:rPr>
          <w:rFonts w:ascii="Garamond" w:hAnsi="Garamond"/>
          <w:sz w:val="24"/>
          <w:lang w:val="sq-AL" w:eastAsia="pl-PL"/>
        </w:rPr>
        <w:t xml:space="preserve"> fitimin e njohurive, aftësive dhe kompetencës së personelit të shërbimeve të urgjencës </w:t>
      </w:r>
      <w:r w:rsidR="00AA6C71" w:rsidRPr="00B907A3">
        <w:rPr>
          <w:rFonts w:ascii="Garamond" w:hAnsi="Garamond"/>
          <w:sz w:val="24"/>
          <w:lang w:val="sq-AL" w:eastAsia="pl-PL"/>
        </w:rPr>
        <w:t xml:space="preserve">në </w:t>
      </w:r>
      <w:r w:rsidR="00B23E9B" w:rsidRPr="00B907A3">
        <w:rPr>
          <w:rFonts w:ascii="Garamond" w:hAnsi="Garamond"/>
          <w:sz w:val="24"/>
          <w:lang w:val="sq-AL" w:eastAsia="pl-PL"/>
        </w:rPr>
        <w:t>vepr</w:t>
      </w:r>
      <w:r w:rsidR="00AA6C71" w:rsidRPr="00B907A3">
        <w:rPr>
          <w:rFonts w:ascii="Garamond" w:hAnsi="Garamond"/>
          <w:sz w:val="24"/>
          <w:lang w:val="sq-AL" w:eastAsia="pl-PL"/>
        </w:rPr>
        <w:t>imet</w:t>
      </w:r>
      <w:r w:rsidR="00B23E9B" w:rsidRPr="00B907A3">
        <w:rPr>
          <w:rFonts w:ascii="Garamond" w:hAnsi="Garamond"/>
          <w:sz w:val="24"/>
          <w:lang w:val="sq-AL" w:eastAsia="pl-PL"/>
        </w:rPr>
        <w:t xml:space="preserve"> pas aksidenteve, duke përfshirë reagimin e shpejtë dhe të koordinuar në rast të aksidenteve masive. Kjo përfshin përfshirjen e përmbajtjes përkatëse në sistemin e arsimit të mesëm </w:t>
      </w:r>
      <w:r w:rsidR="00ED15C6" w:rsidRPr="00B907A3">
        <w:rPr>
          <w:rFonts w:ascii="Garamond" w:hAnsi="Garamond"/>
          <w:sz w:val="24"/>
          <w:lang w:val="sq-AL" w:eastAsia="pl-PL"/>
        </w:rPr>
        <w:t xml:space="preserve">të lartë </w:t>
      </w:r>
      <w:r w:rsidR="00B23E9B" w:rsidRPr="00B907A3">
        <w:rPr>
          <w:rFonts w:ascii="Garamond" w:hAnsi="Garamond"/>
          <w:sz w:val="24"/>
          <w:lang w:val="sq-AL" w:eastAsia="pl-PL"/>
        </w:rPr>
        <w:t xml:space="preserve">dhe të lartë, studime të specializuara, edukim të vazhdueshëm dhe trajnim shtesë, si dhe krijimin e një sistemi trajnimi të përbashkët të vazhdueshëm për personelin e shërbimeve të urgjencës (Policia Rrugore, shërbimi </w:t>
      </w:r>
      <w:r w:rsidR="00386219" w:rsidRPr="00B907A3">
        <w:rPr>
          <w:rFonts w:ascii="Garamond" w:hAnsi="Garamond"/>
          <w:sz w:val="24"/>
          <w:lang w:val="sq-AL" w:eastAsia="pl-PL"/>
        </w:rPr>
        <w:t>i</w:t>
      </w:r>
      <w:r w:rsidR="003363C3" w:rsidRPr="00B907A3">
        <w:rPr>
          <w:rFonts w:ascii="Garamond" w:hAnsi="Garamond"/>
          <w:sz w:val="24"/>
          <w:lang w:val="sq-AL" w:eastAsia="pl-PL"/>
        </w:rPr>
        <w:t xml:space="preserve"> urgjencës </w:t>
      </w:r>
      <w:r w:rsidR="00B23E9B" w:rsidRPr="00B907A3">
        <w:rPr>
          <w:rFonts w:ascii="Garamond" w:hAnsi="Garamond"/>
          <w:sz w:val="24"/>
          <w:lang w:val="sq-AL" w:eastAsia="pl-PL"/>
        </w:rPr>
        <w:t>mjekësor</w:t>
      </w:r>
      <w:r w:rsidR="003363C3" w:rsidRPr="00B907A3">
        <w:rPr>
          <w:rFonts w:ascii="Garamond" w:hAnsi="Garamond"/>
          <w:sz w:val="24"/>
          <w:lang w:val="sq-AL" w:eastAsia="pl-PL"/>
        </w:rPr>
        <w:t>e</w:t>
      </w:r>
      <w:r w:rsidR="00B23E9B" w:rsidRPr="00B907A3">
        <w:rPr>
          <w:rFonts w:ascii="Garamond" w:hAnsi="Garamond"/>
          <w:sz w:val="24"/>
          <w:lang w:val="sq-AL" w:eastAsia="pl-PL"/>
        </w:rPr>
        <w:t xml:space="preserve"> dhe zjarrfikësit). Iniciativa të tilla pritet të kenë një ndikim pozitiv në shkallën e mbijetesës së individëve të përfshirë në aksidente rrugore.</w:t>
      </w:r>
    </w:p>
    <w:p w14:paraId="6F30D2AD" w14:textId="59FC9C5A" w:rsidR="00C37C67"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75" w:name="_Toc208840601"/>
      <w:r w:rsidRPr="00B907A3">
        <w:rPr>
          <w:rFonts w:ascii="Garamond" w:hAnsi="Garamond"/>
          <w:color w:val="auto"/>
          <w:lang w:val="sq-AL"/>
        </w:rPr>
        <w:t xml:space="preserve">5.5.3 </w:t>
      </w:r>
      <w:r w:rsidR="0096027D" w:rsidRPr="00B907A3">
        <w:rPr>
          <w:rFonts w:ascii="Garamond" w:hAnsi="Garamond"/>
          <w:color w:val="auto"/>
          <w:lang w:val="sq-AL"/>
        </w:rPr>
        <w:t>Përmirësimi i regjistrave spitalorë dhe i komunikimit me Policinë Rrugore në lidhje me pacientët e përfshirë në aksidente</w:t>
      </w:r>
      <w:bookmarkEnd w:id="175"/>
    </w:p>
    <w:p w14:paraId="55B291E0" w14:textId="6B5B3EC9" w:rsidR="00A714D3" w:rsidRPr="00B907A3" w:rsidRDefault="00C243BD" w:rsidP="008C4E07">
      <w:pPr>
        <w:spacing w:after="0"/>
        <w:ind w:firstLine="284"/>
        <w:rPr>
          <w:rFonts w:ascii="Garamond" w:eastAsia="Calibri" w:hAnsi="Garamond"/>
          <w:spacing w:val="-2"/>
          <w:w w:val="105"/>
          <w:sz w:val="24"/>
          <w:lang w:eastAsia="en-US"/>
        </w:rPr>
      </w:pPr>
      <w:r w:rsidRPr="00B907A3">
        <w:rPr>
          <w:rFonts w:ascii="Garamond" w:hAnsi="Garamond"/>
          <w:sz w:val="24"/>
          <w:lang w:eastAsia="sl-SI"/>
        </w:rPr>
        <w:t>Ka nevojë për krijimin e regjistrave të digjitalizuar në të gjitha spitalet që përfshijnë të dhëna në lidhje me aksidentet (mbledhja e të dhënave, ruajtja, ndjekja dhe shkëmbimi). Përveç kësaj, është e nevojshme të përmirësohet dhe standardizohet sistemi i rregullt i komunikimit (shkëmbimi i të dhënave përkatëse) midis spitaleve dhe Policisë Rrugore në lidhje me pacientët e përfshirë në aksidente. Kjo do të përmirësojë mundësinë e nën-raportimit të viktimave nga aksidentet e identifikuar nga sistemi i raportimit të OBSH-së dhe do</w:t>
      </w:r>
      <w:r w:rsidR="00887CC6">
        <w:rPr>
          <w:rFonts w:ascii="Garamond" w:hAnsi="Garamond"/>
          <w:sz w:val="24"/>
          <w:lang w:eastAsia="sl-SI"/>
        </w:rPr>
        <w:t xml:space="preserve"> </w:t>
      </w:r>
      <w:r w:rsidR="007951BD">
        <w:rPr>
          <w:rFonts w:ascii="Garamond" w:hAnsi="Garamond"/>
          <w:sz w:val="24"/>
          <w:lang w:eastAsia="sl-SI"/>
        </w:rPr>
        <w:t>t’i</w:t>
      </w:r>
      <w:r w:rsidR="00887CC6">
        <w:rPr>
          <w:rFonts w:ascii="Garamond" w:hAnsi="Garamond"/>
          <w:sz w:val="24"/>
          <w:lang w:eastAsia="sl-SI"/>
        </w:rPr>
        <w:t xml:space="preserve"> </w:t>
      </w:r>
      <w:r w:rsidRPr="00B907A3">
        <w:rPr>
          <w:rFonts w:ascii="Garamond" w:hAnsi="Garamond"/>
          <w:sz w:val="24"/>
          <w:lang w:eastAsia="sl-SI"/>
        </w:rPr>
        <w:t>mundësojë Shqipërisë të harmonizojë zyrtarisht të dhënat sipas standardeve të OBSH-së</w:t>
      </w:r>
      <w:r w:rsidR="002F3D4B" w:rsidRPr="00B907A3">
        <w:rPr>
          <w:rFonts w:ascii="Garamond" w:hAnsi="Garamond"/>
          <w:sz w:val="24"/>
          <w:lang w:eastAsia="sl-SI"/>
        </w:rPr>
        <w:t>.</w:t>
      </w:r>
    </w:p>
    <w:p w14:paraId="1CAC7866" w14:textId="1AC8D25B" w:rsidR="002E01C4"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76" w:name="_Toc208840602"/>
      <w:r w:rsidRPr="00B907A3">
        <w:rPr>
          <w:rFonts w:ascii="Garamond" w:hAnsi="Garamond"/>
          <w:color w:val="auto"/>
          <w:lang w:val="sq-AL"/>
        </w:rPr>
        <w:t xml:space="preserve">5.5.4 </w:t>
      </w:r>
      <w:r w:rsidR="00C243BD" w:rsidRPr="00B907A3">
        <w:rPr>
          <w:rFonts w:ascii="Garamond" w:hAnsi="Garamond"/>
          <w:color w:val="auto"/>
          <w:lang w:val="sq-AL"/>
        </w:rPr>
        <w:t xml:space="preserve">Futja e shkallës së dëmtimit </w:t>
      </w:r>
      <w:r w:rsidR="003363C3" w:rsidRPr="00B907A3">
        <w:rPr>
          <w:rFonts w:ascii="Garamond" w:hAnsi="Garamond"/>
          <w:color w:val="auto"/>
          <w:lang w:val="sq-AL"/>
        </w:rPr>
        <w:t>MAIS</w:t>
      </w:r>
      <w:r w:rsidR="00C243BD" w:rsidRPr="00B907A3">
        <w:rPr>
          <w:rFonts w:ascii="Garamond" w:hAnsi="Garamond"/>
          <w:color w:val="auto"/>
          <w:lang w:val="sq-AL"/>
        </w:rPr>
        <w:t>3+</w:t>
      </w:r>
      <w:bookmarkEnd w:id="176"/>
    </w:p>
    <w:p w14:paraId="2D007D0D" w14:textId="640CF281" w:rsidR="00A714D3" w:rsidRPr="00B907A3" w:rsidRDefault="002E627D" w:rsidP="008C4E07">
      <w:pPr>
        <w:spacing w:after="0"/>
        <w:ind w:firstLine="284"/>
        <w:rPr>
          <w:rFonts w:ascii="Garamond" w:hAnsi="Garamond"/>
          <w:sz w:val="24"/>
          <w:lang w:eastAsia="sl-SI"/>
        </w:rPr>
      </w:pPr>
      <w:r w:rsidRPr="00B907A3">
        <w:rPr>
          <w:rFonts w:ascii="Garamond" w:hAnsi="Garamond"/>
          <w:sz w:val="24"/>
        </w:rPr>
        <w:t>Edhe pse shkalla</w:t>
      </w:r>
      <w:r w:rsidR="003363C3" w:rsidRPr="00B907A3">
        <w:rPr>
          <w:rFonts w:ascii="Garamond" w:hAnsi="Garamond"/>
          <w:sz w:val="24"/>
        </w:rPr>
        <w:t xml:space="preserve"> MAIS</w:t>
      </w:r>
      <w:r w:rsidRPr="00B907A3">
        <w:rPr>
          <w:rFonts w:ascii="Garamond" w:hAnsi="Garamond"/>
          <w:sz w:val="24"/>
        </w:rPr>
        <w:t>3+ (Shkalla Maksimale e Shkurtuar e Lëndimit)</w:t>
      </w:r>
      <w:r w:rsidR="003363C3" w:rsidRPr="00B907A3">
        <w:rPr>
          <w:rFonts w:ascii="Garamond" w:hAnsi="Garamond"/>
          <w:sz w:val="24"/>
        </w:rPr>
        <w:t xml:space="preserve"> </w:t>
      </w:r>
      <w:r w:rsidRPr="00B907A3">
        <w:rPr>
          <w:rFonts w:ascii="Garamond" w:hAnsi="Garamond"/>
          <w:sz w:val="24"/>
        </w:rPr>
        <w:t xml:space="preserve">me një vlerësim 3 ose më të lartë), një sistem i njohur globalisht që përdoret për të klasifikuar dhe renditur </w:t>
      </w:r>
      <w:r w:rsidR="003363C3" w:rsidRPr="00B907A3">
        <w:rPr>
          <w:rFonts w:ascii="Garamond" w:hAnsi="Garamond"/>
          <w:sz w:val="24"/>
        </w:rPr>
        <w:t>shkall</w:t>
      </w:r>
      <w:r w:rsidR="003363C3" w:rsidRPr="00B907A3">
        <w:rPr>
          <w:rFonts w:ascii="Garamond" w:hAnsi="Garamond"/>
          <w:sz w:val="24"/>
          <w:lang w:eastAsia="pl-PL"/>
        </w:rPr>
        <w:t xml:space="preserve">ën </w:t>
      </w:r>
      <w:r w:rsidRPr="00B907A3">
        <w:rPr>
          <w:rFonts w:ascii="Garamond" w:hAnsi="Garamond"/>
          <w:sz w:val="24"/>
        </w:rPr>
        <w:t xml:space="preserve">e dëmtimeve bazuar në dëmtimet anatomike, është relativisht i ri në </w:t>
      </w:r>
      <w:r w:rsidR="005C1DD9" w:rsidRPr="00B907A3">
        <w:rPr>
          <w:rFonts w:ascii="Garamond" w:hAnsi="Garamond"/>
          <w:sz w:val="24"/>
        </w:rPr>
        <w:t>Evropë</w:t>
      </w:r>
      <w:r w:rsidRPr="00B907A3">
        <w:rPr>
          <w:rFonts w:ascii="Garamond" w:hAnsi="Garamond"/>
          <w:sz w:val="24"/>
        </w:rPr>
        <w:t>, ekziston një nevojë e fortë për të pasur të dhëna krahasuese për dëmtimet e rënda edhe në Shqipëri. Prandaj, futja e shkallës së dëmtimit</w:t>
      </w:r>
      <w:r w:rsidR="003363C3" w:rsidRPr="00B907A3">
        <w:rPr>
          <w:rFonts w:ascii="Garamond" w:hAnsi="Garamond"/>
          <w:sz w:val="24"/>
        </w:rPr>
        <w:t xml:space="preserve"> MAIS</w:t>
      </w:r>
      <w:r w:rsidRPr="00B907A3">
        <w:rPr>
          <w:rFonts w:ascii="Garamond" w:hAnsi="Garamond"/>
          <w:sz w:val="24"/>
        </w:rPr>
        <w:t>3+ në sektorin shëndetësor (spitalet) duhet të nisë dhe të implementohet hap pas hapi në praktikë</w:t>
      </w:r>
      <w:r w:rsidR="00813157" w:rsidRPr="00B907A3">
        <w:rPr>
          <w:rFonts w:ascii="Garamond" w:hAnsi="Garamond"/>
          <w:sz w:val="24"/>
          <w:lang w:eastAsia="sl-SI"/>
        </w:rPr>
        <w:t>.</w:t>
      </w:r>
    </w:p>
    <w:p w14:paraId="0AAFE978" w14:textId="4B053588" w:rsidR="00FE0C59" w:rsidRPr="00B907A3" w:rsidRDefault="00D51215" w:rsidP="008C4E07">
      <w:pPr>
        <w:pStyle w:val="Heading3"/>
        <w:numPr>
          <w:ilvl w:val="0"/>
          <w:numId w:val="0"/>
        </w:numPr>
        <w:spacing w:before="0" w:after="0" w:line="240" w:lineRule="auto"/>
        <w:ind w:firstLine="284"/>
        <w:rPr>
          <w:rFonts w:ascii="Garamond" w:hAnsi="Garamond"/>
          <w:color w:val="auto"/>
          <w:lang w:val="sq-AL"/>
        </w:rPr>
      </w:pPr>
      <w:bookmarkStart w:id="177" w:name="_Toc208840603"/>
      <w:r w:rsidRPr="00B907A3">
        <w:rPr>
          <w:rFonts w:ascii="Garamond" w:hAnsi="Garamond"/>
          <w:color w:val="auto"/>
          <w:lang w:val="sq-AL"/>
        </w:rPr>
        <w:t xml:space="preserve">5.5.5 </w:t>
      </w:r>
      <w:r w:rsidR="002E627D" w:rsidRPr="00B907A3">
        <w:rPr>
          <w:rFonts w:ascii="Garamond" w:hAnsi="Garamond"/>
          <w:color w:val="auto"/>
          <w:lang w:val="sq-AL"/>
        </w:rPr>
        <w:t>Përmirësimi i shërbimeve të rehabilitimit</w:t>
      </w:r>
      <w:bookmarkEnd w:id="177"/>
    </w:p>
    <w:p w14:paraId="199C599E" w14:textId="538950A1" w:rsidR="00FE0C59" w:rsidRPr="00B907A3" w:rsidRDefault="00074305" w:rsidP="008C4E07">
      <w:pPr>
        <w:spacing w:after="0"/>
        <w:ind w:firstLine="284"/>
        <w:rPr>
          <w:rFonts w:ascii="Garamond" w:hAnsi="Garamond"/>
          <w:sz w:val="24"/>
          <w:lang w:eastAsia="sl-SI"/>
        </w:rPr>
      </w:pPr>
      <w:r w:rsidRPr="00B907A3">
        <w:rPr>
          <w:rFonts w:ascii="Garamond" w:hAnsi="Garamond"/>
          <w:sz w:val="24"/>
          <w:lang w:eastAsia="sl-SI"/>
        </w:rPr>
        <w:t>Përmirës</w:t>
      </w:r>
      <w:r w:rsidR="00AC7FFD" w:rsidRPr="00B907A3">
        <w:rPr>
          <w:rFonts w:ascii="Garamond" w:hAnsi="Garamond"/>
          <w:sz w:val="24"/>
          <w:lang w:eastAsia="sl-SI"/>
        </w:rPr>
        <w:t>im</w:t>
      </w:r>
      <w:r w:rsidRPr="00B907A3">
        <w:rPr>
          <w:rFonts w:ascii="Garamond" w:hAnsi="Garamond"/>
          <w:sz w:val="24"/>
          <w:lang w:eastAsia="sl-SI"/>
        </w:rPr>
        <w:t>i dhe disponueshmëri</w:t>
      </w:r>
      <w:r w:rsidR="00E32FAE" w:rsidRPr="00B907A3">
        <w:rPr>
          <w:rFonts w:ascii="Garamond" w:hAnsi="Garamond"/>
          <w:sz w:val="24"/>
          <w:lang w:eastAsia="sl-SI"/>
        </w:rPr>
        <w:t>a</w:t>
      </w:r>
      <w:r w:rsidRPr="00B907A3">
        <w:rPr>
          <w:rFonts w:ascii="Garamond" w:hAnsi="Garamond"/>
          <w:sz w:val="24"/>
          <w:lang w:eastAsia="sl-SI"/>
        </w:rPr>
        <w:t xml:space="preserve"> e </w:t>
      </w:r>
      <w:r w:rsidR="00AA3BA3" w:rsidRPr="00B907A3">
        <w:rPr>
          <w:rFonts w:ascii="Garamond" w:hAnsi="Garamond"/>
          <w:sz w:val="24"/>
          <w:lang w:eastAsia="sl-SI"/>
        </w:rPr>
        <w:t>mënyrave</w:t>
      </w:r>
      <w:r w:rsidRPr="00B907A3">
        <w:rPr>
          <w:rFonts w:ascii="Garamond" w:hAnsi="Garamond"/>
          <w:sz w:val="24"/>
          <w:lang w:eastAsia="sl-SI"/>
        </w:rPr>
        <w:t xml:space="preserve"> të qëndrueshme të rehabilitimit për pacientët e aksidenteve pasi të jenë stabilizuar, </w:t>
      </w:r>
      <w:r w:rsidR="00D06CE7" w:rsidRPr="00B907A3">
        <w:rPr>
          <w:rFonts w:ascii="Garamond" w:hAnsi="Garamond"/>
          <w:sz w:val="24"/>
          <w:lang w:eastAsia="sl-SI"/>
        </w:rPr>
        <w:t xml:space="preserve">janë me rëndësi, </w:t>
      </w:r>
      <w:r w:rsidRPr="00B907A3">
        <w:rPr>
          <w:rFonts w:ascii="Garamond" w:hAnsi="Garamond"/>
          <w:sz w:val="24"/>
          <w:lang w:eastAsia="sl-SI"/>
        </w:rPr>
        <w:t>duke siguruar shërbimet e duhura të rehabilitimit dhe mbështetjes. Kjo përfshin ofrimin e kujdesit dhe mbështetjes psikologjike për viktimat, familjet dhe ekipin e reagimit ndaj emergjencave të prekur nga një aksident për të siguruar që ata të marrin kujdesin dhe mbështetjen e duhur për</w:t>
      </w:r>
      <w:r w:rsidR="00887CC6">
        <w:rPr>
          <w:rFonts w:ascii="Garamond" w:hAnsi="Garamond"/>
          <w:sz w:val="24"/>
          <w:lang w:eastAsia="sl-SI"/>
        </w:rPr>
        <w:t xml:space="preserve"> </w:t>
      </w:r>
      <w:r w:rsidR="00DB76F6">
        <w:rPr>
          <w:rFonts w:ascii="Garamond" w:hAnsi="Garamond"/>
          <w:sz w:val="24"/>
          <w:lang w:eastAsia="sl-SI"/>
        </w:rPr>
        <w:t>t’u</w:t>
      </w:r>
      <w:r w:rsidR="00887CC6">
        <w:rPr>
          <w:rFonts w:ascii="Garamond" w:hAnsi="Garamond"/>
          <w:sz w:val="24"/>
          <w:lang w:eastAsia="sl-SI"/>
        </w:rPr>
        <w:t xml:space="preserve"> </w:t>
      </w:r>
      <w:r w:rsidRPr="00B907A3">
        <w:rPr>
          <w:rFonts w:ascii="Garamond" w:hAnsi="Garamond"/>
          <w:sz w:val="24"/>
          <w:lang w:eastAsia="sl-SI"/>
        </w:rPr>
        <w:t>rikuperuar nga përvoja e tyre traumatike.</w:t>
      </w:r>
    </w:p>
    <w:p w14:paraId="7CEF7978" w14:textId="319AB21C" w:rsidR="00C0664A" w:rsidRPr="00B907A3" w:rsidRDefault="00D51215" w:rsidP="008C4E07">
      <w:pPr>
        <w:pStyle w:val="ListParagraph"/>
        <w:shd w:val="clear" w:color="auto" w:fill="E2EFD9" w:themeFill="accent6" w:themeFillTint="33"/>
        <w:ind w:left="0" w:firstLine="284"/>
        <w:jc w:val="both"/>
        <w:rPr>
          <w:rFonts w:ascii="Garamond" w:hAnsi="Garamond"/>
          <w:b/>
          <w:i/>
          <w:sz w:val="24"/>
        </w:rPr>
      </w:pPr>
      <w:r w:rsidRPr="00B907A3">
        <w:rPr>
          <w:rFonts w:ascii="Garamond" w:hAnsi="Garamond"/>
          <w:b/>
          <w:i/>
          <w:sz w:val="24"/>
        </w:rPr>
        <w:lastRenderedPageBreak/>
        <w:t xml:space="preserve">- </w:t>
      </w:r>
      <w:r w:rsidR="0071286E" w:rsidRPr="00B907A3">
        <w:rPr>
          <w:rFonts w:ascii="Garamond" w:hAnsi="Garamond"/>
          <w:b/>
          <w:i/>
          <w:sz w:val="24"/>
        </w:rPr>
        <w:t>Kujdesi dhe rehabilitimi pas aksidentit përfshijnë përmirësimin e të gjithë sistemit të shpëtimit, trajtimit dhe rikuperimit për të mbijetuarit e aksidenteve rrugore për të zvogëluar ashpërsinë e lëndimeve dhe pasojat përmes komunikimit më të mirë, ekspertizës, menaxhimit të të dhënave, shkallëzimit të lëndimeve dhe shërbimeve të rehabilitimit.</w:t>
      </w:r>
    </w:p>
    <w:p w14:paraId="34095F94" w14:textId="571268D0" w:rsidR="007814F5" w:rsidRPr="00795EA8" w:rsidRDefault="00D51215" w:rsidP="008C4E07">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178" w:name="_Toc208840604"/>
      <w:bookmarkStart w:id="179" w:name="_Toc133263463"/>
      <w:bookmarkStart w:id="180" w:name="_Toc135069834"/>
      <w:bookmarkStart w:id="181" w:name="_Toc156552095"/>
      <w:r w:rsidRPr="00795EA8">
        <w:rPr>
          <w:rFonts w:ascii="Garamond" w:hAnsi="Garamond"/>
          <w:b w:val="0"/>
          <w:color w:val="auto"/>
          <w:sz w:val="24"/>
          <w:szCs w:val="24"/>
          <w:lang w:val="sq-AL"/>
        </w:rPr>
        <w:t xml:space="preserve">6. </w:t>
      </w:r>
      <w:r w:rsidR="00453472" w:rsidRPr="00795EA8">
        <w:rPr>
          <w:rFonts w:ascii="Garamond" w:hAnsi="Garamond"/>
          <w:b w:val="0"/>
          <w:color w:val="auto"/>
          <w:sz w:val="24"/>
          <w:szCs w:val="24"/>
          <w:lang w:val="sq-AL"/>
        </w:rPr>
        <w:t>MENAXHIMI</w:t>
      </w:r>
      <w:r w:rsidR="0071286E" w:rsidRPr="00795EA8">
        <w:rPr>
          <w:rFonts w:ascii="Garamond" w:hAnsi="Garamond"/>
          <w:b w:val="0"/>
          <w:color w:val="auto"/>
          <w:sz w:val="24"/>
          <w:szCs w:val="24"/>
          <w:lang w:val="sq-AL"/>
        </w:rPr>
        <w:t xml:space="preserve">, ZBATIMI DHE MONITORIMI I STRATEGJISË </w:t>
      </w:r>
      <w:r w:rsidR="003363C3" w:rsidRPr="00795EA8">
        <w:rPr>
          <w:rFonts w:ascii="Garamond" w:hAnsi="Garamond"/>
          <w:b w:val="0"/>
          <w:color w:val="auto"/>
          <w:sz w:val="24"/>
          <w:szCs w:val="24"/>
          <w:lang w:val="sq-AL"/>
        </w:rPr>
        <w:t xml:space="preserve">PËR SIGURINË </w:t>
      </w:r>
      <w:r w:rsidR="0071286E" w:rsidRPr="00795EA8">
        <w:rPr>
          <w:rFonts w:ascii="Garamond" w:hAnsi="Garamond"/>
          <w:b w:val="0"/>
          <w:color w:val="auto"/>
          <w:sz w:val="24"/>
          <w:szCs w:val="24"/>
          <w:lang w:val="sq-AL"/>
        </w:rPr>
        <w:t>RRUGORE</w:t>
      </w:r>
      <w:bookmarkEnd w:id="178"/>
      <w:r w:rsidR="0071286E" w:rsidRPr="00795EA8">
        <w:rPr>
          <w:rFonts w:ascii="Garamond" w:hAnsi="Garamond"/>
          <w:b w:val="0"/>
          <w:color w:val="auto"/>
          <w:sz w:val="24"/>
          <w:szCs w:val="24"/>
          <w:lang w:val="sq-AL"/>
        </w:rPr>
        <w:t xml:space="preserve"> </w:t>
      </w:r>
    </w:p>
    <w:p w14:paraId="6558A7B3" w14:textId="43B19F93" w:rsidR="00B64951" w:rsidRPr="00B907A3" w:rsidRDefault="0071286E" w:rsidP="008C4E07">
      <w:pPr>
        <w:spacing w:after="0"/>
        <w:ind w:firstLine="284"/>
        <w:rPr>
          <w:rFonts w:ascii="Garamond" w:hAnsi="Garamond"/>
          <w:sz w:val="24"/>
        </w:rPr>
      </w:pPr>
      <w:r w:rsidRPr="00B907A3">
        <w:rPr>
          <w:rFonts w:ascii="Garamond" w:hAnsi="Garamond"/>
          <w:sz w:val="24"/>
        </w:rPr>
        <w:t xml:space="preserve">Zbatimi i suksesshëm i </w:t>
      </w:r>
      <w:r w:rsidR="005B413A" w:rsidRPr="00B907A3">
        <w:rPr>
          <w:rFonts w:ascii="Garamond" w:hAnsi="Garamond"/>
          <w:sz w:val="24"/>
        </w:rPr>
        <w:t>SSR</w:t>
      </w:r>
      <w:r w:rsidR="003363C3" w:rsidRPr="00B907A3">
        <w:rPr>
          <w:rFonts w:ascii="Garamond" w:hAnsi="Garamond"/>
          <w:sz w:val="24"/>
        </w:rPr>
        <w:t>r</w:t>
      </w:r>
      <w:r w:rsidRPr="00B907A3">
        <w:rPr>
          <w:rFonts w:ascii="Garamond" w:hAnsi="Garamond"/>
          <w:sz w:val="24"/>
        </w:rPr>
        <w:t xml:space="preserve">-së dhe </w:t>
      </w:r>
      <w:r w:rsidR="000B1794" w:rsidRPr="00B907A3">
        <w:rPr>
          <w:rFonts w:ascii="Garamond" w:hAnsi="Garamond"/>
          <w:sz w:val="24"/>
        </w:rPr>
        <w:t>PVSSRR</w:t>
      </w:r>
      <w:r w:rsidRPr="00B907A3">
        <w:rPr>
          <w:rFonts w:ascii="Garamond" w:hAnsi="Garamond"/>
          <w:sz w:val="24"/>
        </w:rPr>
        <w:t>-së shoqëruese varet nga disa faktorë, siç janë</w:t>
      </w:r>
      <w:r w:rsidR="00B64951" w:rsidRPr="00B907A3">
        <w:rPr>
          <w:rFonts w:ascii="Garamond" w:hAnsi="Garamond"/>
          <w:sz w:val="24"/>
        </w:rPr>
        <w:t>:</w:t>
      </w:r>
    </w:p>
    <w:p w14:paraId="74C4E831" w14:textId="3CC7F391" w:rsidR="00853FB0" w:rsidRPr="00B907A3" w:rsidRDefault="00853FB0" w:rsidP="008C4E07">
      <w:pPr>
        <w:spacing w:after="0"/>
        <w:ind w:firstLine="284"/>
        <w:rPr>
          <w:rFonts w:ascii="Garamond" w:hAnsi="Garamond"/>
          <w:sz w:val="24"/>
        </w:rPr>
      </w:pPr>
      <w:r w:rsidRPr="00B907A3">
        <w:rPr>
          <w:rFonts w:ascii="Garamond" w:hAnsi="Garamond"/>
          <w:sz w:val="24"/>
        </w:rPr>
        <w:t xml:space="preserve">Angazhim politik në nivel të lartë për objektivin </w:t>
      </w:r>
      <w:r w:rsidR="003363C3" w:rsidRPr="00B907A3">
        <w:rPr>
          <w:rFonts w:ascii="Garamond" w:hAnsi="Garamond"/>
          <w:sz w:val="24"/>
        </w:rPr>
        <w:t>e p</w:t>
      </w:r>
      <w:r w:rsidR="003363C3" w:rsidRPr="00B907A3">
        <w:rPr>
          <w:rFonts w:ascii="Garamond" w:hAnsi="Garamond"/>
          <w:sz w:val="24"/>
          <w:lang w:eastAsia="pl-PL"/>
        </w:rPr>
        <w:t xml:space="preserve">ërgjithshëm dhe objektivat </w:t>
      </w:r>
      <w:r w:rsidR="003363C3" w:rsidRPr="00B907A3">
        <w:rPr>
          <w:rFonts w:ascii="Garamond" w:hAnsi="Garamond"/>
          <w:sz w:val="24"/>
        </w:rPr>
        <w:t>specifik</w:t>
      </w:r>
      <w:r w:rsidR="00D121E9" w:rsidRPr="00B907A3">
        <w:rPr>
          <w:rFonts w:ascii="Garamond" w:hAnsi="Garamond"/>
          <w:sz w:val="24"/>
          <w:lang w:eastAsia="sl-SI"/>
        </w:rPr>
        <w:t>ë</w:t>
      </w:r>
      <w:r w:rsidR="003363C3" w:rsidRPr="00B907A3">
        <w:rPr>
          <w:rFonts w:ascii="Garamond" w:hAnsi="Garamond"/>
          <w:sz w:val="24"/>
        </w:rPr>
        <w:t xml:space="preserve"> t</w:t>
      </w:r>
      <w:r w:rsidR="003363C3" w:rsidRPr="00B907A3">
        <w:rPr>
          <w:rFonts w:ascii="Garamond" w:hAnsi="Garamond"/>
          <w:sz w:val="24"/>
          <w:lang w:eastAsia="pl-PL"/>
        </w:rPr>
        <w:t xml:space="preserve">ë </w:t>
      </w:r>
      <w:r w:rsidRPr="00B907A3">
        <w:rPr>
          <w:rFonts w:ascii="Garamond" w:hAnsi="Garamond"/>
          <w:sz w:val="24"/>
        </w:rPr>
        <w:t>sigurisë rrugore;</w:t>
      </w:r>
    </w:p>
    <w:p w14:paraId="410CA33A" w14:textId="12863264" w:rsidR="00853FB0" w:rsidRPr="00B907A3" w:rsidRDefault="00D51215" w:rsidP="008C4E07">
      <w:pPr>
        <w:spacing w:after="0"/>
        <w:ind w:firstLine="284"/>
        <w:rPr>
          <w:rFonts w:ascii="Garamond" w:hAnsi="Garamond"/>
          <w:sz w:val="24"/>
        </w:rPr>
      </w:pPr>
      <w:r w:rsidRPr="00B907A3">
        <w:rPr>
          <w:rFonts w:ascii="Garamond" w:hAnsi="Garamond"/>
          <w:sz w:val="24"/>
        </w:rPr>
        <w:t>-</w:t>
      </w:r>
      <w:r w:rsidR="00853FB0" w:rsidRPr="00B907A3">
        <w:rPr>
          <w:rFonts w:ascii="Garamond" w:hAnsi="Garamond"/>
          <w:sz w:val="24"/>
        </w:rPr>
        <w:t xml:space="preserve"> Dokumente zyrtare të politikave të sigurisë rrugore të miratuara (</w:t>
      </w:r>
      <w:r w:rsidR="005B413A" w:rsidRPr="00B907A3">
        <w:rPr>
          <w:rFonts w:ascii="Garamond" w:hAnsi="Garamond"/>
          <w:sz w:val="24"/>
        </w:rPr>
        <w:t>SSR</w:t>
      </w:r>
      <w:r w:rsidR="003363C3" w:rsidRPr="00B907A3">
        <w:rPr>
          <w:rFonts w:ascii="Garamond" w:hAnsi="Garamond"/>
          <w:sz w:val="24"/>
        </w:rPr>
        <w:t>R</w:t>
      </w:r>
      <w:r w:rsidR="00853FB0" w:rsidRPr="00B907A3">
        <w:rPr>
          <w:rFonts w:ascii="Garamond" w:hAnsi="Garamond"/>
          <w:sz w:val="24"/>
        </w:rPr>
        <w:t xml:space="preserve"> dhe </w:t>
      </w:r>
      <w:r w:rsidR="000B1794" w:rsidRPr="00B907A3">
        <w:rPr>
          <w:rFonts w:ascii="Garamond" w:hAnsi="Garamond"/>
          <w:sz w:val="24"/>
        </w:rPr>
        <w:t>PVSSRR</w:t>
      </w:r>
      <w:r w:rsidR="00853FB0" w:rsidRPr="00B907A3">
        <w:rPr>
          <w:rFonts w:ascii="Garamond" w:hAnsi="Garamond"/>
          <w:sz w:val="24"/>
        </w:rPr>
        <w:t xml:space="preserve">) dhe përmirësim i legjislacionit të nevojshëm për </w:t>
      </w:r>
      <w:r w:rsidR="009776FC" w:rsidRPr="00B907A3">
        <w:rPr>
          <w:rFonts w:ascii="Garamond" w:hAnsi="Garamond"/>
          <w:sz w:val="24"/>
        </w:rPr>
        <w:t>menaxhimin</w:t>
      </w:r>
      <w:r w:rsidR="00853FB0" w:rsidRPr="00B907A3">
        <w:rPr>
          <w:rFonts w:ascii="Garamond" w:hAnsi="Garamond"/>
          <w:sz w:val="24"/>
        </w:rPr>
        <w:t xml:space="preserve"> dhe zbatimin e ndërhyrjeve në sigurinë rrugore;</w:t>
      </w:r>
    </w:p>
    <w:p w14:paraId="1CDEB2A0" w14:textId="7C8CC4BA" w:rsidR="00853FB0" w:rsidRPr="00B907A3" w:rsidRDefault="00D51215" w:rsidP="008C4E07">
      <w:pPr>
        <w:spacing w:after="0"/>
        <w:ind w:firstLine="284"/>
        <w:rPr>
          <w:rFonts w:ascii="Garamond" w:hAnsi="Garamond"/>
          <w:sz w:val="24"/>
        </w:rPr>
      </w:pPr>
      <w:r w:rsidRPr="00B907A3">
        <w:rPr>
          <w:rFonts w:ascii="Garamond" w:hAnsi="Garamond"/>
          <w:sz w:val="24"/>
        </w:rPr>
        <w:t>-</w:t>
      </w:r>
      <w:r w:rsidR="00853FB0" w:rsidRPr="00B907A3">
        <w:rPr>
          <w:rFonts w:ascii="Garamond" w:hAnsi="Garamond"/>
          <w:sz w:val="24"/>
        </w:rPr>
        <w:t xml:space="preserve"> Sistem i krijuar i </w:t>
      </w:r>
      <w:r w:rsidR="009776FC" w:rsidRPr="00B907A3">
        <w:rPr>
          <w:rFonts w:ascii="Garamond" w:hAnsi="Garamond"/>
          <w:sz w:val="24"/>
        </w:rPr>
        <w:t>menaxhimit</w:t>
      </w:r>
      <w:r w:rsidR="00853FB0" w:rsidRPr="00B907A3">
        <w:rPr>
          <w:rFonts w:ascii="Garamond" w:hAnsi="Garamond"/>
          <w:sz w:val="24"/>
        </w:rPr>
        <w:t xml:space="preserve"> së sigurisë rrugore me aktorë kyç të dedikuar dhe me burimet e nevojshme (institucionale dhe njerëzore) si dhe me përgjegjësi të qarta;</w:t>
      </w:r>
    </w:p>
    <w:p w14:paraId="267773B3" w14:textId="7F514DE9" w:rsidR="00853FB0" w:rsidRPr="00B907A3" w:rsidRDefault="00D51215" w:rsidP="008C4E07">
      <w:pPr>
        <w:spacing w:after="0"/>
        <w:ind w:firstLine="284"/>
        <w:rPr>
          <w:rFonts w:ascii="Garamond" w:hAnsi="Garamond"/>
          <w:sz w:val="24"/>
        </w:rPr>
      </w:pPr>
      <w:r w:rsidRPr="00B907A3">
        <w:rPr>
          <w:rFonts w:ascii="Garamond" w:hAnsi="Garamond"/>
          <w:sz w:val="24"/>
        </w:rPr>
        <w:t>-</w:t>
      </w:r>
      <w:r w:rsidR="00853FB0" w:rsidRPr="00B907A3">
        <w:rPr>
          <w:rFonts w:ascii="Garamond" w:hAnsi="Garamond"/>
          <w:sz w:val="24"/>
        </w:rPr>
        <w:t xml:space="preserve"> Mundës</w:t>
      </w:r>
      <w:r w:rsidR="00445E86" w:rsidRPr="00B907A3">
        <w:rPr>
          <w:rFonts w:ascii="Garamond" w:hAnsi="Garamond"/>
          <w:sz w:val="24"/>
        </w:rPr>
        <w:t>imi i</w:t>
      </w:r>
      <w:r w:rsidR="00853FB0" w:rsidRPr="00B907A3">
        <w:rPr>
          <w:rFonts w:ascii="Garamond" w:hAnsi="Garamond"/>
          <w:sz w:val="24"/>
        </w:rPr>
        <w:t xml:space="preserve"> ndarj</w:t>
      </w:r>
      <w:r w:rsidR="00445E86" w:rsidRPr="00B907A3">
        <w:rPr>
          <w:rFonts w:ascii="Garamond" w:hAnsi="Garamond"/>
          <w:sz w:val="24"/>
        </w:rPr>
        <w:t>es</w:t>
      </w:r>
      <w:r w:rsidR="00853FB0" w:rsidRPr="00B907A3">
        <w:rPr>
          <w:rFonts w:ascii="Garamond" w:hAnsi="Garamond"/>
          <w:sz w:val="24"/>
        </w:rPr>
        <w:t xml:space="preserve"> efikase e të dhënave në lidhje me sigurinë rrugore, me krahasim periodik dhe përdorim të </w:t>
      </w:r>
      <w:r w:rsidR="00445E86" w:rsidRPr="00B907A3">
        <w:rPr>
          <w:rFonts w:ascii="Garamond" w:hAnsi="Garamond"/>
          <w:sz w:val="24"/>
        </w:rPr>
        <w:t>Treguesv</w:t>
      </w:r>
      <w:r w:rsidR="003363C3" w:rsidRPr="00B907A3">
        <w:rPr>
          <w:rFonts w:ascii="Garamond" w:hAnsi="Garamond"/>
          <w:sz w:val="24"/>
        </w:rPr>
        <w:t xml:space="preserve">e Kyç </w:t>
      </w:r>
      <w:r w:rsidR="00853FB0" w:rsidRPr="00B907A3">
        <w:rPr>
          <w:rFonts w:ascii="Garamond" w:hAnsi="Garamond"/>
          <w:sz w:val="24"/>
        </w:rPr>
        <w:t xml:space="preserve">të </w:t>
      </w:r>
      <w:r w:rsidR="003363C3" w:rsidRPr="00B907A3">
        <w:rPr>
          <w:rFonts w:ascii="Garamond" w:hAnsi="Garamond"/>
          <w:sz w:val="24"/>
        </w:rPr>
        <w:t xml:space="preserve">Performancës </w:t>
      </w:r>
      <w:r w:rsidR="00853FB0" w:rsidRPr="00B907A3">
        <w:rPr>
          <w:rFonts w:ascii="Garamond" w:hAnsi="Garamond"/>
          <w:sz w:val="24"/>
        </w:rPr>
        <w:t>(</w:t>
      </w:r>
      <w:r w:rsidR="00D72BFC" w:rsidRPr="00B907A3">
        <w:rPr>
          <w:rFonts w:ascii="Garamond" w:hAnsi="Garamond"/>
          <w:sz w:val="24"/>
        </w:rPr>
        <w:t>T</w:t>
      </w:r>
      <w:r w:rsidR="003363C3" w:rsidRPr="00B907A3">
        <w:rPr>
          <w:rFonts w:ascii="Garamond" w:hAnsi="Garamond"/>
          <w:sz w:val="24"/>
        </w:rPr>
        <w:t>KP</w:t>
      </w:r>
      <w:r w:rsidR="00853FB0" w:rsidRPr="00B907A3">
        <w:rPr>
          <w:rFonts w:ascii="Garamond" w:hAnsi="Garamond"/>
          <w:sz w:val="24"/>
        </w:rPr>
        <w:t>) nga të gjithë aktorët kryesorë;</w:t>
      </w:r>
    </w:p>
    <w:p w14:paraId="4F9E701F" w14:textId="0983DC33" w:rsidR="00853FB0" w:rsidRPr="00B907A3" w:rsidRDefault="00D51215" w:rsidP="008C4E07">
      <w:pPr>
        <w:spacing w:after="0"/>
        <w:ind w:firstLine="284"/>
        <w:rPr>
          <w:rFonts w:ascii="Garamond" w:hAnsi="Garamond"/>
          <w:sz w:val="24"/>
        </w:rPr>
      </w:pPr>
      <w:r w:rsidRPr="00B907A3">
        <w:rPr>
          <w:rFonts w:ascii="Garamond" w:hAnsi="Garamond"/>
          <w:sz w:val="24"/>
        </w:rPr>
        <w:t>-</w:t>
      </w:r>
      <w:r w:rsidR="00853FB0" w:rsidRPr="00B907A3">
        <w:rPr>
          <w:rFonts w:ascii="Garamond" w:hAnsi="Garamond"/>
          <w:sz w:val="24"/>
        </w:rPr>
        <w:t xml:space="preserve"> Zbatim i plotë dhe në kohë i </w:t>
      </w:r>
      <w:r w:rsidR="000B1794" w:rsidRPr="00B907A3">
        <w:rPr>
          <w:rFonts w:ascii="Garamond" w:hAnsi="Garamond"/>
          <w:sz w:val="24"/>
        </w:rPr>
        <w:t>PVSSRR</w:t>
      </w:r>
      <w:r w:rsidR="00853FB0" w:rsidRPr="00B907A3">
        <w:rPr>
          <w:rFonts w:ascii="Garamond" w:hAnsi="Garamond"/>
          <w:sz w:val="24"/>
        </w:rPr>
        <w:t xml:space="preserve"> me ndërhyrje të bazuara në prova;</w:t>
      </w:r>
    </w:p>
    <w:p w14:paraId="0C4023CA" w14:textId="6B9A35DD" w:rsidR="00853FB0" w:rsidRPr="00B907A3" w:rsidRDefault="00D51215" w:rsidP="008C4E07">
      <w:pPr>
        <w:spacing w:after="0"/>
        <w:ind w:firstLine="284"/>
        <w:rPr>
          <w:rFonts w:ascii="Garamond" w:hAnsi="Garamond"/>
          <w:sz w:val="24"/>
        </w:rPr>
      </w:pPr>
      <w:r w:rsidRPr="00B907A3">
        <w:rPr>
          <w:rFonts w:ascii="Garamond" w:hAnsi="Garamond"/>
          <w:sz w:val="24"/>
        </w:rPr>
        <w:t>-</w:t>
      </w:r>
      <w:r w:rsidR="00853FB0" w:rsidRPr="00B907A3">
        <w:rPr>
          <w:rFonts w:ascii="Garamond" w:hAnsi="Garamond"/>
          <w:sz w:val="24"/>
        </w:rPr>
        <w:t xml:space="preserve"> Financim i mjaftueshëm dhe i qëndrueshëm dhe ndarje burimesh për ndërhyrjet e planifikuara; dhe</w:t>
      </w:r>
    </w:p>
    <w:p w14:paraId="23B0F576" w14:textId="2EA98849" w:rsidR="00D42937" w:rsidRPr="00B907A3" w:rsidRDefault="00D51215" w:rsidP="008C4E07">
      <w:pPr>
        <w:spacing w:after="0"/>
        <w:ind w:firstLine="284"/>
        <w:rPr>
          <w:rFonts w:ascii="Garamond" w:hAnsi="Garamond"/>
          <w:sz w:val="24"/>
        </w:rPr>
      </w:pPr>
      <w:r w:rsidRPr="00B907A3">
        <w:rPr>
          <w:rFonts w:ascii="Garamond" w:hAnsi="Garamond"/>
          <w:sz w:val="24"/>
        </w:rPr>
        <w:t>-</w:t>
      </w:r>
      <w:r w:rsidR="00853FB0" w:rsidRPr="00B907A3">
        <w:rPr>
          <w:rFonts w:ascii="Garamond" w:hAnsi="Garamond"/>
          <w:sz w:val="24"/>
        </w:rPr>
        <w:t xml:space="preserve"> Mundës</w:t>
      </w:r>
      <w:r w:rsidR="00FF560A" w:rsidRPr="00B907A3">
        <w:rPr>
          <w:rFonts w:ascii="Garamond" w:hAnsi="Garamond"/>
          <w:sz w:val="24"/>
        </w:rPr>
        <w:t xml:space="preserve">imi i </w:t>
      </w:r>
      <w:r w:rsidR="00853FB0" w:rsidRPr="00B907A3">
        <w:rPr>
          <w:rFonts w:ascii="Garamond" w:hAnsi="Garamond"/>
          <w:sz w:val="24"/>
        </w:rPr>
        <w:t>mbështetje</w:t>
      </w:r>
      <w:r w:rsidR="00FF560A" w:rsidRPr="00B907A3">
        <w:rPr>
          <w:rFonts w:ascii="Garamond" w:hAnsi="Garamond"/>
          <w:sz w:val="24"/>
        </w:rPr>
        <w:t>s s</w:t>
      </w:r>
      <w:r w:rsidR="00853FB0" w:rsidRPr="00B907A3">
        <w:rPr>
          <w:rFonts w:ascii="Garamond" w:hAnsi="Garamond"/>
          <w:sz w:val="24"/>
        </w:rPr>
        <w:t>ë gjithanshme dhe të vazhdueshme nga publiku dhe mediat për ndërhyrjet dhe aktivitetet e planifikuara.</w:t>
      </w:r>
    </w:p>
    <w:p w14:paraId="24CE11F5" w14:textId="382A5783" w:rsidR="004C1966" w:rsidRPr="00B907A3" w:rsidRDefault="004C1966" w:rsidP="008C4E07">
      <w:pPr>
        <w:spacing w:after="0"/>
        <w:ind w:firstLine="284"/>
        <w:rPr>
          <w:rFonts w:ascii="Garamond" w:hAnsi="Garamond"/>
          <w:sz w:val="24"/>
        </w:rPr>
      </w:pPr>
      <w:r w:rsidRPr="00B907A3">
        <w:rPr>
          <w:rFonts w:ascii="Garamond" w:hAnsi="Garamond"/>
          <w:sz w:val="24"/>
        </w:rPr>
        <w:t>Si një mënyrë për të zbutur r</w:t>
      </w:r>
      <w:r w:rsidR="00FF560A" w:rsidRPr="00B907A3">
        <w:rPr>
          <w:rFonts w:ascii="Garamond" w:hAnsi="Garamond"/>
          <w:sz w:val="24"/>
        </w:rPr>
        <w:t xml:space="preserve">isqet potenciale </w:t>
      </w:r>
      <w:r w:rsidRPr="00B907A3">
        <w:rPr>
          <w:rFonts w:ascii="Garamond" w:hAnsi="Garamond"/>
          <w:sz w:val="24"/>
        </w:rPr>
        <w:t xml:space="preserve">për zbatimin e </w:t>
      </w:r>
      <w:r w:rsidR="005B413A" w:rsidRPr="00B907A3">
        <w:rPr>
          <w:rFonts w:ascii="Garamond" w:hAnsi="Garamond"/>
          <w:sz w:val="24"/>
        </w:rPr>
        <w:t>SSR</w:t>
      </w:r>
      <w:r w:rsidRPr="00B907A3">
        <w:rPr>
          <w:rFonts w:ascii="Garamond" w:hAnsi="Garamond"/>
          <w:sz w:val="24"/>
        </w:rPr>
        <w:t xml:space="preserve"> dhe </w:t>
      </w:r>
      <w:r w:rsidR="000B1794" w:rsidRPr="00B907A3">
        <w:rPr>
          <w:rFonts w:ascii="Garamond" w:hAnsi="Garamond"/>
          <w:sz w:val="24"/>
        </w:rPr>
        <w:t>PVSSRR</w:t>
      </w:r>
      <w:r w:rsidRPr="00B907A3">
        <w:rPr>
          <w:rFonts w:ascii="Garamond" w:hAnsi="Garamond"/>
          <w:sz w:val="24"/>
        </w:rPr>
        <w:t xml:space="preserve"> dhe, në përgjithësi, për të rritur shanset për sukses, </w:t>
      </w:r>
      <w:r w:rsidR="00FB6372" w:rsidRPr="00B907A3">
        <w:rPr>
          <w:rFonts w:ascii="Garamond" w:hAnsi="Garamond"/>
          <w:sz w:val="24"/>
        </w:rPr>
        <w:t>menaxhimi i</w:t>
      </w:r>
      <w:r w:rsidRPr="00B907A3">
        <w:rPr>
          <w:rFonts w:ascii="Garamond" w:hAnsi="Garamond"/>
          <w:sz w:val="24"/>
        </w:rPr>
        <w:t xml:space="preserve"> sigurisë rrugore, financimi i aktiviteteve dhe monitorimi/vlerësimi do të paraqiten më në detaje.</w:t>
      </w:r>
    </w:p>
    <w:p w14:paraId="4EDE341D" w14:textId="72A6BB20" w:rsidR="00947263" w:rsidRPr="00B907A3" w:rsidRDefault="00D51215" w:rsidP="008C4E07">
      <w:pPr>
        <w:pStyle w:val="Heading2"/>
        <w:numPr>
          <w:ilvl w:val="0"/>
          <w:numId w:val="0"/>
        </w:numPr>
        <w:spacing w:after="0"/>
        <w:ind w:firstLine="284"/>
        <w:rPr>
          <w:rFonts w:ascii="Garamond" w:hAnsi="Garamond"/>
          <w:color w:val="auto"/>
          <w:lang w:val="sq-AL"/>
        </w:rPr>
      </w:pPr>
      <w:bookmarkStart w:id="182" w:name="_Toc208840605"/>
      <w:r w:rsidRPr="00B907A3">
        <w:rPr>
          <w:rFonts w:ascii="Garamond" w:hAnsi="Garamond"/>
          <w:color w:val="auto"/>
          <w:lang w:val="sq-AL"/>
        </w:rPr>
        <w:t xml:space="preserve">6.1 </w:t>
      </w:r>
      <w:r w:rsidR="00315D2B" w:rsidRPr="00B907A3">
        <w:rPr>
          <w:rFonts w:ascii="Garamond" w:hAnsi="Garamond"/>
          <w:color w:val="auto"/>
          <w:lang w:val="sq-AL"/>
        </w:rPr>
        <w:t xml:space="preserve">Modeli i </w:t>
      </w:r>
      <w:r w:rsidR="00795EA8" w:rsidRPr="00B907A3">
        <w:rPr>
          <w:rFonts w:ascii="Garamond" w:hAnsi="Garamond"/>
          <w:color w:val="auto"/>
          <w:lang w:val="sq-AL"/>
        </w:rPr>
        <w:t xml:space="preserve">qeverisjes dhe koordinimit </w:t>
      </w:r>
      <w:r w:rsidR="00315D2B" w:rsidRPr="00B907A3">
        <w:rPr>
          <w:rFonts w:ascii="Garamond" w:hAnsi="Garamond"/>
          <w:color w:val="auto"/>
          <w:lang w:val="sq-AL"/>
        </w:rPr>
        <w:t>(përgjegjësi e përbashkët)</w:t>
      </w:r>
      <w:bookmarkEnd w:id="182"/>
    </w:p>
    <w:p w14:paraId="2555E191" w14:textId="1A397910" w:rsidR="009803D3" w:rsidRPr="00B907A3" w:rsidRDefault="0074329B"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Një përgjegjësi e përbashkët në të gjitha pjesët e </w:t>
      </w:r>
      <w:r w:rsidR="00EF5DD9" w:rsidRPr="00B907A3">
        <w:rPr>
          <w:rFonts w:ascii="Garamond" w:eastAsia="Calibri" w:hAnsi="Garamond"/>
          <w:spacing w:val="-2"/>
          <w:w w:val="105"/>
          <w:sz w:val="24"/>
          <w:lang w:eastAsia="en-US"/>
        </w:rPr>
        <w:t>MSRR</w:t>
      </w:r>
      <w:r w:rsidRPr="00B907A3">
        <w:rPr>
          <w:rFonts w:ascii="Garamond" w:eastAsia="Calibri" w:hAnsi="Garamond"/>
          <w:spacing w:val="-2"/>
          <w:w w:val="105"/>
          <w:sz w:val="24"/>
          <w:lang w:eastAsia="en-US"/>
        </w:rPr>
        <w:t xml:space="preserve">-së është një nga parimet themelore të </w:t>
      </w:r>
      <w:r w:rsidR="00FF560A" w:rsidRPr="00B907A3">
        <w:rPr>
          <w:rFonts w:ascii="Garamond" w:eastAsia="Calibri" w:hAnsi="Garamond"/>
          <w:spacing w:val="-2"/>
          <w:w w:val="105"/>
          <w:sz w:val="24"/>
          <w:lang w:eastAsia="en-US"/>
        </w:rPr>
        <w:t xml:space="preserve">Qasjes </w:t>
      </w:r>
      <w:r w:rsidRPr="00B907A3">
        <w:rPr>
          <w:rFonts w:ascii="Garamond" w:eastAsia="Calibri" w:hAnsi="Garamond"/>
          <w:spacing w:val="-2"/>
          <w:w w:val="105"/>
          <w:sz w:val="24"/>
          <w:lang w:eastAsia="en-US"/>
        </w:rPr>
        <w:t>së Sistemit të Sigurt</w:t>
      </w:r>
      <w:r w:rsidR="00887CC6">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dhe </w:t>
      </w:r>
      <w:r w:rsidR="005B413A" w:rsidRPr="00B907A3">
        <w:rPr>
          <w:rFonts w:ascii="Garamond" w:eastAsia="Calibri" w:hAnsi="Garamond"/>
          <w:spacing w:val="-2"/>
          <w:w w:val="105"/>
          <w:sz w:val="24"/>
          <w:lang w:eastAsia="en-US"/>
        </w:rPr>
        <w:t>SSR</w:t>
      </w:r>
      <w:r w:rsidR="00FF560A" w:rsidRPr="00B907A3">
        <w:rPr>
          <w:rFonts w:ascii="Garamond" w:eastAsia="Calibri" w:hAnsi="Garamond"/>
          <w:spacing w:val="-2"/>
          <w:w w:val="105"/>
          <w:sz w:val="24"/>
          <w:lang w:eastAsia="en-US"/>
        </w:rPr>
        <w:t>R</w:t>
      </w:r>
      <w:r w:rsidRPr="00B907A3">
        <w:rPr>
          <w:rFonts w:ascii="Garamond" w:eastAsia="Calibri" w:hAnsi="Garamond"/>
          <w:spacing w:val="-2"/>
          <w:w w:val="105"/>
          <w:sz w:val="24"/>
          <w:lang w:eastAsia="en-US"/>
        </w:rPr>
        <w:t xml:space="preserve">-së. Përgjegjësia për zbatimin e </w:t>
      </w:r>
      <w:r w:rsidR="00EA19E6" w:rsidRPr="00B907A3">
        <w:rPr>
          <w:rFonts w:ascii="Garamond" w:eastAsia="Calibri" w:hAnsi="Garamond"/>
          <w:spacing w:val="-2"/>
          <w:w w:val="105"/>
          <w:sz w:val="24"/>
          <w:lang w:eastAsia="en-US"/>
        </w:rPr>
        <w:t>Q</w:t>
      </w:r>
      <w:r w:rsidR="00FF560A" w:rsidRPr="00B907A3">
        <w:rPr>
          <w:rFonts w:ascii="Garamond" w:eastAsia="Calibri" w:hAnsi="Garamond"/>
          <w:spacing w:val="-2"/>
          <w:w w:val="105"/>
          <w:sz w:val="24"/>
          <w:lang w:eastAsia="en-US"/>
        </w:rPr>
        <w:t>S</w:t>
      </w:r>
      <w:r w:rsidR="00EA19E6" w:rsidRPr="00B907A3">
        <w:rPr>
          <w:rFonts w:ascii="Garamond" w:eastAsia="Calibri" w:hAnsi="Garamond"/>
          <w:spacing w:val="-2"/>
          <w:w w:val="105"/>
          <w:sz w:val="24"/>
          <w:lang w:eastAsia="en-US"/>
        </w:rPr>
        <w:t>S</w:t>
      </w:r>
      <w:r w:rsidR="00FF560A"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-së në të gjitha politikat dhe praktikat e sigurisë rrugore do të ndahet në të gjitha palët e interesuara kryesore të sigurisë rrugore.</w:t>
      </w:r>
    </w:p>
    <w:p w14:paraId="3D8225CF" w14:textId="1A8AF766" w:rsidR="007236DD" w:rsidRPr="00B907A3" w:rsidRDefault="005C3F3F"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Për të mundësuar </w:t>
      </w:r>
      <w:r w:rsidR="001E67EB" w:rsidRPr="00B907A3">
        <w:rPr>
          <w:rFonts w:ascii="Garamond" w:eastAsia="Calibri" w:hAnsi="Garamond"/>
          <w:spacing w:val="-2"/>
          <w:w w:val="105"/>
          <w:sz w:val="24"/>
          <w:lang w:eastAsia="en-US"/>
        </w:rPr>
        <w:t xml:space="preserve">koordinim dhe </w:t>
      </w:r>
      <w:r w:rsidR="00AA6F05" w:rsidRPr="00B907A3">
        <w:rPr>
          <w:rFonts w:ascii="Garamond" w:eastAsia="Calibri" w:hAnsi="Garamond"/>
          <w:spacing w:val="-2"/>
          <w:w w:val="105"/>
          <w:sz w:val="24"/>
          <w:lang w:eastAsia="en-US"/>
        </w:rPr>
        <w:t>mbështetje</w:t>
      </w:r>
      <w:r w:rsidR="007D5011" w:rsidRPr="00B907A3">
        <w:rPr>
          <w:rFonts w:ascii="Garamond" w:eastAsia="Calibri" w:hAnsi="Garamond"/>
          <w:spacing w:val="-2"/>
          <w:w w:val="105"/>
          <w:sz w:val="24"/>
          <w:lang w:eastAsia="en-US"/>
        </w:rPr>
        <w:t xml:space="preserve"> për aktivitetet e Planit të Veprimit të </w:t>
      </w:r>
      <w:r w:rsidR="005C1DD9" w:rsidRPr="00B907A3">
        <w:rPr>
          <w:rFonts w:ascii="Garamond" w:eastAsia="Calibri" w:hAnsi="Garamond"/>
          <w:spacing w:val="-2"/>
          <w:w w:val="105"/>
          <w:sz w:val="24"/>
          <w:lang w:eastAsia="en-US"/>
        </w:rPr>
        <w:t>Strategjisë</w:t>
      </w:r>
      <w:r w:rsidR="007D5011" w:rsidRPr="00B907A3">
        <w:rPr>
          <w:rFonts w:ascii="Garamond" w:eastAsia="Calibri" w:hAnsi="Garamond"/>
          <w:spacing w:val="-2"/>
          <w:w w:val="105"/>
          <w:sz w:val="24"/>
          <w:lang w:eastAsia="en-US"/>
        </w:rPr>
        <w:t xml:space="preserve"> </w:t>
      </w:r>
      <w:r w:rsidR="00014B8E" w:rsidRPr="00B907A3">
        <w:rPr>
          <w:rFonts w:ascii="Garamond" w:eastAsia="Calibri" w:hAnsi="Garamond"/>
          <w:spacing w:val="-2"/>
          <w:w w:val="105"/>
          <w:sz w:val="24"/>
          <w:lang w:eastAsia="en-US"/>
        </w:rPr>
        <w:t>do të krijohet një grup ndërinstitucional</w:t>
      </w:r>
      <w:r w:rsidR="00020465" w:rsidRPr="00B907A3">
        <w:rPr>
          <w:rFonts w:ascii="Garamond" w:eastAsia="Calibri" w:hAnsi="Garamond"/>
          <w:spacing w:val="-2"/>
          <w:w w:val="105"/>
          <w:sz w:val="24"/>
          <w:lang w:eastAsia="en-US"/>
        </w:rPr>
        <w:t xml:space="preserve"> pune me përfaqësues nga institucionet </w:t>
      </w:r>
      <w:r w:rsidR="000C1157" w:rsidRPr="00B907A3">
        <w:rPr>
          <w:rFonts w:ascii="Garamond" w:eastAsia="Calibri" w:hAnsi="Garamond"/>
          <w:spacing w:val="-2"/>
          <w:w w:val="105"/>
          <w:sz w:val="24"/>
          <w:lang w:eastAsia="en-US"/>
        </w:rPr>
        <w:t>përgjegjëse të sigurisë rrugore</w:t>
      </w:r>
      <w:r w:rsidR="0074329B" w:rsidRPr="00B907A3">
        <w:rPr>
          <w:rFonts w:ascii="Garamond" w:eastAsia="Calibri" w:hAnsi="Garamond"/>
          <w:spacing w:val="-2"/>
          <w:w w:val="105"/>
          <w:sz w:val="24"/>
          <w:lang w:eastAsia="en-US"/>
        </w:rPr>
        <w:t>.</w:t>
      </w:r>
    </w:p>
    <w:p w14:paraId="5F4109C4" w14:textId="20276C2F" w:rsidR="005E1F61" w:rsidRPr="00B907A3" w:rsidRDefault="00D51215" w:rsidP="008C4E07">
      <w:pPr>
        <w:pStyle w:val="Heading2"/>
        <w:numPr>
          <w:ilvl w:val="0"/>
          <w:numId w:val="0"/>
        </w:numPr>
        <w:spacing w:after="0"/>
        <w:ind w:firstLine="284"/>
        <w:rPr>
          <w:rFonts w:ascii="Garamond" w:hAnsi="Garamond"/>
          <w:color w:val="auto"/>
          <w:lang w:val="sq-AL"/>
        </w:rPr>
      </w:pPr>
      <w:bookmarkStart w:id="183" w:name="_Toc196920151"/>
      <w:bookmarkStart w:id="184" w:name="_Toc197068008"/>
      <w:bookmarkStart w:id="185" w:name="_Toc197088830"/>
      <w:bookmarkStart w:id="186" w:name="_Toc197088888"/>
      <w:bookmarkStart w:id="187" w:name="_Toc208840606"/>
      <w:bookmarkEnd w:id="183"/>
      <w:bookmarkEnd w:id="184"/>
      <w:bookmarkEnd w:id="185"/>
      <w:bookmarkEnd w:id="186"/>
      <w:r w:rsidRPr="00B907A3">
        <w:rPr>
          <w:rFonts w:ascii="Garamond" w:hAnsi="Garamond"/>
          <w:color w:val="auto"/>
          <w:lang w:val="sq-AL"/>
        </w:rPr>
        <w:t xml:space="preserve">6.2 </w:t>
      </w:r>
      <w:r w:rsidR="009E6E89" w:rsidRPr="00B907A3">
        <w:rPr>
          <w:rFonts w:ascii="Garamond" w:hAnsi="Garamond"/>
          <w:color w:val="auto"/>
          <w:lang w:val="sq-AL"/>
        </w:rPr>
        <w:t>Financimi dhe investimet</w:t>
      </w:r>
      <w:bookmarkEnd w:id="187"/>
    </w:p>
    <w:p w14:paraId="3D63D0B8" w14:textId="5C6F41D9" w:rsidR="007F6824" w:rsidRPr="00B907A3" w:rsidRDefault="00056ACB"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Sigurimi i fondeve dhe burimeve të dedikuara për përmbushjen e Strategjisë së Sigurisë Rrugore (</w:t>
      </w:r>
      <w:r w:rsidR="005B413A" w:rsidRPr="00B907A3">
        <w:rPr>
          <w:rFonts w:ascii="Garamond" w:hAnsi="Garamond"/>
          <w:sz w:val="24"/>
          <w:lang w:val="sq-AL" w:eastAsia="en-US"/>
        </w:rPr>
        <w:t>SS</w:t>
      </w:r>
      <w:r w:rsidR="007F6824" w:rsidRPr="00B907A3">
        <w:rPr>
          <w:rFonts w:ascii="Garamond" w:hAnsi="Garamond"/>
          <w:sz w:val="24"/>
          <w:lang w:val="sq-AL" w:eastAsia="en-US"/>
        </w:rPr>
        <w:t>R</w:t>
      </w:r>
      <w:r w:rsidR="005B413A" w:rsidRPr="00B907A3">
        <w:rPr>
          <w:rFonts w:ascii="Garamond" w:hAnsi="Garamond"/>
          <w:sz w:val="24"/>
          <w:lang w:val="sq-AL" w:eastAsia="en-US"/>
        </w:rPr>
        <w:t>R</w:t>
      </w:r>
      <w:r w:rsidRPr="00B907A3">
        <w:rPr>
          <w:rFonts w:ascii="Garamond" w:hAnsi="Garamond"/>
          <w:sz w:val="24"/>
          <w:lang w:val="sq-AL" w:eastAsia="en-US"/>
        </w:rPr>
        <w:t>) dhe Planit të Veprimit për Sigurinë Rrugore (</w:t>
      </w:r>
      <w:r w:rsidR="000B1794" w:rsidRPr="00B907A3">
        <w:rPr>
          <w:rFonts w:ascii="Garamond" w:hAnsi="Garamond"/>
          <w:sz w:val="24"/>
          <w:lang w:val="sq-AL" w:eastAsia="en-US"/>
        </w:rPr>
        <w:t>PVSSRR</w:t>
      </w:r>
      <w:r w:rsidRPr="00B907A3">
        <w:rPr>
          <w:rFonts w:ascii="Garamond" w:hAnsi="Garamond"/>
          <w:sz w:val="24"/>
          <w:lang w:val="sq-AL" w:eastAsia="en-US"/>
        </w:rPr>
        <w:t xml:space="preserve">) </w:t>
      </w:r>
      <w:r w:rsidR="001B526B" w:rsidRPr="00B907A3">
        <w:rPr>
          <w:rFonts w:ascii="Garamond" w:hAnsi="Garamond"/>
          <w:sz w:val="24"/>
          <w:lang w:val="sq-AL" w:eastAsia="en-US"/>
        </w:rPr>
        <w:t xml:space="preserve">duhet të bëhet </w:t>
      </w:r>
      <w:r w:rsidR="00EE14F4" w:rsidRPr="00B907A3">
        <w:rPr>
          <w:rFonts w:ascii="Garamond" w:hAnsi="Garamond"/>
          <w:sz w:val="24"/>
          <w:lang w:val="sq-AL" w:eastAsia="en-US"/>
        </w:rPr>
        <w:t xml:space="preserve">përkatësisht nga buxheti </w:t>
      </w:r>
      <w:r w:rsidR="00767741" w:rsidRPr="00B907A3">
        <w:rPr>
          <w:rFonts w:ascii="Garamond" w:hAnsi="Garamond"/>
          <w:sz w:val="24"/>
          <w:lang w:val="sq-AL" w:eastAsia="en-US"/>
        </w:rPr>
        <w:t>i</w:t>
      </w:r>
      <w:r w:rsidR="00EE14F4" w:rsidRPr="00B907A3">
        <w:rPr>
          <w:rFonts w:ascii="Garamond" w:hAnsi="Garamond"/>
          <w:sz w:val="24"/>
          <w:lang w:val="sq-AL" w:eastAsia="en-US"/>
        </w:rPr>
        <w:t xml:space="preserve"> shtetit, </w:t>
      </w:r>
      <w:r w:rsidR="00F0188F" w:rsidRPr="00B907A3">
        <w:rPr>
          <w:rFonts w:ascii="Garamond" w:hAnsi="Garamond"/>
          <w:sz w:val="24"/>
          <w:lang w:val="sq-AL" w:eastAsia="en-US"/>
        </w:rPr>
        <w:t xml:space="preserve">nga </w:t>
      </w:r>
      <w:r w:rsidR="006C22DE" w:rsidRPr="00B907A3">
        <w:rPr>
          <w:rFonts w:ascii="Garamond" w:hAnsi="Garamond"/>
          <w:sz w:val="24"/>
          <w:lang w:val="sq-AL" w:eastAsia="en-US"/>
        </w:rPr>
        <w:t>fonde të vetë institucioneve jo-buxhetore, partnerë ndërkombëtarë dhe vendas</w:t>
      </w:r>
      <w:r w:rsidR="007937F8" w:rsidRPr="00B907A3">
        <w:rPr>
          <w:rFonts w:ascii="Garamond" w:hAnsi="Garamond"/>
          <w:sz w:val="24"/>
          <w:lang w:val="sq-AL" w:eastAsia="en-US"/>
        </w:rPr>
        <w:t>.</w:t>
      </w:r>
    </w:p>
    <w:p w14:paraId="240099CE" w14:textId="37C83A37" w:rsidR="00C955CB" w:rsidRPr="00B907A3" w:rsidRDefault="00056ACB"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 xml:space="preserve">Megjithatë, struktura aktuale e financimit të rrugëve në Shqipëri mund të mos jetë e mjaftueshme për zbatimin e ndërhyrjeve të parashikuara në </w:t>
      </w:r>
      <w:r w:rsidR="00304554" w:rsidRPr="00B907A3">
        <w:rPr>
          <w:rFonts w:ascii="Garamond" w:hAnsi="Garamond"/>
          <w:sz w:val="24"/>
          <w:lang w:val="sq-AL" w:eastAsia="en-US"/>
        </w:rPr>
        <w:t xml:space="preserve">këtë </w:t>
      </w:r>
      <w:r w:rsidRPr="00B907A3">
        <w:rPr>
          <w:rFonts w:ascii="Garamond" w:hAnsi="Garamond"/>
          <w:sz w:val="24"/>
          <w:lang w:val="sq-AL" w:eastAsia="en-US"/>
        </w:rPr>
        <w:t xml:space="preserve">strategji. Prandaj, duhet shqyrtuar krijimi i mekanizmave inovativë për financimin e sigurisë rrugore. Veçanërisht, shpërndarja e duhur e të ardhurave të lidhura me rrugët është thelbësore për të mundësuar zbatimin e masave të parashikuara në </w:t>
      </w:r>
      <w:r w:rsidR="000B1794" w:rsidRPr="00B907A3">
        <w:rPr>
          <w:rFonts w:ascii="Garamond" w:hAnsi="Garamond"/>
          <w:sz w:val="24"/>
          <w:lang w:val="sq-AL" w:eastAsia="en-US"/>
        </w:rPr>
        <w:t>PVSSRR</w:t>
      </w:r>
      <w:r w:rsidRPr="00B907A3">
        <w:rPr>
          <w:rFonts w:ascii="Garamond" w:hAnsi="Garamond"/>
          <w:sz w:val="24"/>
          <w:lang w:val="sq-AL" w:eastAsia="en-US"/>
        </w:rPr>
        <w:t xml:space="preserve"> dhe për të përmirësuar performancën e përgjithshme të sigurisë rrugore si dhe për të forcuar qëndrueshmërinë financiare. </w:t>
      </w:r>
    </w:p>
    <w:p w14:paraId="5D20877B" w14:textId="64E75538" w:rsidR="005E1F61" w:rsidRPr="00B907A3" w:rsidRDefault="00056ACB" w:rsidP="008C4E07">
      <w:pPr>
        <w:pStyle w:val="NormalWeb"/>
        <w:spacing w:line="240" w:lineRule="auto"/>
        <w:ind w:firstLine="284"/>
        <w:jc w:val="both"/>
        <w:rPr>
          <w:rFonts w:ascii="Garamond" w:hAnsi="Garamond"/>
          <w:sz w:val="24"/>
          <w:lang w:val="sq-AL" w:eastAsia="en-US"/>
        </w:rPr>
      </w:pPr>
      <w:r w:rsidRPr="00B907A3">
        <w:rPr>
          <w:rFonts w:ascii="Garamond" w:hAnsi="Garamond"/>
          <w:sz w:val="24"/>
          <w:lang w:val="sq-AL" w:eastAsia="en-US"/>
        </w:rPr>
        <w:t>Është e rëndësishme që të adopto</w:t>
      </w:r>
      <w:r w:rsidR="001B7087" w:rsidRPr="00B907A3">
        <w:rPr>
          <w:rFonts w:ascii="Garamond" w:hAnsi="Garamond"/>
          <w:sz w:val="24"/>
          <w:lang w:val="sq-AL" w:eastAsia="en-US"/>
        </w:rPr>
        <w:t>het</w:t>
      </w:r>
      <w:r w:rsidRPr="00B907A3">
        <w:rPr>
          <w:rFonts w:ascii="Garamond" w:hAnsi="Garamond"/>
          <w:sz w:val="24"/>
          <w:lang w:val="sq-AL" w:eastAsia="en-US"/>
        </w:rPr>
        <w:t xml:space="preserve"> një strategji më efikase </w:t>
      </w:r>
      <w:r w:rsidR="001B7087" w:rsidRPr="00B907A3">
        <w:rPr>
          <w:rFonts w:ascii="Garamond" w:hAnsi="Garamond"/>
          <w:sz w:val="24"/>
          <w:lang w:val="sq-AL" w:eastAsia="en-US"/>
        </w:rPr>
        <w:t>e</w:t>
      </w:r>
      <w:r w:rsidRPr="00B907A3">
        <w:rPr>
          <w:rFonts w:ascii="Garamond" w:hAnsi="Garamond"/>
          <w:sz w:val="24"/>
          <w:lang w:val="sq-AL" w:eastAsia="en-US"/>
        </w:rPr>
        <w:t xml:space="preserve"> financimit, nëse sistemi aktual nuk garanton investime afatgjata dhe të qëndrueshme në sigurinë rrugore.</w:t>
      </w:r>
    </w:p>
    <w:p w14:paraId="10E8C35E" w14:textId="2D8B71B4" w:rsidR="005E1F61" w:rsidRPr="00B907A3" w:rsidRDefault="00D51215" w:rsidP="008C4E07">
      <w:pPr>
        <w:pStyle w:val="Heading2"/>
        <w:numPr>
          <w:ilvl w:val="0"/>
          <w:numId w:val="0"/>
        </w:numPr>
        <w:spacing w:after="0"/>
        <w:ind w:firstLine="284"/>
        <w:rPr>
          <w:rFonts w:ascii="Garamond" w:hAnsi="Garamond"/>
          <w:color w:val="auto"/>
          <w:lang w:val="sq-AL"/>
        </w:rPr>
      </w:pPr>
      <w:bookmarkStart w:id="188" w:name="_Toc208840607"/>
      <w:r w:rsidRPr="00B907A3">
        <w:rPr>
          <w:rFonts w:ascii="Garamond" w:hAnsi="Garamond"/>
          <w:color w:val="auto"/>
          <w:lang w:val="sq-AL"/>
        </w:rPr>
        <w:t xml:space="preserve">6.3 </w:t>
      </w:r>
      <w:r w:rsidR="00DC7B53" w:rsidRPr="00B907A3">
        <w:rPr>
          <w:rFonts w:ascii="Garamond" w:hAnsi="Garamond"/>
          <w:color w:val="auto"/>
          <w:lang w:val="sq-AL"/>
        </w:rPr>
        <w:t>Monitorimi, raportimi dhe vlerësimi i performancës</w:t>
      </w:r>
      <w:bookmarkEnd w:id="188"/>
    </w:p>
    <w:p w14:paraId="4A906206" w14:textId="6CD1AA03" w:rsidR="00080B16" w:rsidRPr="00B907A3" w:rsidRDefault="003E6D33"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Monitorimi gjithëpërfshirës, raportimi dhe vlerësimi janë procese thelbësore që duhet të vendosen për qëllimin e monitorimit sistematik të gjendjes së sigurisë rrugore. Kjo përfshin analizën periodike të rezultateve përfundimtare dhe të ndërmjetme të sigurisë rrugore, së bashku me shpërndarjen e vazhdueshme publike të rezultateve. Përveç kësaj, duhet të vendoset edhe monitorimi i rregullt lidhur me këto karakteristika më të rëndësishme të sigurisë rrugore: aksidentet dhe pasojat e tyre, </w:t>
      </w:r>
      <w:r w:rsidR="00F21B41" w:rsidRPr="00B907A3">
        <w:rPr>
          <w:rFonts w:ascii="Garamond" w:eastAsia="Calibri" w:hAnsi="Garamond"/>
          <w:spacing w:val="-2"/>
          <w:w w:val="105"/>
          <w:sz w:val="24"/>
          <w:lang w:eastAsia="en-US"/>
        </w:rPr>
        <w:t>T</w:t>
      </w:r>
      <w:r w:rsidR="00080B16" w:rsidRPr="00B907A3">
        <w:rPr>
          <w:rFonts w:ascii="Garamond" w:eastAsia="Calibri" w:hAnsi="Garamond"/>
          <w:spacing w:val="-2"/>
          <w:w w:val="105"/>
          <w:sz w:val="24"/>
          <w:lang w:eastAsia="en-US"/>
        </w:rPr>
        <w:t xml:space="preserve">KP-të e </w:t>
      </w:r>
      <w:r w:rsidRPr="00B907A3">
        <w:rPr>
          <w:rFonts w:ascii="Garamond" w:eastAsia="Calibri" w:hAnsi="Garamond"/>
          <w:spacing w:val="-2"/>
          <w:w w:val="105"/>
          <w:sz w:val="24"/>
          <w:lang w:eastAsia="en-US"/>
        </w:rPr>
        <w:t>sjelljes, qëndrimet e përdoruesve të rrugës ndaj r</w:t>
      </w:r>
      <w:r w:rsidR="00080B16" w:rsidRPr="00B907A3">
        <w:rPr>
          <w:rFonts w:ascii="Garamond" w:eastAsia="Calibri" w:hAnsi="Garamond"/>
          <w:spacing w:val="-2"/>
          <w:w w:val="105"/>
          <w:sz w:val="24"/>
          <w:lang w:eastAsia="en-US"/>
        </w:rPr>
        <w:t xml:space="preserve">isqeve </w:t>
      </w:r>
      <w:r w:rsidRPr="00B907A3">
        <w:rPr>
          <w:rFonts w:ascii="Garamond" w:eastAsia="Calibri" w:hAnsi="Garamond"/>
          <w:spacing w:val="-2"/>
          <w:w w:val="105"/>
          <w:sz w:val="24"/>
          <w:lang w:eastAsia="en-US"/>
        </w:rPr>
        <w:t>kryesore, ekspozimi i përdoruesve të rrugës, treguesit për rrugët dhe infrastrukturën rrugore, treguesit për automjetet dhe parkun e mjeteve, treguesit për kujdesin pas aksidenteve, kapaciteti institucional për sigurinë rrugore, etj.</w:t>
      </w:r>
      <w:r w:rsidR="00080B16" w:rsidRPr="00B907A3">
        <w:rPr>
          <w:rFonts w:ascii="Garamond" w:eastAsia="Calibri" w:hAnsi="Garamond"/>
          <w:spacing w:val="-2"/>
          <w:w w:val="105"/>
          <w:sz w:val="24"/>
          <w:lang w:eastAsia="en-US"/>
        </w:rPr>
        <w:t xml:space="preserve"> </w:t>
      </w:r>
      <w:r w:rsidRPr="00B907A3">
        <w:rPr>
          <w:rFonts w:ascii="Garamond" w:eastAsia="Calibri" w:hAnsi="Garamond"/>
          <w:spacing w:val="-2"/>
          <w:w w:val="105"/>
          <w:sz w:val="24"/>
          <w:lang w:eastAsia="en-US"/>
        </w:rPr>
        <w:t xml:space="preserve">Ashtu si në rastin e </w:t>
      </w:r>
      <w:r w:rsidR="00080B16" w:rsidRPr="00B907A3">
        <w:rPr>
          <w:rFonts w:ascii="Garamond" w:eastAsia="Calibri" w:hAnsi="Garamond"/>
          <w:spacing w:val="-2"/>
          <w:w w:val="105"/>
          <w:sz w:val="24"/>
          <w:lang w:eastAsia="en-US"/>
        </w:rPr>
        <w:t xml:space="preserve">indikatorëve </w:t>
      </w:r>
      <w:r w:rsidRPr="00B907A3">
        <w:rPr>
          <w:rFonts w:ascii="Garamond" w:eastAsia="Calibri" w:hAnsi="Garamond"/>
          <w:spacing w:val="-2"/>
          <w:w w:val="105"/>
          <w:sz w:val="24"/>
          <w:lang w:eastAsia="en-US"/>
        </w:rPr>
        <w:t xml:space="preserve">përfundimtarë dhe të ndërmjetëm, edhe rezultatet e treguesve </w:t>
      </w:r>
      <w:r w:rsidR="00BD0EA7" w:rsidRPr="00B907A3">
        <w:rPr>
          <w:rFonts w:ascii="Garamond" w:eastAsia="Calibri" w:hAnsi="Garamond"/>
          <w:spacing w:val="-2"/>
          <w:w w:val="105"/>
          <w:sz w:val="24"/>
          <w:lang w:eastAsia="en-US"/>
        </w:rPr>
        <w:t>T</w:t>
      </w:r>
      <w:r w:rsidR="00080B16" w:rsidRPr="00B907A3">
        <w:rPr>
          <w:rFonts w:ascii="Garamond" w:eastAsia="Calibri" w:hAnsi="Garamond"/>
          <w:spacing w:val="-2"/>
          <w:w w:val="105"/>
          <w:sz w:val="24"/>
          <w:lang w:eastAsia="en-US"/>
        </w:rPr>
        <w:t xml:space="preserve">KP </w:t>
      </w:r>
      <w:r w:rsidRPr="00B907A3">
        <w:rPr>
          <w:rFonts w:ascii="Garamond" w:eastAsia="Calibri" w:hAnsi="Garamond"/>
          <w:spacing w:val="-2"/>
          <w:w w:val="105"/>
          <w:sz w:val="24"/>
          <w:lang w:eastAsia="en-US"/>
        </w:rPr>
        <w:t xml:space="preserve">duhet të </w:t>
      </w:r>
      <w:r w:rsidRPr="00B907A3">
        <w:rPr>
          <w:rFonts w:ascii="Garamond" w:eastAsia="Calibri" w:hAnsi="Garamond"/>
          <w:spacing w:val="-2"/>
          <w:w w:val="105"/>
          <w:sz w:val="24"/>
          <w:lang w:eastAsia="en-US"/>
        </w:rPr>
        <w:lastRenderedPageBreak/>
        <w:t xml:space="preserve">publikohen periodikisht. Të gjitha të dhënat që lidhen me sigurinë rrugore </w:t>
      </w:r>
      <w:r w:rsidR="00BD0EA7" w:rsidRPr="00B907A3">
        <w:rPr>
          <w:rFonts w:ascii="Garamond" w:eastAsia="Calibri" w:hAnsi="Garamond"/>
          <w:spacing w:val="-2"/>
          <w:w w:val="105"/>
          <w:sz w:val="24"/>
          <w:lang w:eastAsia="en-US"/>
        </w:rPr>
        <w:t>mund</w:t>
      </w:r>
      <w:r w:rsidRPr="00B907A3">
        <w:rPr>
          <w:rFonts w:ascii="Garamond" w:eastAsia="Calibri" w:hAnsi="Garamond"/>
          <w:spacing w:val="-2"/>
          <w:w w:val="105"/>
          <w:sz w:val="24"/>
          <w:lang w:eastAsia="en-US"/>
        </w:rPr>
        <w:t xml:space="preserve"> të organizohen nën një bazë të dhënash kombëtare të integruar për sigurinë rrugore.</w:t>
      </w:r>
    </w:p>
    <w:p w14:paraId="7FABD9C7" w14:textId="0EA8E863" w:rsidR="003E6D33" w:rsidRPr="00B907A3" w:rsidRDefault="003E6D33" w:rsidP="008C4E07">
      <w:pPr>
        <w:spacing w:after="0"/>
        <w:ind w:firstLine="284"/>
        <w:rPr>
          <w:rFonts w:ascii="Garamond" w:eastAsia="Calibri" w:hAnsi="Garamond"/>
          <w:spacing w:val="-2"/>
          <w:w w:val="105"/>
          <w:sz w:val="24"/>
          <w:lang w:eastAsia="en-US"/>
        </w:rPr>
      </w:pPr>
      <w:r w:rsidRPr="00B907A3">
        <w:rPr>
          <w:rFonts w:ascii="Garamond" w:eastAsia="Calibri" w:hAnsi="Garamond"/>
          <w:spacing w:val="-2"/>
          <w:w w:val="105"/>
          <w:sz w:val="24"/>
          <w:lang w:eastAsia="en-US"/>
        </w:rPr>
        <w:t xml:space="preserve"> </w:t>
      </w:r>
      <w:r w:rsidRPr="00B907A3">
        <w:rPr>
          <w:rFonts w:ascii="Garamond" w:hAnsi="Garamond"/>
          <w:sz w:val="24"/>
          <w:lang w:eastAsia="en-US"/>
        </w:rPr>
        <w:t>Është e nevojshme të përgatitet një raport mbi rezultatet e zbatimit të strategjisë dhe të objektivave/qëllimeve të saj. Si pjesë e monitorimit, raportimit dhe vlerësimit të rregullt, në fund të secilës fazë të Planit të Veprimit për Sigurinë Rrugore (</w:t>
      </w:r>
      <w:r w:rsidR="000B1794" w:rsidRPr="00B907A3">
        <w:rPr>
          <w:rFonts w:ascii="Garamond" w:hAnsi="Garamond"/>
          <w:sz w:val="24"/>
          <w:lang w:eastAsia="en-US"/>
        </w:rPr>
        <w:t>PVSSRR</w:t>
      </w:r>
      <w:r w:rsidRPr="00B907A3">
        <w:rPr>
          <w:rFonts w:ascii="Garamond" w:hAnsi="Garamond"/>
          <w:sz w:val="24"/>
          <w:lang w:eastAsia="en-US"/>
        </w:rPr>
        <w:t xml:space="preserve">) duhet të kryhet një vlerësim. Kjo do të japë mundësinë për të nxjerrë mësime dhe për të zbatuar përmirësimet e nevojshme në ato pjesë të </w:t>
      </w:r>
      <w:r w:rsidR="000B1794" w:rsidRPr="00B907A3">
        <w:rPr>
          <w:rFonts w:ascii="Garamond" w:hAnsi="Garamond"/>
          <w:sz w:val="24"/>
          <w:lang w:eastAsia="en-US"/>
        </w:rPr>
        <w:t>PVSSRR</w:t>
      </w:r>
      <w:r w:rsidRPr="00B907A3">
        <w:rPr>
          <w:rFonts w:ascii="Garamond" w:hAnsi="Garamond"/>
          <w:sz w:val="24"/>
          <w:lang w:eastAsia="en-US"/>
        </w:rPr>
        <w:t xml:space="preserve">-it që mund të përmirësohen. Monitorimi i afërt i zbatimit të aktiviteteve, bazuar në një numër treguesish dhe variablash, do të mundësojë identifikimin në kohë të fushave dhe aktiviteteve ku nevojitet mbështetje shtesë (dhe masa korrigjuese). Mbështetja për procesin e monitorimit, raportimit dhe vlerësimit, në formën e aktiviteteve specifike, është parashikuar brenda </w:t>
      </w:r>
      <w:r w:rsidR="000B1794" w:rsidRPr="00B907A3">
        <w:rPr>
          <w:rFonts w:ascii="Garamond" w:hAnsi="Garamond"/>
          <w:sz w:val="24"/>
          <w:lang w:eastAsia="en-US"/>
        </w:rPr>
        <w:t>PVSSRR</w:t>
      </w:r>
      <w:r w:rsidRPr="00B907A3">
        <w:rPr>
          <w:rFonts w:ascii="Garamond" w:hAnsi="Garamond"/>
          <w:sz w:val="24"/>
          <w:lang w:eastAsia="en-US"/>
        </w:rPr>
        <w:t>-it.</w:t>
      </w:r>
    </w:p>
    <w:p w14:paraId="3559B991" w14:textId="1D85E353" w:rsidR="007C3250" w:rsidRPr="005C1DD9" w:rsidRDefault="00D51215" w:rsidP="008C4E07">
      <w:pPr>
        <w:pStyle w:val="Heading1"/>
        <w:numPr>
          <w:ilvl w:val="0"/>
          <w:numId w:val="0"/>
        </w:numPr>
        <w:pBdr>
          <w:bottom w:val="none" w:sz="0" w:space="0" w:color="auto"/>
        </w:pBdr>
        <w:spacing w:before="0" w:after="0"/>
        <w:ind w:firstLine="284"/>
        <w:rPr>
          <w:rFonts w:ascii="Garamond" w:hAnsi="Garamond"/>
          <w:b w:val="0"/>
          <w:color w:val="auto"/>
          <w:sz w:val="24"/>
          <w:szCs w:val="24"/>
          <w:lang w:val="sq-AL"/>
        </w:rPr>
      </w:pPr>
      <w:bookmarkStart w:id="189" w:name="_Toc208840608"/>
      <w:r w:rsidRPr="005C1DD9">
        <w:rPr>
          <w:rFonts w:ascii="Garamond" w:hAnsi="Garamond"/>
          <w:b w:val="0"/>
          <w:color w:val="auto"/>
          <w:sz w:val="24"/>
          <w:szCs w:val="24"/>
          <w:lang w:val="sq-AL"/>
        </w:rPr>
        <w:t xml:space="preserve">7. </w:t>
      </w:r>
      <w:r w:rsidR="003B227F" w:rsidRPr="005C1DD9">
        <w:rPr>
          <w:rFonts w:ascii="Garamond" w:hAnsi="Garamond"/>
          <w:b w:val="0"/>
          <w:color w:val="auto"/>
          <w:sz w:val="24"/>
          <w:szCs w:val="24"/>
          <w:lang w:val="sq-AL"/>
        </w:rPr>
        <w:t>STRUKTURA E PLANIT TË VEPRIMIT PËR SIGURINË RRUGORE QË SHOQËRON STRATEGJINË</w:t>
      </w:r>
      <w:bookmarkEnd w:id="189"/>
    </w:p>
    <w:p w14:paraId="5E0EB4C4" w14:textId="01294ED5" w:rsidR="00372033" w:rsidRPr="00B907A3" w:rsidRDefault="00080B16" w:rsidP="008C4E07">
      <w:pPr>
        <w:spacing w:after="0"/>
        <w:ind w:firstLine="284"/>
        <w:rPr>
          <w:rFonts w:ascii="Garamond" w:hAnsi="Garamond"/>
          <w:sz w:val="24"/>
        </w:rPr>
      </w:pPr>
      <w:r w:rsidRPr="00B907A3">
        <w:rPr>
          <w:rFonts w:ascii="Garamond" w:hAnsi="Garamond"/>
          <w:sz w:val="24"/>
        </w:rPr>
        <w:t xml:space="preserve">Realizimi i </w:t>
      </w:r>
      <w:r w:rsidR="002B510E" w:rsidRPr="00B907A3">
        <w:rPr>
          <w:rFonts w:ascii="Garamond" w:hAnsi="Garamond"/>
          <w:sz w:val="24"/>
        </w:rPr>
        <w:t>objektivave të përgjithshëm dhe specifikë (në shtyllat e sigurisë rrugore) të Strategjisë Afatgjatë për Sigurinë Rrugore (</w:t>
      </w:r>
      <w:r w:rsidR="005B413A" w:rsidRPr="00B907A3">
        <w:rPr>
          <w:rFonts w:ascii="Garamond" w:hAnsi="Garamond"/>
          <w:sz w:val="24"/>
        </w:rPr>
        <w:t>SSR</w:t>
      </w:r>
      <w:r w:rsidRPr="00B907A3">
        <w:rPr>
          <w:rFonts w:ascii="Garamond" w:hAnsi="Garamond"/>
          <w:sz w:val="24"/>
        </w:rPr>
        <w:t>R</w:t>
      </w:r>
      <w:r w:rsidR="002B510E" w:rsidRPr="00B907A3">
        <w:rPr>
          <w:rFonts w:ascii="Garamond" w:hAnsi="Garamond"/>
          <w:sz w:val="24"/>
        </w:rPr>
        <w:t>) bazohet në një sërë Planesh të Veprimit Afatshkurtër (</w:t>
      </w:r>
      <w:r w:rsidR="000B1794" w:rsidRPr="00B907A3">
        <w:rPr>
          <w:rFonts w:ascii="Garamond" w:hAnsi="Garamond"/>
          <w:sz w:val="24"/>
        </w:rPr>
        <w:t>PVSSRR</w:t>
      </w:r>
      <w:r w:rsidR="002B510E" w:rsidRPr="00B907A3">
        <w:rPr>
          <w:rFonts w:ascii="Garamond" w:hAnsi="Garamond"/>
          <w:sz w:val="24"/>
        </w:rPr>
        <w:t>) të hartuar mirë për periudh</w:t>
      </w:r>
      <w:r w:rsidR="0034143F" w:rsidRPr="00B907A3">
        <w:rPr>
          <w:rFonts w:ascii="Garamond" w:hAnsi="Garamond"/>
          <w:sz w:val="24"/>
        </w:rPr>
        <w:t>ën</w:t>
      </w:r>
      <w:r w:rsidR="002B510E" w:rsidRPr="00B907A3">
        <w:rPr>
          <w:rFonts w:ascii="Garamond" w:hAnsi="Garamond"/>
          <w:sz w:val="24"/>
        </w:rPr>
        <w:t xml:space="preserve"> 2–3-vjeçare. Prandaj, në praktikë, zbatimi i plotë dhe efektiv i </w:t>
      </w:r>
      <w:r w:rsidR="000B1794" w:rsidRPr="00B907A3">
        <w:rPr>
          <w:rFonts w:ascii="Garamond" w:hAnsi="Garamond"/>
          <w:sz w:val="24"/>
        </w:rPr>
        <w:t>PVSSRR</w:t>
      </w:r>
      <w:r w:rsidR="002B510E" w:rsidRPr="00B907A3">
        <w:rPr>
          <w:rFonts w:ascii="Garamond" w:hAnsi="Garamond"/>
          <w:sz w:val="24"/>
        </w:rPr>
        <w:t>-it është çelësi për të arritur një përmirësim strategjik dhe të vazhdueshëm të sigurisë rrugore në vend.</w:t>
      </w:r>
    </w:p>
    <w:p w14:paraId="4AA3ADDF" w14:textId="7C7420F7" w:rsidR="009D26C2" w:rsidRPr="00B907A3" w:rsidRDefault="00D648AA" w:rsidP="008C4E07">
      <w:pPr>
        <w:spacing w:after="0"/>
        <w:ind w:firstLine="284"/>
        <w:rPr>
          <w:rFonts w:ascii="Garamond" w:hAnsi="Garamond"/>
          <w:sz w:val="24"/>
        </w:rPr>
      </w:pPr>
      <w:r w:rsidRPr="00B907A3">
        <w:rPr>
          <w:rFonts w:ascii="Garamond" w:hAnsi="Garamond"/>
          <w:sz w:val="24"/>
        </w:rPr>
        <w:t xml:space="preserve">Plani i Veprimit të Strategjisë së Sigurisë Rrugore </w:t>
      </w:r>
      <w:r w:rsidR="002B510E" w:rsidRPr="00B907A3">
        <w:rPr>
          <w:rFonts w:ascii="Garamond" w:hAnsi="Garamond"/>
          <w:sz w:val="24"/>
        </w:rPr>
        <w:t>(</w:t>
      </w:r>
      <w:r w:rsidR="000B1794" w:rsidRPr="00B907A3">
        <w:rPr>
          <w:rFonts w:ascii="Garamond" w:hAnsi="Garamond"/>
          <w:sz w:val="24"/>
        </w:rPr>
        <w:t>PVSSRR</w:t>
      </w:r>
      <w:r w:rsidR="002B510E" w:rsidRPr="00B907A3">
        <w:rPr>
          <w:rFonts w:ascii="Garamond" w:hAnsi="Garamond"/>
          <w:sz w:val="24"/>
        </w:rPr>
        <w:t>), që shoqëron zbatimin e Strategjisë për Sigurinë Rrugore (</w:t>
      </w:r>
      <w:r w:rsidR="005B413A" w:rsidRPr="00B907A3">
        <w:rPr>
          <w:rFonts w:ascii="Garamond" w:hAnsi="Garamond"/>
          <w:sz w:val="24"/>
        </w:rPr>
        <w:t>SSR</w:t>
      </w:r>
      <w:r w:rsidR="002B510E" w:rsidRPr="00B907A3">
        <w:rPr>
          <w:rFonts w:ascii="Garamond" w:hAnsi="Garamond"/>
          <w:sz w:val="24"/>
        </w:rPr>
        <w:t>), përmban dhe përcakton fushat kryesore, ndërhyrjet specifike (masat) dhe aktivitetet, dinamikën e tyre, institucionet kryesore përgjegjëse dhe mbështetëse, kornizën e financimit për zbatimin e tyre dhe treguesit e synuar për monitorim/vlerësim si dhe tregues të tjerë</w:t>
      </w:r>
      <w:r w:rsidR="00F54253" w:rsidRPr="00B907A3">
        <w:rPr>
          <w:rFonts w:ascii="Garamond" w:hAnsi="Garamond"/>
          <w:sz w:val="24"/>
        </w:rPr>
        <w:t>.</w:t>
      </w:r>
    </w:p>
    <w:p w14:paraId="04522E30" w14:textId="2BE2EFEB" w:rsidR="009D26C2" w:rsidRPr="00B907A3" w:rsidRDefault="002B510E" w:rsidP="008C4E07">
      <w:pPr>
        <w:spacing w:after="0"/>
        <w:ind w:firstLine="284"/>
        <w:rPr>
          <w:rFonts w:ascii="Garamond" w:hAnsi="Garamond"/>
          <w:sz w:val="24"/>
        </w:rPr>
      </w:pPr>
      <w:r w:rsidRPr="00B907A3">
        <w:rPr>
          <w:rFonts w:ascii="Garamond" w:hAnsi="Garamond"/>
          <w:sz w:val="24"/>
        </w:rPr>
        <w:t>Një Plan Veprimi për Sigurinë Rrugore (</w:t>
      </w:r>
      <w:r w:rsidR="000B1794" w:rsidRPr="00B907A3">
        <w:rPr>
          <w:rFonts w:ascii="Garamond" w:hAnsi="Garamond"/>
          <w:sz w:val="24"/>
        </w:rPr>
        <w:t>PVSSRR</w:t>
      </w:r>
      <w:r w:rsidRPr="00B907A3">
        <w:rPr>
          <w:rFonts w:ascii="Garamond" w:hAnsi="Garamond"/>
          <w:sz w:val="24"/>
        </w:rPr>
        <w:t>) zakonisht përgatitet në formë tabelash, në të cilat aktivitetet kryesore të identifikuara në Strategjinë për Sigurinë Rrugore (</w:t>
      </w:r>
      <w:r w:rsidR="005B413A" w:rsidRPr="00B907A3">
        <w:rPr>
          <w:rFonts w:ascii="Garamond" w:hAnsi="Garamond"/>
          <w:sz w:val="24"/>
        </w:rPr>
        <w:t>SSR</w:t>
      </w:r>
      <w:r w:rsidR="00080B16" w:rsidRPr="00B907A3">
        <w:rPr>
          <w:rFonts w:ascii="Garamond" w:hAnsi="Garamond"/>
          <w:sz w:val="24"/>
        </w:rPr>
        <w:t>R</w:t>
      </w:r>
      <w:r w:rsidRPr="00B907A3">
        <w:rPr>
          <w:rFonts w:ascii="Garamond" w:hAnsi="Garamond"/>
          <w:sz w:val="24"/>
        </w:rPr>
        <w:t xml:space="preserve">) paraqiten/shpjegohen në mënyrë më të detajuar, si për shembull: institucioni/organizata përgjegjëse për zbatimin, institucionet mbështetëse, fillimi/përfundimi i një aktiviteti, burimi i financimit, financimi vjetor, objektivi i pritur i aktivitetit (tregues rezultati) dhe burimi i verifikimit. Një shembull i përmbajtjes së </w:t>
      </w:r>
      <w:r w:rsidR="000B1794" w:rsidRPr="00B907A3">
        <w:rPr>
          <w:rFonts w:ascii="Garamond" w:hAnsi="Garamond"/>
          <w:sz w:val="24"/>
        </w:rPr>
        <w:t>PVSSRR</w:t>
      </w:r>
      <w:r w:rsidRPr="00B907A3">
        <w:rPr>
          <w:rFonts w:ascii="Garamond" w:hAnsi="Garamond"/>
          <w:sz w:val="24"/>
        </w:rPr>
        <w:t>-it, në nivel aktiviteti, paraqitet në Tabelën 7-1.</w:t>
      </w:r>
    </w:p>
    <w:p w14:paraId="5FC2A9AC" w14:textId="1A2DC78B" w:rsidR="009D26C2" w:rsidRPr="00B907A3" w:rsidRDefault="00083CCA" w:rsidP="008C4E07">
      <w:pPr>
        <w:spacing w:after="0"/>
        <w:ind w:firstLine="284"/>
        <w:rPr>
          <w:rFonts w:ascii="Garamond" w:hAnsi="Garamond"/>
          <w:sz w:val="24"/>
        </w:rPr>
      </w:pPr>
      <w:bookmarkStart w:id="190" w:name="_Toc205533743"/>
      <w:r w:rsidRPr="005C1DD9">
        <w:rPr>
          <w:rFonts w:ascii="Garamond" w:hAnsi="Garamond"/>
          <w:b/>
          <w:sz w:val="24"/>
        </w:rPr>
        <w:t>Tab</w:t>
      </w:r>
      <w:r w:rsidR="005C1DD9" w:rsidRPr="005C1DD9">
        <w:rPr>
          <w:rFonts w:ascii="Garamond" w:hAnsi="Garamond"/>
          <w:b/>
          <w:sz w:val="24"/>
        </w:rPr>
        <w:t>e</w:t>
      </w:r>
      <w:r w:rsidRPr="005C1DD9">
        <w:rPr>
          <w:rFonts w:ascii="Garamond" w:hAnsi="Garamond"/>
          <w:b/>
          <w:sz w:val="24"/>
        </w:rPr>
        <w:t>l</w:t>
      </w:r>
      <w:r w:rsidR="005C1DD9" w:rsidRPr="005C1DD9">
        <w:rPr>
          <w:rFonts w:ascii="Garamond" w:hAnsi="Garamond"/>
          <w:b/>
          <w:sz w:val="24"/>
        </w:rPr>
        <w:t>a</w:t>
      </w:r>
      <w:r w:rsidRPr="005C1DD9">
        <w:rPr>
          <w:rFonts w:ascii="Garamond" w:hAnsi="Garamond"/>
          <w:b/>
          <w:sz w:val="24"/>
        </w:rPr>
        <w:t xml:space="preserve"> </w:t>
      </w:r>
      <w:r w:rsidRPr="005C1DD9">
        <w:rPr>
          <w:rFonts w:ascii="Garamond" w:hAnsi="Garamond"/>
          <w:b/>
          <w:sz w:val="24"/>
        </w:rPr>
        <w:fldChar w:fldCharType="begin"/>
      </w:r>
      <w:r w:rsidRPr="005C1DD9">
        <w:rPr>
          <w:rFonts w:ascii="Garamond" w:hAnsi="Garamond"/>
          <w:b/>
          <w:sz w:val="24"/>
        </w:rPr>
        <w:instrText xml:space="preserve"> STYLEREF 1 \s </w:instrText>
      </w:r>
      <w:r w:rsidRPr="005C1DD9">
        <w:rPr>
          <w:rFonts w:ascii="Garamond" w:hAnsi="Garamond"/>
          <w:b/>
          <w:sz w:val="24"/>
        </w:rPr>
        <w:fldChar w:fldCharType="separate"/>
      </w:r>
      <w:r w:rsidRPr="005C1DD9">
        <w:rPr>
          <w:rFonts w:ascii="Garamond" w:hAnsi="Garamond"/>
          <w:b/>
          <w:sz w:val="24"/>
        </w:rPr>
        <w:t>7</w:t>
      </w:r>
      <w:r w:rsidRPr="005C1DD9">
        <w:rPr>
          <w:rFonts w:ascii="Garamond" w:hAnsi="Garamond"/>
          <w:b/>
          <w:sz w:val="24"/>
        </w:rPr>
        <w:fldChar w:fldCharType="end"/>
      </w:r>
      <w:r w:rsidRPr="005C1DD9">
        <w:rPr>
          <w:rFonts w:ascii="Garamond" w:hAnsi="Garamond"/>
          <w:b/>
          <w:sz w:val="24"/>
        </w:rPr>
        <w:noBreakHyphen/>
      </w:r>
      <w:r w:rsidRPr="005C1DD9">
        <w:rPr>
          <w:rFonts w:ascii="Garamond" w:hAnsi="Garamond"/>
          <w:b/>
          <w:sz w:val="24"/>
        </w:rPr>
        <w:fldChar w:fldCharType="begin"/>
      </w:r>
      <w:r w:rsidRPr="005C1DD9">
        <w:rPr>
          <w:rFonts w:ascii="Garamond" w:hAnsi="Garamond"/>
          <w:b/>
          <w:sz w:val="24"/>
        </w:rPr>
        <w:instrText xml:space="preserve"> SEQ Table \* ARABIC \s 1 </w:instrText>
      </w:r>
      <w:r w:rsidRPr="005C1DD9">
        <w:rPr>
          <w:rFonts w:ascii="Garamond" w:hAnsi="Garamond"/>
          <w:b/>
          <w:sz w:val="24"/>
        </w:rPr>
        <w:fldChar w:fldCharType="separate"/>
      </w:r>
      <w:r w:rsidRPr="005C1DD9">
        <w:rPr>
          <w:rFonts w:ascii="Garamond" w:hAnsi="Garamond"/>
          <w:b/>
          <w:sz w:val="24"/>
        </w:rPr>
        <w:t>1</w:t>
      </w:r>
      <w:r w:rsidRPr="005C1DD9">
        <w:rPr>
          <w:rFonts w:ascii="Garamond" w:hAnsi="Garamond"/>
          <w:b/>
          <w:sz w:val="24"/>
        </w:rPr>
        <w:fldChar w:fldCharType="end"/>
      </w:r>
      <w:r w:rsidRPr="00B907A3">
        <w:rPr>
          <w:rFonts w:ascii="Garamond" w:hAnsi="Garamond"/>
          <w:sz w:val="24"/>
        </w:rPr>
        <w:t>:</w:t>
      </w:r>
      <w:r w:rsidR="002B510E" w:rsidRPr="00B907A3">
        <w:rPr>
          <w:rFonts w:ascii="Garamond" w:hAnsi="Garamond"/>
          <w:sz w:val="24"/>
        </w:rPr>
        <w:t xml:space="preserve"> Përmbajtja e propozuar e Planit të Veprimit për Sigurinë Rrugore (</w:t>
      </w:r>
      <w:r w:rsidR="000B1794" w:rsidRPr="00B907A3">
        <w:rPr>
          <w:rFonts w:ascii="Garamond" w:hAnsi="Garamond"/>
          <w:sz w:val="24"/>
        </w:rPr>
        <w:t>PVSSRR</w:t>
      </w:r>
      <w:r w:rsidR="002B510E" w:rsidRPr="00B907A3">
        <w:rPr>
          <w:rFonts w:ascii="Garamond" w:hAnsi="Garamond"/>
          <w:sz w:val="24"/>
        </w:rPr>
        <w:t>)</w:t>
      </w:r>
      <w:bookmarkEnd w:id="190"/>
      <w:r w:rsidR="005C1DD9">
        <w:rPr>
          <w:rFonts w:ascii="Garamond" w:hAnsi="Garamond"/>
          <w:sz w:val="24"/>
        </w:rPr>
        <w:t>.</w:t>
      </w:r>
    </w:p>
    <w:tbl>
      <w:tblPr>
        <w:tblW w:w="9090" w:type="dxa"/>
        <w:jc w:val="center"/>
        <w:tblLayout w:type="fixed"/>
        <w:tblLook w:val="04A0" w:firstRow="1" w:lastRow="0" w:firstColumn="1" w:lastColumn="0" w:noHBand="0" w:noVBand="1"/>
      </w:tblPr>
      <w:tblGrid>
        <w:gridCol w:w="1080"/>
        <w:gridCol w:w="720"/>
        <w:gridCol w:w="1050"/>
        <w:gridCol w:w="840"/>
        <w:gridCol w:w="720"/>
        <w:gridCol w:w="720"/>
        <w:gridCol w:w="720"/>
        <w:gridCol w:w="810"/>
        <w:gridCol w:w="720"/>
        <w:gridCol w:w="990"/>
        <w:gridCol w:w="720"/>
      </w:tblGrid>
      <w:tr w:rsidR="00742191" w:rsidRPr="00B907A3" w14:paraId="3E4D7578" w14:textId="424A4CF5" w:rsidTr="00DB76F6">
        <w:trPr>
          <w:cantSplit/>
          <w:trHeight w:val="1624"/>
          <w:jc w:val="center"/>
        </w:trPr>
        <w:tc>
          <w:tcPr>
            <w:tcW w:w="1080" w:type="dxa"/>
            <w:shd w:val="clear" w:color="auto" w:fill="D9D9D9" w:themeFill="background1" w:themeFillShade="D9"/>
            <w:vAlign w:val="center"/>
          </w:tcPr>
          <w:p w14:paraId="34C46D10" w14:textId="638FA308" w:rsidR="00634D1D" w:rsidRPr="00DB76F6" w:rsidRDefault="00634D1D" w:rsidP="00DB76F6">
            <w:pPr>
              <w:spacing w:after="0"/>
              <w:jc w:val="center"/>
              <w:rPr>
                <w:rFonts w:ascii="Garamond" w:hAnsi="Garamond"/>
                <w:sz w:val="16"/>
                <w:szCs w:val="16"/>
              </w:rPr>
            </w:pPr>
            <w:r w:rsidRPr="00DB76F6">
              <w:rPr>
                <w:rFonts w:ascii="Garamond" w:hAnsi="Garamond"/>
                <w:sz w:val="16"/>
                <w:szCs w:val="16"/>
              </w:rPr>
              <w:t xml:space="preserve">Numri dhe </w:t>
            </w:r>
            <w:r w:rsidR="00DB76F6" w:rsidRPr="00DB76F6">
              <w:rPr>
                <w:rFonts w:ascii="Garamond" w:hAnsi="Garamond"/>
                <w:sz w:val="16"/>
                <w:szCs w:val="16"/>
              </w:rPr>
              <w:t xml:space="preserve">emërtimi </w:t>
            </w:r>
            <w:r w:rsidRPr="00DB76F6">
              <w:rPr>
                <w:rFonts w:ascii="Garamond" w:hAnsi="Garamond"/>
                <w:sz w:val="16"/>
                <w:szCs w:val="16"/>
              </w:rPr>
              <w:t xml:space="preserve">i plotë i </w:t>
            </w:r>
            <w:r w:rsidR="00DB76F6" w:rsidRPr="00DB76F6">
              <w:rPr>
                <w:rFonts w:ascii="Garamond" w:hAnsi="Garamond"/>
                <w:sz w:val="16"/>
                <w:szCs w:val="16"/>
              </w:rPr>
              <w:t>aktivitetit</w:t>
            </w:r>
          </w:p>
        </w:tc>
        <w:tc>
          <w:tcPr>
            <w:tcW w:w="720" w:type="dxa"/>
            <w:shd w:val="clear" w:color="auto" w:fill="D9D9D9" w:themeFill="background1" w:themeFillShade="D9"/>
            <w:vAlign w:val="center"/>
          </w:tcPr>
          <w:p w14:paraId="5A06B434" w14:textId="00A10614" w:rsidR="00634D1D" w:rsidRPr="00DB76F6" w:rsidRDefault="00634D1D" w:rsidP="00DB76F6">
            <w:pPr>
              <w:spacing w:after="0"/>
              <w:jc w:val="center"/>
              <w:rPr>
                <w:rFonts w:ascii="Garamond" w:hAnsi="Garamond"/>
                <w:sz w:val="16"/>
                <w:szCs w:val="16"/>
                <w:lang w:eastAsia="ru-RU"/>
              </w:rPr>
            </w:pPr>
            <w:r w:rsidRPr="00DB76F6">
              <w:rPr>
                <w:rFonts w:ascii="Garamond" w:hAnsi="Garamond"/>
                <w:sz w:val="16"/>
                <w:szCs w:val="16"/>
                <w:lang w:eastAsia="ru-RU"/>
              </w:rPr>
              <w:t>Institucioni përgjegjës</w:t>
            </w:r>
          </w:p>
        </w:tc>
        <w:tc>
          <w:tcPr>
            <w:tcW w:w="1050" w:type="dxa"/>
            <w:shd w:val="clear" w:color="auto" w:fill="D9D9D9" w:themeFill="background1" w:themeFillShade="D9"/>
            <w:vAlign w:val="center"/>
          </w:tcPr>
          <w:p w14:paraId="4E3C2799" w14:textId="173457D1" w:rsidR="00634D1D" w:rsidRPr="00DB76F6" w:rsidRDefault="00634D1D" w:rsidP="00DB76F6">
            <w:pPr>
              <w:spacing w:after="0"/>
              <w:jc w:val="center"/>
              <w:rPr>
                <w:rFonts w:ascii="Garamond" w:hAnsi="Garamond"/>
                <w:sz w:val="16"/>
                <w:szCs w:val="16"/>
              </w:rPr>
            </w:pPr>
            <w:r w:rsidRPr="00DB76F6">
              <w:rPr>
                <w:rFonts w:ascii="Garamond" w:hAnsi="Garamond"/>
                <w:sz w:val="16"/>
                <w:szCs w:val="16"/>
              </w:rPr>
              <w:t>Institucioni mbështetës/kontribues</w:t>
            </w:r>
          </w:p>
        </w:tc>
        <w:tc>
          <w:tcPr>
            <w:tcW w:w="840" w:type="dxa"/>
            <w:shd w:val="clear" w:color="auto" w:fill="D9D9D9" w:themeFill="background1" w:themeFillShade="D9"/>
            <w:vAlign w:val="center"/>
          </w:tcPr>
          <w:p w14:paraId="091D92DF" w14:textId="5D111111" w:rsidR="00634D1D" w:rsidRPr="00DB76F6" w:rsidRDefault="00634D1D" w:rsidP="00DB76F6">
            <w:pPr>
              <w:spacing w:after="0"/>
              <w:jc w:val="center"/>
              <w:rPr>
                <w:rFonts w:ascii="Garamond" w:hAnsi="Garamond"/>
                <w:sz w:val="16"/>
                <w:szCs w:val="16"/>
              </w:rPr>
            </w:pPr>
            <w:r w:rsidRPr="00DB76F6">
              <w:rPr>
                <w:rFonts w:ascii="Garamond" w:hAnsi="Garamond"/>
                <w:sz w:val="16"/>
                <w:szCs w:val="16"/>
              </w:rPr>
              <w:t>Viti i fillimit dhe mbarimit</w:t>
            </w:r>
          </w:p>
        </w:tc>
        <w:tc>
          <w:tcPr>
            <w:tcW w:w="720" w:type="dxa"/>
            <w:shd w:val="clear" w:color="auto" w:fill="D9D9D9" w:themeFill="background1" w:themeFillShade="D9"/>
            <w:vAlign w:val="center"/>
          </w:tcPr>
          <w:p w14:paraId="4E982843" w14:textId="3A49DEC5" w:rsidR="00634D1D" w:rsidRPr="00DB76F6" w:rsidRDefault="00634D1D" w:rsidP="00DB76F6">
            <w:pPr>
              <w:spacing w:after="0"/>
              <w:jc w:val="center"/>
              <w:rPr>
                <w:rFonts w:ascii="Garamond" w:hAnsi="Garamond"/>
                <w:sz w:val="16"/>
                <w:szCs w:val="16"/>
              </w:rPr>
            </w:pPr>
            <w:r w:rsidRPr="00DB76F6">
              <w:rPr>
                <w:rFonts w:ascii="Garamond" w:hAnsi="Garamond"/>
                <w:sz w:val="16"/>
                <w:szCs w:val="16"/>
              </w:rPr>
              <w:t>Burimi i financimit</w:t>
            </w:r>
          </w:p>
        </w:tc>
        <w:tc>
          <w:tcPr>
            <w:tcW w:w="720" w:type="dxa"/>
            <w:shd w:val="clear" w:color="auto" w:fill="D9D9D9" w:themeFill="background1" w:themeFillShade="D9"/>
            <w:vAlign w:val="center"/>
          </w:tcPr>
          <w:p w14:paraId="64102397" w14:textId="5A7CF8CC" w:rsidR="00634D1D" w:rsidRPr="00DB76F6" w:rsidDel="004535BD" w:rsidRDefault="00634D1D" w:rsidP="00DB76F6">
            <w:pPr>
              <w:spacing w:after="0"/>
              <w:jc w:val="center"/>
              <w:rPr>
                <w:rFonts w:ascii="Garamond" w:hAnsi="Garamond"/>
                <w:sz w:val="16"/>
                <w:szCs w:val="16"/>
              </w:rPr>
            </w:pPr>
            <w:r w:rsidRPr="00DB76F6">
              <w:rPr>
                <w:rFonts w:ascii="Garamond" w:hAnsi="Garamond"/>
                <w:sz w:val="16"/>
                <w:szCs w:val="16"/>
              </w:rPr>
              <w:t>Kosto</w:t>
            </w:r>
            <w:r w:rsidR="00DB76F6">
              <w:rPr>
                <w:rFonts w:ascii="Garamond" w:hAnsi="Garamond"/>
                <w:sz w:val="16"/>
                <w:szCs w:val="16"/>
              </w:rPr>
              <w:t>ja</w:t>
            </w:r>
            <w:r w:rsidRPr="00DB76F6">
              <w:rPr>
                <w:rFonts w:ascii="Garamond" w:hAnsi="Garamond"/>
                <w:sz w:val="16"/>
                <w:szCs w:val="16"/>
              </w:rPr>
              <w:t xml:space="preserve"> indikative për 2026</w:t>
            </w:r>
          </w:p>
        </w:tc>
        <w:tc>
          <w:tcPr>
            <w:tcW w:w="720" w:type="dxa"/>
            <w:shd w:val="clear" w:color="auto" w:fill="D9D9D9" w:themeFill="background1" w:themeFillShade="D9"/>
            <w:vAlign w:val="center"/>
          </w:tcPr>
          <w:p w14:paraId="4DAA6ADA" w14:textId="3C72EFCD" w:rsidR="00634D1D" w:rsidRPr="00DB76F6" w:rsidDel="004535BD" w:rsidRDefault="00634D1D" w:rsidP="00DB76F6">
            <w:pPr>
              <w:spacing w:after="0"/>
              <w:jc w:val="center"/>
              <w:rPr>
                <w:rFonts w:ascii="Garamond" w:hAnsi="Garamond"/>
                <w:sz w:val="16"/>
                <w:szCs w:val="16"/>
              </w:rPr>
            </w:pPr>
            <w:r w:rsidRPr="00DB76F6">
              <w:rPr>
                <w:rFonts w:ascii="Garamond" w:hAnsi="Garamond"/>
                <w:sz w:val="16"/>
                <w:szCs w:val="16"/>
              </w:rPr>
              <w:t>Kosto</w:t>
            </w:r>
            <w:r w:rsidR="00DB76F6" w:rsidRPr="00DB76F6">
              <w:rPr>
                <w:rFonts w:ascii="Garamond" w:hAnsi="Garamond"/>
                <w:sz w:val="16"/>
                <w:szCs w:val="16"/>
              </w:rPr>
              <w:t>ja</w:t>
            </w:r>
            <w:r w:rsidRPr="00DB76F6">
              <w:rPr>
                <w:rFonts w:ascii="Garamond" w:hAnsi="Garamond"/>
                <w:sz w:val="16"/>
                <w:szCs w:val="16"/>
              </w:rPr>
              <w:t xml:space="preserve"> indikative për 20</w:t>
            </w:r>
            <w:r w:rsidR="00080B16" w:rsidRPr="00DB76F6">
              <w:rPr>
                <w:rFonts w:ascii="Garamond" w:hAnsi="Garamond"/>
                <w:sz w:val="16"/>
                <w:szCs w:val="16"/>
              </w:rPr>
              <w:t>2</w:t>
            </w:r>
            <w:r w:rsidRPr="00DB76F6">
              <w:rPr>
                <w:rFonts w:ascii="Garamond" w:hAnsi="Garamond"/>
                <w:sz w:val="16"/>
                <w:szCs w:val="16"/>
              </w:rPr>
              <w:t>7</w:t>
            </w:r>
          </w:p>
        </w:tc>
        <w:tc>
          <w:tcPr>
            <w:tcW w:w="810" w:type="dxa"/>
            <w:shd w:val="clear" w:color="auto" w:fill="D9D9D9" w:themeFill="background1" w:themeFillShade="D9"/>
            <w:vAlign w:val="center"/>
          </w:tcPr>
          <w:p w14:paraId="4C52AB64" w14:textId="206670B4" w:rsidR="00634D1D" w:rsidRPr="00DB76F6" w:rsidDel="004535BD" w:rsidRDefault="00634D1D" w:rsidP="00DB76F6">
            <w:pPr>
              <w:spacing w:after="0"/>
              <w:jc w:val="center"/>
              <w:rPr>
                <w:rFonts w:ascii="Garamond" w:hAnsi="Garamond"/>
                <w:sz w:val="16"/>
                <w:szCs w:val="16"/>
              </w:rPr>
            </w:pPr>
            <w:r w:rsidRPr="00DB76F6">
              <w:rPr>
                <w:rFonts w:ascii="Garamond" w:hAnsi="Garamond"/>
                <w:sz w:val="16"/>
                <w:szCs w:val="16"/>
              </w:rPr>
              <w:t>Kosto</w:t>
            </w:r>
            <w:r w:rsidR="00DB76F6" w:rsidRPr="00DB76F6">
              <w:rPr>
                <w:rFonts w:ascii="Garamond" w:hAnsi="Garamond"/>
                <w:sz w:val="16"/>
                <w:szCs w:val="16"/>
              </w:rPr>
              <w:t>ja</w:t>
            </w:r>
            <w:r w:rsidRPr="00DB76F6">
              <w:rPr>
                <w:rFonts w:ascii="Garamond" w:hAnsi="Garamond"/>
                <w:sz w:val="16"/>
                <w:szCs w:val="16"/>
              </w:rPr>
              <w:t xml:space="preserve"> indikative për 20</w:t>
            </w:r>
            <w:r w:rsidR="00080B16" w:rsidRPr="00DB76F6">
              <w:rPr>
                <w:rFonts w:ascii="Garamond" w:hAnsi="Garamond"/>
                <w:sz w:val="16"/>
                <w:szCs w:val="16"/>
              </w:rPr>
              <w:t>2</w:t>
            </w:r>
            <w:r w:rsidRPr="00DB76F6">
              <w:rPr>
                <w:rFonts w:ascii="Garamond" w:hAnsi="Garamond"/>
                <w:sz w:val="16"/>
                <w:szCs w:val="16"/>
              </w:rPr>
              <w:t>8</w:t>
            </w:r>
          </w:p>
        </w:tc>
        <w:tc>
          <w:tcPr>
            <w:tcW w:w="720" w:type="dxa"/>
            <w:shd w:val="clear" w:color="auto" w:fill="D9D9D9" w:themeFill="background1" w:themeFillShade="D9"/>
            <w:vAlign w:val="center"/>
          </w:tcPr>
          <w:p w14:paraId="1179FC80" w14:textId="78DF17C1" w:rsidR="00634D1D" w:rsidRPr="00DB76F6" w:rsidRDefault="00634D1D" w:rsidP="00DB76F6">
            <w:pPr>
              <w:spacing w:after="0"/>
              <w:jc w:val="center"/>
              <w:rPr>
                <w:rFonts w:ascii="Garamond" w:hAnsi="Garamond"/>
                <w:sz w:val="16"/>
                <w:szCs w:val="16"/>
              </w:rPr>
            </w:pPr>
            <w:r w:rsidRPr="00DB76F6">
              <w:rPr>
                <w:rFonts w:ascii="Garamond" w:hAnsi="Garamond"/>
                <w:sz w:val="16"/>
                <w:szCs w:val="16"/>
              </w:rPr>
              <w:t>Treguesi i rezultatit</w:t>
            </w:r>
          </w:p>
        </w:tc>
        <w:tc>
          <w:tcPr>
            <w:tcW w:w="990" w:type="dxa"/>
            <w:shd w:val="clear" w:color="auto" w:fill="D9D9D9" w:themeFill="background1" w:themeFillShade="D9"/>
            <w:vAlign w:val="center"/>
          </w:tcPr>
          <w:p w14:paraId="104745FD" w14:textId="263616D1" w:rsidR="00634D1D" w:rsidRPr="00DB76F6" w:rsidRDefault="00634D1D" w:rsidP="00DB76F6">
            <w:pPr>
              <w:spacing w:after="0"/>
              <w:jc w:val="center"/>
              <w:rPr>
                <w:rFonts w:ascii="Garamond" w:hAnsi="Garamond"/>
                <w:sz w:val="16"/>
                <w:szCs w:val="16"/>
              </w:rPr>
            </w:pPr>
            <w:r w:rsidRPr="00DB76F6">
              <w:rPr>
                <w:rFonts w:ascii="Garamond" w:hAnsi="Garamond"/>
                <w:sz w:val="16"/>
                <w:szCs w:val="16"/>
              </w:rPr>
              <w:t>Burimi i verifikimit me frekuencë dhe publikim</w:t>
            </w:r>
          </w:p>
        </w:tc>
        <w:tc>
          <w:tcPr>
            <w:tcW w:w="720" w:type="dxa"/>
            <w:shd w:val="clear" w:color="auto" w:fill="D9D9D9" w:themeFill="background1" w:themeFillShade="D9"/>
            <w:vAlign w:val="center"/>
          </w:tcPr>
          <w:p w14:paraId="37773BE8" w14:textId="7E6A75CE" w:rsidR="00634D1D" w:rsidRPr="00B907A3" w:rsidRDefault="00634D1D" w:rsidP="00DB76F6">
            <w:pPr>
              <w:spacing w:after="0"/>
              <w:jc w:val="center"/>
              <w:rPr>
                <w:rFonts w:ascii="Garamond" w:hAnsi="Garamond"/>
                <w:sz w:val="24"/>
              </w:rPr>
            </w:pPr>
            <w:r w:rsidRPr="00DB76F6">
              <w:rPr>
                <w:rFonts w:ascii="Garamond" w:hAnsi="Garamond"/>
                <w:sz w:val="16"/>
                <w:szCs w:val="16"/>
              </w:rPr>
              <w:t>Shënim</w:t>
            </w:r>
          </w:p>
        </w:tc>
      </w:tr>
      <w:tr w:rsidR="00742191" w:rsidRPr="00B907A3" w14:paraId="233DF8F4" w14:textId="77777777" w:rsidTr="00DB76F6">
        <w:trPr>
          <w:cantSplit/>
          <w:trHeight w:val="409"/>
          <w:jc w:val="center"/>
        </w:trPr>
        <w:tc>
          <w:tcPr>
            <w:tcW w:w="1080" w:type="dxa"/>
            <w:shd w:val="clear" w:color="auto" w:fill="FFFFFF" w:themeFill="background1"/>
            <w:textDirection w:val="btLr"/>
            <w:vAlign w:val="center"/>
          </w:tcPr>
          <w:p w14:paraId="12785C81" w14:textId="77777777" w:rsidR="00634D1D" w:rsidRPr="00B907A3" w:rsidRDefault="00634D1D" w:rsidP="008C4E07">
            <w:pPr>
              <w:spacing w:after="0"/>
              <w:jc w:val="left"/>
              <w:rPr>
                <w:rFonts w:ascii="Garamond" w:hAnsi="Garamond"/>
                <w:sz w:val="24"/>
              </w:rPr>
            </w:pPr>
          </w:p>
        </w:tc>
        <w:tc>
          <w:tcPr>
            <w:tcW w:w="720" w:type="dxa"/>
            <w:shd w:val="clear" w:color="auto" w:fill="FFFFFF" w:themeFill="background1"/>
            <w:textDirection w:val="btLr"/>
            <w:vAlign w:val="center"/>
          </w:tcPr>
          <w:p w14:paraId="2E818C51" w14:textId="77777777" w:rsidR="00634D1D" w:rsidRPr="00B907A3" w:rsidDel="004535BD" w:rsidRDefault="00634D1D" w:rsidP="008C4E07">
            <w:pPr>
              <w:spacing w:after="0"/>
              <w:jc w:val="left"/>
              <w:rPr>
                <w:rFonts w:ascii="Garamond" w:hAnsi="Garamond"/>
                <w:sz w:val="24"/>
              </w:rPr>
            </w:pPr>
          </w:p>
        </w:tc>
        <w:tc>
          <w:tcPr>
            <w:tcW w:w="1050" w:type="dxa"/>
            <w:shd w:val="clear" w:color="auto" w:fill="FFFFFF" w:themeFill="background1"/>
            <w:textDirection w:val="btLr"/>
            <w:vAlign w:val="center"/>
          </w:tcPr>
          <w:p w14:paraId="3AF0D5E5" w14:textId="77777777" w:rsidR="00634D1D" w:rsidRPr="00B907A3" w:rsidDel="004535BD" w:rsidRDefault="00634D1D" w:rsidP="008C4E07">
            <w:pPr>
              <w:spacing w:after="0"/>
              <w:jc w:val="left"/>
              <w:rPr>
                <w:rFonts w:ascii="Garamond" w:hAnsi="Garamond"/>
                <w:sz w:val="24"/>
              </w:rPr>
            </w:pPr>
          </w:p>
        </w:tc>
        <w:tc>
          <w:tcPr>
            <w:tcW w:w="840" w:type="dxa"/>
            <w:shd w:val="clear" w:color="auto" w:fill="FFFFFF" w:themeFill="background1"/>
            <w:textDirection w:val="btLr"/>
            <w:vAlign w:val="center"/>
          </w:tcPr>
          <w:p w14:paraId="444A7D32" w14:textId="77777777" w:rsidR="00634D1D" w:rsidRPr="00B907A3" w:rsidRDefault="00634D1D" w:rsidP="008C4E07">
            <w:pPr>
              <w:spacing w:after="0"/>
              <w:jc w:val="left"/>
              <w:rPr>
                <w:rFonts w:ascii="Garamond" w:hAnsi="Garamond"/>
                <w:sz w:val="24"/>
              </w:rPr>
            </w:pPr>
          </w:p>
        </w:tc>
        <w:tc>
          <w:tcPr>
            <w:tcW w:w="720" w:type="dxa"/>
            <w:shd w:val="clear" w:color="auto" w:fill="FFFFFF" w:themeFill="background1"/>
            <w:textDirection w:val="btLr"/>
            <w:vAlign w:val="center"/>
          </w:tcPr>
          <w:p w14:paraId="78B1BA2E" w14:textId="77777777" w:rsidR="00634D1D" w:rsidRPr="00B907A3" w:rsidRDefault="00634D1D" w:rsidP="008C4E07">
            <w:pPr>
              <w:spacing w:after="0"/>
              <w:jc w:val="left"/>
              <w:rPr>
                <w:rFonts w:ascii="Garamond" w:hAnsi="Garamond"/>
                <w:sz w:val="24"/>
              </w:rPr>
            </w:pPr>
          </w:p>
        </w:tc>
        <w:tc>
          <w:tcPr>
            <w:tcW w:w="720" w:type="dxa"/>
            <w:shd w:val="clear" w:color="auto" w:fill="FFFFFF" w:themeFill="background1"/>
            <w:textDirection w:val="btLr"/>
          </w:tcPr>
          <w:p w14:paraId="55DF6659" w14:textId="77777777" w:rsidR="00634D1D" w:rsidRPr="00B907A3" w:rsidRDefault="00634D1D" w:rsidP="008C4E07">
            <w:pPr>
              <w:spacing w:after="0"/>
              <w:jc w:val="left"/>
              <w:rPr>
                <w:rFonts w:ascii="Garamond" w:hAnsi="Garamond"/>
                <w:sz w:val="24"/>
              </w:rPr>
            </w:pPr>
          </w:p>
        </w:tc>
        <w:tc>
          <w:tcPr>
            <w:tcW w:w="720" w:type="dxa"/>
            <w:shd w:val="clear" w:color="auto" w:fill="FFFFFF" w:themeFill="background1"/>
            <w:textDirection w:val="btLr"/>
          </w:tcPr>
          <w:p w14:paraId="1C79008C" w14:textId="77777777" w:rsidR="00634D1D" w:rsidRPr="00B907A3" w:rsidRDefault="00634D1D" w:rsidP="008C4E07">
            <w:pPr>
              <w:spacing w:after="0"/>
              <w:jc w:val="left"/>
              <w:rPr>
                <w:rFonts w:ascii="Garamond" w:hAnsi="Garamond"/>
                <w:sz w:val="24"/>
              </w:rPr>
            </w:pPr>
          </w:p>
        </w:tc>
        <w:tc>
          <w:tcPr>
            <w:tcW w:w="810" w:type="dxa"/>
            <w:shd w:val="clear" w:color="auto" w:fill="FFFFFF" w:themeFill="background1"/>
            <w:textDirection w:val="btLr"/>
          </w:tcPr>
          <w:p w14:paraId="23543F2E" w14:textId="77777777" w:rsidR="00634D1D" w:rsidRPr="00B907A3" w:rsidRDefault="00634D1D" w:rsidP="008C4E07">
            <w:pPr>
              <w:spacing w:after="0"/>
              <w:jc w:val="left"/>
              <w:rPr>
                <w:rFonts w:ascii="Garamond" w:hAnsi="Garamond"/>
                <w:sz w:val="24"/>
              </w:rPr>
            </w:pPr>
          </w:p>
        </w:tc>
        <w:tc>
          <w:tcPr>
            <w:tcW w:w="720" w:type="dxa"/>
            <w:shd w:val="clear" w:color="auto" w:fill="FFFFFF" w:themeFill="background1"/>
            <w:textDirection w:val="btLr"/>
          </w:tcPr>
          <w:p w14:paraId="7FA36319" w14:textId="77777777" w:rsidR="00634D1D" w:rsidRPr="00B907A3" w:rsidRDefault="00634D1D" w:rsidP="008C4E07">
            <w:pPr>
              <w:spacing w:after="0"/>
              <w:jc w:val="left"/>
              <w:rPr>
                <w:rFonts w:ascii="Garamond" w:hAnsi="Garamond"/>
                <w:sz w:val="24"/>
              </w:rPr>
            </w:pPr>
          </w:p>
        </w:tc>
        <w:tc>
          <w:tcPr>
            <w:tcW w:w="990" w:type="dxa"/>
            <w:shd w:val="clear" w:color="auto" w:fill="FFFFFF" w:themeFill="background1"/>
            <w:textDirection w:val="btLr"/>
          </w:tcPr>
          <w:p w14:paraId="62734976" w14:textId="77777777" w:rsidR="00634D1D" w:rsidRPr="00B907A3" w:rsidRDefault="00634D1D" w:rsidP="008C4E07">
            <w:pPr>
              <w:spacing w:after="0"/>
              <w:jc w:val="left"/>
              <w:rPr>
                <w:rFonts w:ascii="Garamond" w:hAnsi="Garamond"/>
                <w:sz w:val="24"/>
              </w:rPr>
            </w:pPr>
          </w:p>
        </w:tc>
        <w:tc>
          <w:tcPr>
            <w:tcW w:w="720" w:type="dxa"/>
            <w:shd w:val="clear" w:color="auto" w:fill="FFFFFF" w:themeFill="background1"/>
            <w:textDirection w:val="btLr"/>
          </w:tcPr>
          <w:p w14:paraId="20F35E7E" w14:textId="77777777" w:rsidR="00634D1D" w:rsidRPr="00B907A3" w:rsidRDefault="00634D1D" w:rsidP="008C4E07">
            <w:pPr>
              <w:spacing w:after="0"/>
              <w:jc w:val="left"/>
              <w:rPr>
                <w:rFonts w:ascii="Garamond" w:hAnsi="Garamond"/>
                <w:sz w:val="24"/>
              </w:rPr>
            </w:pPr>
          </w:p>
        </w:tc>
      </w:tr>
    </w:tbl>
    <w:p w14:paraId="2145A2AB" w14:textId="77777777" w:rsidR="00B0110B" w:rsidRPr="00B907A3" w:rsidRDefault="00B0110B" w:rsidP="008C4E07">
      <w:pPr>
        <w:spacing w:after="0"/>
        <w:ind w:firstLine="284"/>
        <w:rPr>
          <w:rFonts w:ascii="Garamond" w:hAnsi="Garamond"/>
          <w:sz w:val="24"/>
        </w:rPr>
      </w:pPr>
    </w:p>
    <w:p w14:paraId="60C9B02E" w14:textId="6CA8C2CA" w:rsidR="00F54753" w:rsidRPr="00B907A3" w:rsidRDefault="00D648AA" w:rsidP="008C4E07">
      <w:pPr>
        <w:spacing w:after="0"/>
        <w:ind w:firstLine="284"/>
        <w:rPr>
          <w:rFonts w:ascii="Garamond" w:hAnsi="Garamond"/>
          <w:sz w:val="24"/>
        </w:rPr>
      </w:pPr>
      <w:r w:rsidRPr="00B907A3">
        <w:rPr>
          <w:rFonts w:ascii="Garamond" w:hAnsi="Garamond"/>
          <w:sz w:val="24"/>
        </w:rPr>
        <w:t xml:space="preserve">Plani i Veprimit të Strategjisë së Sigurisë Rrugore </w:t>
      </w:r>
      <w:r w:rsidR="00F54753" w:rsidRPr="00B907A3">
        <w:rPr>
          <w:rFonts w:ascii="Garamond" w:hAnsi="Garamond"/>
          <w:sz w:val="24"/>
        </w:rPr>
        <w:t>(</w:t>
      </w:r>
      <w:r w:rsidR="000B1794" w:rsidRPr="00B907A3">
        <w:rPr>
          <w:rFonts w:ascii="Garamond" w:hAnsi="Garamond"/>
          <w:sz w:val="24"/>
        </w:rPr>
        <w:t>PVSSRR</w:t>
      </w:r>
      <w:r w:rsidR="00F54753" w:rsidRPr="00B907A3">
        <w:rPr>
          <w:rFonts w:ascii="Garamond" w:hAnsi="Garamond"/>
          <w:sz w:val="24"/>
        </w:rPr>
        <w:t xml:space="preserve">) u hartua fillimisht dhe kaloi nëpër një procedurë konsultimesh intensive me institucionet kryesore pjesëmarrëse në sigurinë rrugore, të cilat do të jenë përgjegjëse për zbatimin e tij. Gjatë diskutimeve, një vëmendje e veçantë iu kushtua sigurimit të një kuptimi të qartë të ndërhyrjeve/aktiviteteve dhe monitorimit e vlerësimit të tyre ndërmjetës, për të vlerësuar ndikimin e </w:t>
      </w:r>
      <w:r w:rsidR="008F2013" w:rsidRPr="00B907A3">
        <w:rPr>
          <w:rFonts w:ascii="Garamond" w:hAnsi="Garamond"/>
          <w:sz w:val="24"/>
        </w:rPr>
        <w:t>masave</w:t>
      </w:r>
      <w:r w:rsidR="00F54753" w:rsidRPr="00B907A3">
        <w:rPr>
          <w:rFonts w:ascii="Garamond" w:hAnsi="Garamond"/>
          <w:sz w:val="24"/>
        </w:rPr>
        <w:t xml:space="preserve"> të reja të zbatuara në praktikë.</w:t>
      </w:r>
    </w:p>
    <w:p w14:paraId="14FD83D5" w14:textId="5CB73AF3" w:rsidR="00D51215" w:rsidRPr="00B907A3" w:rsidRDefault="00F54753" w:rsidP="008C4E07">
      <w:pPr>
        <w:spacing w:after="0"/>
        <w:ind w:firstLine="284"/>
        <w:rPr>
          <w:rFonts w:ascii="Garamond" w:hAnsi="Garamond"/>
          <w:sz w:val="24"/>
        </w:rPr>
      </w:pPr>
      <w:r w:rsidRPr="00B907A3">
        <w:rPr>
          <w:rFonts w:ascii="Garamond" w:hAnsi="Garamond"/>
          <w:sz w:val="24"/>
        </w:rPr>
        <w:t xml:space="preserve">Plani trevjeçar i </w:t>
      </w:r>
      <w:r w:rsidR="000B1794" w:rsidRPr="00B907A3">
        <w:rPr>
          <w:rFonts w:ascii="Garamond" w:hAnsi="Garamond"/>
          <w:sz w:val="24"/>
        </w:rPr>
        <w:t>PVSSRR</w:t>
      </w:r>
      <w:r w:rsidRPr="00B907A3">
        <w:rPr>
          <w:rFonts w:ascii="Garamond" w:hAnsi="Garamond"/>
          <w:sz w:val="24"/>
        </w:rPr>
        <w:t>-it, për periudhën 202</w:t>
      </w:r>
      <w:r w:rsidR="00B64715" w:rsidRPr="00B907A3">
        <w:rPr>
          <w:rFonts w:ascii="Garamond" w:hAnsi="Garamond"/>
          <w:sz w:val="24"/>
        </w:rPr>
        <w:t>7</w:t>
      </w:r>
      <w:r w:rsidRPr="00B907A3">
        <w:rPr>
          <w:rFonts w:ascii="Garamond" w:hAnsi="Garamond"/>
          <w:sz w:val="24"/>
        </w:rPr>
        <w:t>–202</w:t>
      </w:r>
      <w:r w:rsidR="00B64715" w:rsidRPr="00B907A3">
        <w:rPr>
          <w:rFonts w:ascii="Garamond" w:hAnsi="Garamond"/>
          <w:sz w:val="24"/>
        </w:rPr>
        <w:t>9</w:t>
      </w:r>
      <w:r w:rsidRPr="00B907A3">
        <w:rPr>
          <w:rFonts w:ascii="Garamond" w:hAnsi="Garamond"/>
          <w:sz w:val="24"/>
        </w:rPr>
        <w:t>, paraqitet në një dokument të veçantë.</w:t>
      </w:r>
    </w:p>
    <w:p w14:paraId="1D3F2F0B" w14:textId="71FFB77D" w:rsidR="00B42B8F" w:rsidRPr="00B907A3" w:rsidRDefault="0043604F" w:rsidP="008C4E07">
      <w:pPr>
        <w:pStyle w:val="Heading1"/>
        <w:numPr>
          <w:ilvl w:val="0"/>
          <w:numId w:val="0"/>
        </w:numPr>
        <w:pBdr>
          <w:bottom w:val="none" w:sz="0" w:space="0" w:color="auto"/>
        </w:pBdr>
        <w:spacing w:before="0" w:after="0"/>
        <w:ind w:firstLine="284"/>
        <w:rPr>
          <w:rFonts w:ascii="Garamond" w:hAnsi="Garamond"/>
          <w:color w:val="auto"/>
          <w:sz w:val="24"/>
          <w:szCs w:val="24"/>
          <w:lang w:val="sq-AL"/>
        </w:rPr>
      </w:pPr>
      <w:bookmarkStart w:id="191" w:name="_Toc208840609"/>
      <w:r w:rsidRPr="00B907A3">
        <w:rPr>
          <w:rFonts w:ascii="Garamond" w:hAnsi="Garamond"/>
          <w:color w:val="auto"/>
          <w:sz w:val="24"/>
          <w:szCs w:val="24"/>
          <w:lang w:val="sq-AL"/>
        </w:rPr>
        <w:t>Referenc</w:t>
      </w:r>
      <w:r w:rsidR="00F54753" w:rsidRPr="00B907A3">
        <w:rPr>
          <w:rFonts w:ascii="Garamond" w:hAnsi="Garamond"/>
          <w:color w:val="auto"/>
          <w:sz w:val="24"/>
          <w:szCs w:val="24"/>
          <w:lang w:val="sq-AL"/>
        </w:rPr>
        <w:t>at</w:t>
      </w:r>
      <w:bookmarkEnd w:id="191"/>
      <w:r w:rsidR="00F54753" w:rsidRPr="00B907A3">
        <w:rPr>
          <w:rFonts w:ascii="Garamond" w:hAnsi="Garamond"/>
          <w:color w:val="auto"/>
          <w:sz w:val="24"/>
          <w:szCs w:val="24"/>
          <w:lang w:val="sq-AL"/>
        </w:rPr>
        <w:t xml:space="preserve"> </w:t>
      </w:r>
    </w:p>
    <w:p w14:paraId="5911022F" w14:textId="77777777" w:rsidR="00D51215" w:rsidRPr="00795EA8" w:rsidRDefault="00B42B8F" w:rsidP="00795EA8">
      <w:pPr>
        <w:spacing w:after="0"/>
        <w:ind w:firstLine="284"/>
        <w:rPr>
          <w:rFonts w:ascii="Garamond" w:hAnsi="Garamond"/>
          <w:sz w:val="24"/>
          <w:lang w:eastAsia="en-US"/>
        </w:rPr>
      </w:pPr>
      <w:r w:rsidRPr="00B907A3">
        <w:rPr>
          <w:rFonts w:ascii="Garamond" w:hAnsi="Garamond"/>
          <w:sz w:val="24"/>
          <w:lang w:eastAsia="en-US"/>
        </w:rPr>
        <w:t xml:space="preserve"> </w:t>
      </w:r>
      <w:r w:rsidRPr="00795EA8">
        <w:rPr>
          <w:rFonts w:ascii="Garamond" w:hAnsi="Garamond"/>
          <w:sz w:val="24"/>
          <w:lang w:eastAsia="en-US"/>
        </w:rPr>
        <w:t xml:space="preserve">Plani Strategjik i Veprimit të BE-së për Sigurinë Rrugore, Aneksi 1 i Komunikimit nga Komisioni, </w:t>
      </w:r>
      <w:r w:rsidRPr="00795EA8">
        <w:rPr>
          <w:rFonts w:ascii="Garamond" w:hAnsi="Garamond"/>
          <w:i/>
          <w:iCs/>
          <w:sz w:val="24"/>
          <w:lang w:eastAsia="en-US"/>
        </w:rPr>
        <w:t xml:space="preserve">Evropa në lëvizje – </w:t>
      </w:r>
      <w:r w:rsidR="00511908" w:rsidRPr="00795EA8">
        <w:rPr>
          <w:rFonts w:ascii="Garamond" w:hAnsi="Garamond"/>
          <w:i/>
          <w:iCs/>
          <w:sz w:val="24"/>
          <w:lang w:eastAsia="en-US"/>
        </w:rPr>
        <w:t xml:space="preserve">Mobilitet i </w:t>
      </w:r>
      <w:r w:rsidRPr="00795EA8">
        <w:rPr>
          <w:rFonts w:ascii="Garamond" w:hAnsi="Garamond"/>
          <w:i/>
          <w:iCs/>
          <w:sz w:val="24"/>
          <w:lang w:eastAsia="en-US"/>
        </w:rPr>
        <w:t>Qëndruesh</w:t>
      </w:r>
      <w:r w:rsidR="00511908" w:rsidRPr="00795EA8">
        <w:rPr>
          <w:rFonts w:ascii="Garamond" w:hAnsi="Garamond"/>
          <w:i/>
          <w:iCs/>
          <w:sz w:val="24"/>
          <w:lang w:eastAsia="en-US"/>
        </w:rPr>
        <w:t>ë</w:t>
      </w:r>
      <w:r w:rsidRPr="00795EA8">
        <w:rPr>
          <w:rFonts w:ascii="Garamond" w:hAnsi="Garamond"/>
          <w:i/>
          <w:iCs/>
          <w:sz w:val="24"/>
          <w:lang w:eastAsia="en-US"/>
        </w:rPr>
        <w:t>m për Evropën: e sigurt, e lidhur dhe e pastër.</w:t>
      </w:r>
    </w:p>
    <w:p w14:paraId="1BFC8460" w14:textId="55D4A028"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34" w:history="1">
        <w:r w:rsidRPr="00795EA8">
          <w:rPr>
            <w:rFonts w:ascii="Garamond" w:hAnsi="Garamond"/>
            <w:sz w:val="24"/>
            <w:u w:val="single"/>
            <w:lang w:eastAsia="en-US"/>
          </w:rPr>
          <w:t>https://eur-lex.europa.eu/resource.html?uri=cellar%3A0e8b694e-59b5-11e8-ab41-01aa75ed71a1.0003.02/DOC_2&amp;format=PDF</w:t>
        </w:r>
      </w:hyperlink>
      <w:r w:rsidRPr="00795EA8">
        <w:rPr>
          <w:rFonts w:ascii="Garamond" w:hAnsi="Garamond"/>
          <w:sz w:val="24"/>
          <w:lang w:eastAsia="en-US"/>
        </w:rPr>
        <w:t xml:space="preserve">, </w:t>
      </w:r>
    </w:p>
    <w:p w14:paraId="3E57871F" w14:textId="57CF0203"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BE: Komisioni Evropian, Drejtoria e Përgjithshme për Lëvizshmëri dhe Transport, </w:t>
      </w:r>
      <w:r w:rsidRPr="00795EA8">
        <w:rPr>
          <w:rFonts w:ascii="Garamond" w:hAnsi="Garamond"/>
          <w:i/>
          <w:iCs/>
          <w:sz w:val="24"/>
          <w:lang w:eastAsia="en-US"/>
        </w:rPr>
        <w:t xml:space="preserve">Hapat e radhës drejt </w:t>
      </w:r>
      <w:r w:rsidR="007951BD" w:rsidRPr="00795EA8">
        <w:rPr>
          <w:rFonts w:ascii="Garamond" w:hAnsi="Garamond"/>
          <w:i/>
          <w:iCs/>
          <w:sz w:val="24"/>
          <w:lang w:eastAsia="en-US"/>
        </w:rPr>
        <w:t>“</w:t>
      </w:r>
      <w:r w:rsidRPr="00795EA8">
        <w:rPr>
          <w:rFonts w:ascii="Garamond" w:hAnsi="Garamond"/>
          <w:i/>
          <w:iCs/>
          <w:sz w:val="24"/>
          <w:lang w:eastAsia="en-US"/>
        </w:rPr>
        <w:t>Vi</w:t>
      </w:r>
      <w:r w:rsidR="00B71368" w:rsidRPr="00795EA8">
        <w:rPr>
          <w:rFonts w:ascii="Garamond" w:hAnsi="Garamond"/>
          <w:i/>
          <w:iCs/>
          <w:sz w:val="24"/>
          <w:lang w:eastAsia="en-US"/>
        </w:rPr>
        <w:t>s</w:t>
      </w:r>
      <w:r w:rsidRPr="00795EA8">
        <w:rPr>
          <w:rFonts w:ascii="Garamond" w:hAnsi="Garamond"/>
          <w:i/>
          <w:iCs/>
          <w:sz w:val="24"/>
          <w:lang w:eastAsia="en-US"/>
        </w:rPr>
        <w:t>ion Zero</w:t>
      </w:r>
      <w:r w:rsidR="007951BD" w:rsidRPr="00795EA8">
        <w:rPr>
          <w:rFonts w:ascii="Garamond" w:hAnsi="Garamond"/>
          <w:i/>
          <w:iCs/>
          <w:sz w:val="24"/>
          <w:lang w:eastAsia="en-US"/>
        </w:rPr>
        <w:t>”</w:t>
      </w:r>
      <w:r w:rsidRPr="00795EA8">
        <w:rPr>
          <w:rFonts w:ascii="Garamond" w:hAnsi="Garamond"/>
          <w:i/>
          <w:iCs/>
          <w:sz w:val="24"/>
          <w:lang w:eastAsia="en-US"/>
        </w:rPr>
        <w:t>: Kuadri i politikave të sigurisë rrugore të BE-së 2021–2030</w:t>
      </w:r>
      <w:r w:rsidRPr="00795EA8">
        <w:rPr>
          <w:rFonts w:ascii="Garamond" w:hAnsi="Garamond"/>
          <w:sz w:val="24"/>
          <w:lang w:eastAsia="en-US"/>
        </w:rPr>
        <w:t>, Zyra e Publikimeve, 2020.</w:t>
      </w:r>
    </w:p>
    <w:p w14:paraId="416F2660" w14:textId="5DD137D3"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35" w:history="1">
        <w:r w:rsidRPr="00795EA8">
          <w:rPr>
            <w:rFonts w:ascii="Garamond" w:hAnsi="Garamond"/>
            <w:sz w:val="24"/>
            <w:u w:val="single"/>
            <w:lang w:eastAsia="en-US"/>
          </w:rPr>
          <w:t>https://data.europa.eu/doi/10.2832/261629</w:t>
        </w:r>
      </w:hyperlink>
      <w:r w:rsidRPr="00795EA8">
        <w:rPr>
          <w:rFonts w:ascii="Garamond" w:hAnsi="Garamond"/>
          <w:sz w:val="24"/>
          <w:lang w:eastAsia="en-US"/>
        </w:rPr>
        <w:t xml:space="preserve">, </w:t>
      </w:r>
    </w:p>
    <w:p w14:paraId="2FDC3E74"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Raporti Global për Gjendjen e Sigurisë Rrugore 2023. Gjenevë: Organizata Botërore e Shëndetësisë; 2023. Licencë: CC BY-NC-SA 3.0 IGO.</w:t>
      </w:r>
    </w:p>
    <w:p w14:paraId="601FFFFF" w14:textId="0E7B6B9E"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36" w:history="1">
        <w:r w:rsidRPr="00795EA8">
          <w:rPr>
            <w:rFonts w:ascii="Garamond" w:hAnsi="Garamond"/>
            <w:sz w:val="24"/>
            <w:u w:val="single"/>
            <w:lang w:eastAsia="en-US"/>
          </w:rPr>
          <w:t>https://iris.who.int/bitstream/handle/10665/375016/9789240086517-eng.pdf?sequence=1</w:t>
        </w:r>
      </w:hyperlink>
      <w:r w:rsidRPr="00795EA8">
        <w:rPr>
          <w:rFonts w:ascii="Garamond" w:hAnsi="Garamond"/>
          <w:sz w:val="24"/>
          <w:lang w:eastAsia="en-US"/>
        </w:rPr>
        <w:t xml:space="preserve">, </w:t>
      </w:r>
    </w:p>
    <w:p w14:paraId="1B4AAA26"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lastRenderedPageBreak/>
        <w:t>PIARC: Menaxhimi i sigurisë rrugore – Sistemi i sigurisë – Parimet shkencore të sigurisë dhe zbatimi i tyre.</w:t>
      </w:r>
    </w:p>
    <w:p w14:paraId="46ACD2A5" w14:textId="5A5573DC"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37" w:history="1">
        <w:r w:rsidRPr="00795EA8">
          <w:rPr>
            <w:rFonts w:ascii="Garamond" w:hAnsi="Garamond"/>
            <w:sz w:val="24"/>
            <w:u w:val="single"/>
            <w:lang w:eastAsia="en-US"/>
          </w:rPr>
          <w:t>https://roadsafety.piarc.org/en/road-safety-management-safe-system-approach/safe-system-principles</w:t>
        </w:r>
      </w:hyperlink>
      <w:r w:rsidRPr="00795EA8">
        <w:rPr>
          <w:rFonts w:ascii="Garamond" w:hAnsi="Garamond"/>
          <w:sz w:val="24"/>
          <w:lang w:eastAsia="en-US"/>
        </w:rPr>
        <w:t xml:space="preserve">, </w:t>
      </w:r>
    </w:p>
    <w:p w14:paraId="2DF456DA"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Komuniteti i Transportit: Plani i Veprimit për Sigurinë Rrugore për Ballkanin Perëndimor.</w:t>
      </w:r>
    </w:p>
    <w:p w14:paraId="6F19EB31" w14:textId="3AB7884A"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38" w:history="1">
        <w:r w:rsidRPr="00795EA8">
          <w:rPr>
            <w:rFonts w:ascii="Garamond" w:hAnsi="Garamond"/>
            <w:sz w:val="24"/>
            <w:u w:val="single"/>
            <w:lang w:eastAsia="en-US"/>
          </w:rPr>
          <w:t>https://www.transport-community.org/wp-content/uploads/2020/04/Road-Safety-Action-Plan.pdf</w:t>
        </w:r>
      </w:hyperlink>
      <w:r w:rsidRPr="00795EA8">
        <w:rPr>
          <w:rFonts w:ascii="Garamond" w:hAnsi="Garamond"/>
          <w:sz w:val="24"/>
          <w:lang w:eastAsia="en-US"/>
        </w:rPr>
        <w:t xml:space="preserve">, </w:t>
      </w:r>
    </w:p>
    <w:p w14:paraId="40606325"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Këshilli Ekonomik dhe Social i OKB-së ECE/Trans/2012/4, Komisioni Ekonomik për Evropën i Kombeve të Bashkuara: </w:t>
      </w:r>
      <w:r w:rsidRPr="00795EA8">
        <w:rPr>
          <w:rFonts w:ascii="Garamond" w:hAnsi="Garamond"/>
          <w:i/>
          <w:iCs/>
          <w:sz w:val="24"/>
          <w:lang w:eastAsia="en-US"/>
        </w:rPr>
        <w:t>Plani për zbatimin e Dekadës së Veprimit për Sigurinë Rrugore (2011–2020).</w:t>
      </w:r>
    </w:p>
    <w:p w14:paraId="50609C2E" w14:textId="4CC51917"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39" w:history="1">
        <w:r w:rsidRPr="00795EA8">
          <w:rPr>
            <w:rFonts w:ascii="Garamond" w:hAnsi="Garamond"/>
            <w:sz w:val="24"/>
            <w:u w:val="single"/>
            <w:lang w:eastAsia="en-US"/>
          </w:rPr>
          <w:t>http://www.unece.org/fileadmin/DAM/trans/doc/2012/itc/ECE-TRANS-2012-4e.pdf</w:t>
        </w:r>
      </w:hyperlink>
      <w:r w:rsidRPr="00795EA8">
        <w:rPr>
          <w:rFonts w:ascii="Garamond" w:hAnsi="Garamond"/>
          <w:sz w:val="24"/>
          <w:lang w:eastAsia="en-US"/>
        </w:rPr>
        <w:t xml:space="preserve">, </w:t>
      </w:r>
    </w:p>
    <w:p w14:paraId="35EDFE98"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OKB: Konferenca e Parë Ministrore Globale për Sigurinë Rrugore: </w:t>
      </w:r>
      <w:r w:rsidRPr="00795EA8">
        <w:rPr>
          <w:rFonts w:ascii="Garamond" w:hAnsi="Garamond"/>
          <w:i/>
          <w:iCs/>
          <w:sz w:val="24"/>
          <w:lang w:eastAsia="en-US"/>
        </w:rPr>
        <w:t>Koha për Veprim</w:t>
      </w:r>
      <w:r w:rsidRPr="00795EA8">
        <w:rPr>
          <w:rFonts w:ascii="Garamond" w:hAnsi="Garamond"/>
          <w:sz w:val="24"/>
          <w:lang w:eastAsia="en-US"/>
        </w:rPr>
        <w:t>, Deklarata e Moskës, Moskë, 19–20 Nëntor 2009.</w:t>
      </w:r>
    </w:p>
    <w:p w14:paraId="25546169" w14:textId="0C1A61DB" w:rsidR="00B42B8F" w:rsidRPr="00795EA8" w:rsidRDefault="00795EA8" w:rsidP="00795EA8">
      <w:pPr>
        <w:spacing w:after="0"/>
        <w:ind w:firstLine="284"/>
        <w:rPr>
          <w:rFonts w:ascii="Garamond" w:hAnsi="Garamond"/>
          <w:sz w:val="24"/>
          <w:lang w:eastAsia="en-US"/>
        </w:rPr>
      </w:pPr>
      <w:r>
        <w:rPr>
          <w:rFonts w:ascii="Garamond" w:hAnsi="Garamond"/>
          <w:sz w:val="24"/>
          <w:lang w:eastAsia="en-US"/>
        </w:rPr>
        <w:t>[Web]:a</w:t>
      </w:r>
      <w:hyperlink r:id="rId40" w:history="1">
        <w:r w:rsidRPr="00726CAA">
          <w:rPr>
            <w:rStyle w:val="Hyperlink"/>
            <w:rFonts w:ascii="Garamond" w:hAnsi="Garamond"/>
            <w:sz w:val="24"/>
            <w:lang w:eastAsia="en-US"/>
          </w:rPr>
          <w:t>https://cdn.who.int/media/docs/default-source/documents/un-road-safety-collaboration/moscow_declaration_en.pdf</w:t>
        </w:r>
      </w:hyperlink>
      <w:r w:rsidR="00B42B8F" w:rsidRPr="00795EA8">
        <w:rPr>
          <w:rFonts w:ascii="Garamond" w:hAnsi="Garamond"/>
          <w:sz w:val="24"/>
          <w:lang w:eastAsia="en-US"/>
        </w:rPr>
        <w:t xml:space="preserve">, </w:t>
      </w:r>
    </w:p>
    <w:p w14:paraId="57A7FD8F"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OKB: Rezoluta A/RES/74/299, 02.09.2020.</w:t>
      </w:r>
    </w:p>
    <w:p w14:paraId="3129C4AC" w14:textId="302D5F26"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41" w:history="1">
        <w:r w:rsidRPr="00795EA8">
          <w:rPr>
            <w:rFonts w:ascii="Garamond" w:hAnsi="Garamond"/>
            <w:sz w:val="24"/>
            <w:u w:val="single"/>
            <w:lang w:eastAsia="en-US"/>
          </w:rPr>
          <w:t>https://undocs.org/en/A/RES/74/299</w:t>
        </w:r>
      </w:hyperlink>
      <w:r w:rsidRPr="00795EA8">
        <w:rPr>
          <w:rFonts w:ascii="Garamond" w:hAnsi="Garamond"/>
          <w:sz w:val="24"/>
          <w:lang w:eastAsia="en-US"/>
        </w:rPr>
        <w:t xml:space="preserve">, </w:t>
      </w:r>
    </w:p>
    <w:p w14:paraId="59D37D88"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 OKB: Konferenca e Tretë Globale Ministrore për Sigurinë Rrugore: </w:t>
      </w:r>
      <w:r w:rsidRPr="00795EA8">
        <w:rPr>
          <w:rFonts w:ascii="Garamond" w:hAnsi="Garamond"/>
          <w:i/>
          <w:iCs/>
          <w:sz w:val="24"/>
          <w:lang w:eastAsia="en-US"/>
        </w:rPr>
        <w:t>Arritja e Objektivave Globale 2030</w:t>
      </w:r>
      <w:r w:rsidRPr="00795EA8">
        <w:rPr>
          <w:rFonts w:ascii="Garamond" w:hAnsi="Garamond"/>
          <w:sz w:val="24"/>
          <w:lang w:eastAsia="en-US"/>
        </w:rPr>
        <w:t>, Stokholm, 19–20 Shkurt 2020, Deklarata e Stokholmit.</w:t>
      </w:r>
    </w:p>
    <w:p w14:paraId="2A6AD7EC" w14:textId="6C29AF92" w:rsidR="00B42B8F" w:rsidRPr="00795EA8" w:rsidRDefault="00795EA8" w:rsidP="00795EA8">
      <w:pPr>
        <w:spacing w:after="0"/>
        <w:ind w:firstLine="284"/>
        <w:rPr>
          <w:rFonts w:ascii="Garamond" w:hAnsi="Garamond"/>
          <w:sz w:val="24"/>
          <w:lang w:eastAsia="en-US"/>
        </w:rPr>
      </w:pPr>
      <w:r>
        <w:rPr>
          <w:rFonts w:ascii="Garamond" w:hAnsi="Garamond"/>
          <w:sz w:val="24"/>
          <w:lang w:eastAsia="en-US"/>
        </w:rPr>
        <w:t>[Web]:</w:t>
      </w:r>
      <w:hyperlink r:id="rId42" w:history="1">
        <w:r w:rsidR="00B42B8F" w:rsidRPr="00795EA8">
          <w:rPr>
            <w:rFonts w:ascii="Garamond" w:hAnsi="Garamond"/>
            <w:sz w:val="24"/>
            <w:u w:val="single"/>
            <w:lang w:eastAsia="en-US"/>
          </w:rPr>
          <w:t>https://www.roadsafetysweden.com/contentassets/b37f0951c837443eb9661668d5be439e/stockholm-declaration-english.pdf</w:t>
        </w:r>
      </w:hyperlink>
      <w:r w:rsidR="00B42B8F" w:rsidRPr="00795EA8">
        <w:rPr>
          <w:rFonts w:ascii="Garamond" w:hAnsi="Garamond"/>
          <w:sz w:val="24"/>
          <w:lang w:eastAsia="en-US"/>
        </w:rPr>
        <w:t xml:space="preserve">, </w:t>
      </w:r>
    </w:p>
    <w:p w14:paraId="668C945E"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 OKB: </w:t>
      </w:r>
      <w:r w:rsidRPr="00795EA8">
        <w:rPr>
          <w:rFonts w:ascii="Garamond" w:hAnsi="Garamond"/>
          <w:i/>
          <w:iCs/>
          <w:sz w:val="24"/>
          <w:lang w:eastAsia="en-US"/>
        </w:rPr>
        <w:t>Transformimi i botës sonë: Agjenda 2030 për Zhvillim të Qëndrueshëm</w:t>
      </w:r>
      <w:r w:rsidRPr="00795EA8">
        <w:rPr>
          <w:rFonts w:ascii="Garamond" w:hAnsi="Garamond"/>
          <w:sz w:val="24"/>
          <w:lang w:eastAsia="en-US"/>
        </w:rPr>
        <w:t>, A/RES/70/1.</w:t>
      </w:r>
    </w:p>
    <w:p w14:paraId="5FEA3F9D" w14:textId="79DC2C86"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w:t>
      </w:r>
      <w:r w:rsidR="00795EA8">
        <w:rPr>
          <w:rFonts w:ascii="Garamond" w:hAnsi="Garamond"/>
          <w:sz w:val="24"/>
          <w:lang w:eastAsia="en-US"/>
        </w:rPr>
        <w:t>Web]:</w:t>
      </w:r>
      <w:hyperlink r:id="rId43" w:history="1">
        <w:r w:rsidRPr="00795EA8">
          <w:rPr>
            <w:rFonts w:ascii="Garamond" w:hAnsi="Garamond"/>
            <w:sz w:val="24"/>
            <w:u w:val="single"/>
            <w:lang w:eastAsia="en-US"/>
          </w:rPr>
          <w:t>https://sustainabledevelopment.un.org/content/documents/21252030%20Agenda%20for%20Sustainable%20Development%20web.pdf</w:t>
        </w:r>
      </w:hyperlink>
      <w:r w:rsidRPr="00795EA8">
        <w:rPr>
          <w:rFonts w:ascii="Garamond" w:hAnsi="Garamond"/>
          <w:sz w:val="24"/>
          <w:lang w:eastAsia="en-US"/>
        </w:rPr>
        <w:t xml:space="preserve">, </w:t>
      </w:r>
    </w:p>
    <w:p w14:paraId="0E464B3F"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OKB: </w:t>
      </w:r>
      <w:r w:rsidRPr="00795EA8">
        <w:rPr>
          <w:rFonts w:ascii="Garamond" w:hAnsi="Garamond"/>
          <w:i/>
          <w:iCs/>
          <w:sz w:val="24"/>
          <w:lang w:eastAsia="en-US"/>
        </w:rPr>
        <w:t>Deklarata e Valletës për Sigurinë Rrugore</w:t>
      </w:r>
      <w:r w:rsidRPr="00795EA8">
        <w:rPr>
          <w:rFonts w:ascii="Garamond" w:hAnsi="Garamond"/>
          <w:sz w:val="24"/>
          <w:lang w:eastAsia="en-US"/>
        </w:rPr>
        <w:t>, Valletë, 2017.</w:t>
      </w:r>
    </w:p>
    <w:p w14:paraId="389763CB" w14:textId="39D6B7EF" w:rsidR="00B42B8F" w:rsidRPr="00795EA8" w:rsidRDefault="00795EA8" w:rsidP="00795EA8">
      <w:pPr>
        <w:spacing w:after="0"/>
        <w:ind w:firstLine="284"/>
        <w:rPr>
          <w:rFonts w:ascii="Garamond" w:hAnsi="Garamond"/>
          <w:sz w:val="24"/>
          <w:lang w:eastAsia="en-US"/>
        </w:rPr>
      </w:pPr>
      <w:r>
        <w:rPr>
          <w:rFonts w:ascii="Garamond" w:hAnsi="Garamond"/>
          <w:sz w:val="24"/>
          <w:lang w:eastAsia="en-US"/>
        </w:rPr>
        <w:t>[Web]:</w:t>
      </w:r>
      <w:hyperlink r:id="rId44" w:history="1">
        <w:r w:rsidRPr="00726CAA">
          <w:rPr>
            <w:rStyle w:val="Hyperlink"/>
            <w:rFonts w:ascii="Garamond" w:hAnsi="Garamond"/>
            <w:sz w:val="24"/>
            <w:lang w:eastAsia="en-US"/>
          </w:rPr>
          <w:t>https://eumos.eu/wpcontent/uploads/2017/07/Valletta_Declaration_on_Improving_Road_Safety.pdf</w:t>
        </w:r>
      </w:hyperlink>
      <w:r w:rsidR="00B42B8F" w:rsidRPr="00795EA8">
        <w:rPr>
          <w:rFonts w:ascii="Garamond" w:hAnsi="Garamond"/>
          <w:sz w:val="24"/>
          <w:lang w:eastAsia="en-US"/>
        </w:rPr>
        <w:t xml:space="preserve">, </w:t>
      </w:r>
    </w:p>
    <w:p w14:paraId="5301F8C3"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Organizata Botërore e Shëndetësisë (OBS</w:t>
      </w:r>
      <w:r w:rsidR="00FB0A7D" w:rsidRPr="00795EA8">
        <w:rPr>
          <w:rFonts w:ascii="Garamond" w:hAnsi="Garamond"/>
          <w:sz w:val="24"/>
          <w:lang w:eastAsia="en-US"/>
        </w:rPr>
        <w:t>H</w:t>
      </w:r>
      <w:r w:rsidRPr="00795EA8">
        <w:rPr>
          <w:rFonts w:ascii="Garamond" w:hAnsi="Garamond"/>
          <w:sz w:val="24"/>
          <w:lang w:eastAsia="en-US"/>
        </w:rPr>
        <w:t xml:space="preserve">), </w:t>
      </w:r>
      <w:r w:rsidRPr="00795EA8">
        <w:rPr>
          <w:rFonts w:ascii="Garamond" w:hAnsi="Garamond"/>
          <w:i/>
          <w:iCs/>
          <w:sz w:val="24"/>
          <w:lang w:eastAsia="en-US"/>
        </w:rPr>
        <w:t>Dekada e Veprimit për Sigurinë Rrugore 2011–2020</w:t>
      </w:r>
      <w:r w:rsidRPr="00795EA8">
        <w:rPr>
          <w:rFonts w:ascii="Garamond" w:hAnsi="Garamond"/>
          <w:sz w:val="24"/>
          <w:lang w:eastAsia="en-US"/>
        </w:rPr>
        <w:t>.</w:t>
      </w:r>
    </w:p>
    <w:p w14:paraId="22DC42F5" w14:textId="4986CA0C"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45" w:history="1">
        <w:r w:rsidRPr="00795EA8">
          <w:rPr>
            <w:rFonts w:ascii="Garamond" w:hAnsi="Garamond"/>
            <w:sz w:val="24"/>
            <w:u w:val="single"/>
            <w:lang w:eastAsia="en-US"/>
          </w:rPr>
          <w:t>https://www.who.int/publications/m/item/decade-of-action-for-road-safety-2011-2020---global-launch</w:t>
        </w:r>
      </w:hyperlink>
      <w:r w:rsidRPr="00795EA8">
        <w:rPr>
          <w:rFonts w:ascii="Garamond" w:hAnsi="Garamond"/>
          <w:sz w:val="24"/>
          <w:lang w:eastAsia="en-US"/>
        </w:rPr>
        <w:t xml:space="preserve">, </w:t>
      </w:r>
    </w:p>
    <w:p w14:paraId="75E3D361"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Organizata Botërore e Shëndetësisë (OBSh), </w:t>
      </w:r>
      <w:r w:rsidRPr="00795EA8">
        <w:rPr>
          <w:rFonts w:ascii="Garamond" w:hAnsi="Garamond"/>
          <w:i/>
          <w:iCs/>
          <w:sz w:val="24"/>
          <w:lang w:eastAsia="en-US"/>
        </w:rPr>
        <w:t>Plani Global për Dekadën e Veprimit për Sigurinë Rrugore 2011–2020.</w:t>
      </w:r>
    </w:p>
    <w:p w14:paraId="77016D2B" w14:textId="490F956A"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46" w:history="1">
        <w:r w:rsidRPr="00795EA8">
          <w:rPr>
            <w:rFonts w:ascii="Garamond" w:hAnsi="Garamond"/>
            <w:sz w:val="24"/>
            <w:u w:val="single"/>
            <w:lang w:eastAsia="en-US"/>
          </w:rPr>
          <w:t>https://cdn.who.int/media/docs/default-source/documents/un-road-safety-collaboration/global_plan_doa_2011-2020.pdf?sfvrsn=a34009ff_3&amp;download=true</w:t>
        </w:r>
      </w:hyperlink>
      <w:r w:rsidRPr="00795EA8">
        <w:rPr>
          <w:rFonts w:ascii="Garamond" w:hAnsi="Garamond"/>
          <w:sz w:val="24"/>
          <w:lang w:eastAsia="en-US"/>
        </w:rPr>
        <w:t xml:space="preserve">, </w:t>
      </w:r>
    </w:p>
    <w:p w14:paraId="7C2E7873" w14:textId="77777777" w:rsidR="00D51215"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Organizata Botërore e Shëndetësisë (OBSh), </w:t>
      </w:r>
      <w:r w:rsidRPr="00795EA8">
        <w:rPr>
          <w:rFonts w:ascii="Garamond" w:hAnsi="Garamond"/>
          <w:i/>
          <w:iCs/>
          <w:sz w:val="24"/>
          <w:lang w:eastAsia="en-US"/>
        </w:rPr>
        <w:t>Plani Global për Dekadën e Veprimit për Sigurinë Rrugore 2021–2030.</w:t>
      </w:r>
    </w:p>
    <w:p w14:paraId="3AD1A949" w14:textId="4F9AAEBD"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[Web]: </w:t>
      </w:r>
      <w:hyperlink r:id="rId47" w:history="1">
        <w:r w:rsidRPr="00795EA8">
          <w:rPr>
            <w:rFonts w:ascii="Garamond" w:hAnsi="Garamond"/>
            <w:sz w:val="24"/>
            <w:u w:val="single"/>
            <w:lang w:eastAsia="en-US"/>
          </w:rPr>
          <w:t>https://cdn.who.int/media/docs/default-source/documents/health-topics/road-traffic-injuries/global-plan-for-road-safety.pdf?sfvrsn=65cf34c8_33&amp;download=true</w:t>
        </w:r>
      </w:hyperlink>
      <w:r w:rsidRPr="00795EA8">
        <w:rPr>
          <w:rFonts w:ascii="Garamond" w:hAnsi="Garamond"/>
          <w:sz w:val="24"/>
          <w:lang w:eastAsia="en-US"/>
        </w:rPr>
        <w:t xml:space="preserve">, </w:t>
      </w:r>
      <w:bookmarkEnd w:id="3"/>
      <w:bookmarkEnd w:id="179"/>
      <w:bookmarkEnd w:id="180"/>
      <w:bookmarkEnd w:id="181"/>
    </w:p>
    <w:p w14:paraId="18581C08" w14:textId="6A325158"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Bliss T (2004), </w:t>
      </w:r>
      <w:r w:rsidRPr="00795EA8">
        <w:rPr>
          <w:rFonts w:ascii="Garamond" w:hAnsi="Garamond"/>
          <w:i/>
          <w:iCs/>
          <w:sz w:val="24"/>
          <w:lang w:eastAsia="en-US"/>
        </w:rPr>
        <w:t>Zbatimi i Rekomandimeve të Raportit Botëror për Parandalimin e Lëndimeve nga Trafiku Rrugor</w:t>
      </w:r>
      <w:r w:rsidRPr="00795EA8">
        <w:rPr>
          <w:rFonts w:ascii="Garamond" w:hAnsi="Garamond"/>
          <w:sz w:val="24"/>
          <w:lang w:eastAsia="en-US"/>
        </w:rPr>
        <w:t>, Shënim Transporti Nr. TN-1, Banka Botërore, Washington DC.</w:t>
      </w:r>
    </w:p>
    <w:p w14:paraId="07380F77" w14:textId="77777777"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[16]. DaCoTA (2012), </w:t>
      </w:r>
      <w:r w:rsidRPr="00795EA8">
        <w:rPr>
          <w:rFonts w:ascii="Garamond" w:hAnsi="Garamond"/>
          <w:i/>
          <w:iCs/>
          <w:sz w:val="24"/>
          <w:lang w:eastAsia="en-US"/>
        </w:rPr>
        <w:t>Menaxhimi i Sigurisë Rrugore</w:t>
      </w:r>
      <w:r w:rsidRPr="00795EA8">
        <w:rPr>
          <w:rFonts w:ascii="Garamond" w:hAnsi="Garamond"/>
          <w:sz w:val="24"/>
          <w:lang w:eastAsia="en-US"/>
        </w:rPr>
        <w:t>, Dorëzimi 4.8d i projektit të BE-së FP7 DaCoTA, Bruksel.</w:t>
      </w:r>
    </w:p>
    <w:p w14:paraId="061ABF49" w14:textId="77777777" w:rsid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Paneli ESRA [Web]: </w:t>
      </w:r>
    </w:p>
    <w:p w14:paraId="0CB5F052" w14:textId="36020230" w:rsidR="00B42B8F" w:rsidRPr="00795EA8" w:rsidRDefault="00A41523" w:rsidP="00795EA8">
      <w:pPr>
        <w:spacing w:after="0"/>
        <w:ind w:firstLine="284"/>
        <w:rPr>
          <w:rFonts w:ascii="Garamond" w:hAnsi="Garamond"/>
          <w:sz w:val="24"/>
          <w:lang w:eastAsia="en-US"/>
        </w:rPr>
      </w:pPr>
      <w:hyperlink r:id="rId48" w:history="1">
        <w:r w:rsidR="00B42B8F" w:rsidRPr="00795EA8">
          <w:rPr>
            <w:rFonts w:ascii="Garamond" w:hAnsi="Garamond"/>
            <w:sz w:val="24"/>
            <w:u w:val="single"/>
            <w:lang w:eastAsia="en-US"/>
          </w:rPr>
          <w:t>https://app.powerbi.com/view?r=eyJrIjoiYTI1MDg4NDgtM2VhYS00ZTA2LTg1NWEtMjEzMzIxNmUzOTk1IiwidCI6IjlkMWIxYjIyLWE5ZTAtNDg1Mi1hMTEwLWZlYzRmZDc1N2M2ZSIsImMiOjh9</w:t>
        </w:r>
      </w:hyperlink>
      <w:r w:rsidR="00B42B8F" w:rsidRPr="00795EA8">
        <w:rPr>
          <w:rFonts w:ascii="Garamond" w:hAnsi="Garamond"/>
          <w:sz w:val="24"/>
          <w:lang w:eastAsia="en-US"/>
        </w:rPr>
        <w:t xml:space="preserve"> </w:t>
      </w:r>
    </w:p>
    <w:p w14:paraId="3AD13415" w14:textId="3755AA2B"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Direktivë e BE-së 2008/96/EC e Parlamentit Evropian dhe e Këshillit e datës 19 nëntor 2008 mbi menaxhimin e sigurisë së infrastrukturës rrugore.</w:t>
      </w:r>
    </w:p>
    <w:p w14:paraId="06C7EF9C" w14:textId="0DDE14B8"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Global Road Safety Facility – GRSF (2009), </w:t>
      </w:r>
      <w:r w:rsidRPr="00795EA8">
        <w:rPr>
          <w:rFonts w:ascii="Garamond" w:hAnsi="Garamond"/>
          <w:i/>
          <w:iCs/>
          <w:sz w:val="24"/>
          <w:lang w:eastAsia="en-US"/>
        </w:rPr>
        <w:t>Zbatimi i Rekomandimeve të Raportit Botëror për Parandalimin e Lëndimeve nga Trafiku Rrugor. Udhëzime për vendet për zhvillimin e vlerësimeve të kapaciteteve të menaxhimit të sigurisë rrugore dhe përcaktimin e reformave të agjencive drejtuese, strategjive të investimit dhe projekteve sipas sistemit të sigurt</w:t>
      </w:r>
      <w:r w:rsidRPr="00795EA8">
        <w:rPr>
          <w:rFonts w:ascii="Garamond" w:hAnsi="Garamond"/>
          <w:sz w:val="24"/>
          <w:lang w:eastAsia="en-US"/>
        </w:rPr>
        <w:t>, nga Bliss T &amp; Breen J; Global Road Safety Facility i Bankës Botërore, Washington DC.</w:t>
      </w:r>
    </w:p>
    <w:p w14:paraId="3F3FEF51" w14:textId="4433FA3C"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lastRenderedPageBreak/>
        <w:t xml:space="preserve">Global Road Safety Facility – GRSF (2013), </w:t>
      </w:r>
      <w:r w:rsidRPr="00795EA8">
        <w:rPr>
          <w:rFonts w:ascii="Garamond" w:hAnsi="Garamond"/>
          <w:i/>
          <w:iCs/>
          <w:sz w:val="24"/>
          <w:lang w:eastAsia="en-US"/>
        </w:rPr>
        <w:t>Vlerësimet e kapaciteteve të menaxhimit të sigurisë rrugore dhe projektet sipas sistemit të sigurt</w:t>
      </w:r>
      <w:r w:rsidRPr="00795EA8">
        <w:rPr>
          <w:rFonts w:ascii="Garamond" w:hAnsi="Garamond"/>
          <w:sz w:val="24"/>
          <w:lang w:eastAsia="en-US"/>
        </w:rPr>
        <w:t>, nga Bliss T &amp; Breen J; Banka Botërore, Washington DC.</w:t>
      </w:r>
    </w:p>
    <w:p w14:paraId="12CCC062" w14:textId="006FE01A"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Turner, B., Job, S. dhe Mitra, S. (2021), </w:t>
      </w:r>
      <w:r w:rsidRPr="00795EA8">
        <w:rPr>
          <w:rFonts w:ascii="Garamond" w:hAnsi="Garamond"/>
          <w:i/>
          <w:iCs/>
          <w:sz w:val="24"/>
          <w:lang w:eastAsia="en-US"/>
        </w:rPr>
        <w:t>Udhëzues për Ndërhyrjet në Sigurinë Rrugore: Provat për atë që funksionon dhe çfarë nuk funksionon</w:t>
      </w:r>
      <w:r w:rsidRPr="00795EA8">
        <w:rPr>
          <w:rFonts w:ascii="Garamond" w:hAnsi="Garamond"/>
          <w:sz w:val="24"/>
          <w:lang w:eastAsia="en-US"/>
        </w:rPr>
        <w:t>, Washington DC, SHBA: Banka Botërore.</w:t>
      </w:r>
    </w:p>
    <w:p w14:paraId="53FD2DCB" w14:textId="2F0DDEB9"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Komuniteti i Transportit: </w:t>
      </w:r>
      <w:r w:rsidRPr="00795EA8">
        <w:rPr>
          <w:rFonts w:ascii="Garamond" w:hAnsi="Garamond"/>
          <w:i/>
          <w:iCs/>
          <w:sz w:val="24"/>
          <w:lang w:eastAsia="en-US"/>
        </w:rPr>
        <w:t>Plani i Veprimit për Sigurinë Rrugore për Ballkanin Perëndimor</w:t>
      </w:r>
      <w:r w:rsidRPr="00795EA8">
        <w:rPr>
          <w:rFonts w:ascii="Garamond" w:hAnsi="Garamond"/>
          <w:sz w:val="24"/>
          <w:lang w:eastAsia="en-US"/>
        </w:rPr>
        <w:t xml:space="preserve">, [Web]: Road-Safety-Action-Plan.pdf </w:t>
      </w:r>
    </w:p>
    <w:p w14:paraId="32D29572" w14:textId="77AB8406"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Bashkëpunimi për Sigurinë Rrugore i Kombeve të Bashkuara – UNRSC (2011), </w:t>
      </w:r>
      <w:r w:rsidRPr="00795EA8">
        <w:rPr>
          <w:rFonts w:ascii="Garamond" w:hAnsi="Garamond"/>
          <w:i/>
          <w:iCs/>
          <w:sz w:val="24"/>
          <w:lang w:eastAsia="en-US"/>
        </w:rPr>
        <w:t>Plani Global për Dekadën e Veprimit për Sigurinë Rrugore 2011–2020</w:t>
      </w:r>
      <w:r w:rsidRPr="00795EA8">
        <w:rPr>
          <w:rFonts w:ascii="Garamond" w:hAnsi="Garamond"/>
          <w:sz w:val="24"/>
          <w:lang w:eastAsia="en-US"/>
        </w:rPr>
        <w:t>, Organizata Botërore e Shëndetësisë, Gjenevë.</w:t>
      </w:r>
    </w:p>
    <w:p w14:paraId="53BC01F1" w14:textId="1B356A31" w:rsidR="00B42B8F" w:rsidRPr="00795EA8" w:rsidRDefault="00B42B8F" w:rsidP="00795EA8">
      <w:pPr>
        <w:spacing w:after="0"/>
        <w:ind w:firstLine="284"/>
        <w:rPr>
          <w:rFonts w:ascii="Garamond" w:hAnsi="Garamond"/>
          <w:sz w:val="24"/>
          <w:lang w:eastAsia="en-US"/>
        </w:rPr>
      </w:pPr>
      <w:r w:rsidRPr="00795EA8">
        <w:rPr>
          <w:rFonts w:ascii="Garamond" w:hAnsi="Garamond"/>
          <w:sz w:val="24"/>
          <w:lang w:eastAsia="en-US"/>
        </w:rPr>
        <w:t xml:space="preserve"> Organizata Botërore e Shëndetësisë – WHO (2021), </w:t>
      </w:r>
      <w:r w:rsidRPr="00795EA8">
        <w:rPr>
          <w:rFonts w:ascii="Garamond" w:hAnsi="Garamond"/>
          <w:i/>
          <w:iCs/>
          <w:sz w:val="24"/>
          <w:lang w:eastAsia="en-US"/>
        </w:rPr>
        <w:t>Plani Global për Dekadën e Veprimit për Sigurinë Rrugore 2021–2030</w:t>
      </w:r>
      <w:r w:rsidRPr="00795EA8">
        <w:rPr>
          <w:rFonts w:ascii="Garamond" w:hAnsi="Garamond"/>
          <w:sz w:val="24"/>
          <w:lang w:eastAsia="en-US"/>
        </w:rPr>
        <w:t xml:space="preserve">, Organizata Botërore e Shëndetësisë, Gjenevë. </w:t>
      </w:r>
      <w:r w:rsidRPr="00795EA8">
        <w:rPr>
          <w:rFonts w:ascii="Garamond" w:hAnsi="Garamond"/>
          <w:i/>
          <w:iCs/>
          <w:sz w:val="24"/>
          <w:lang w:eastAsia="en-US"/>
        </w:rPr>
        <w:t>Raporti për gjendjen e sigurisë rrugore 2013: mbështetje për dekadën e veprimit</w:t>
      </w:r>
      <w:r w:rsidRPr="00795EA8">
        <w:rPr>
          <w:rFonts w:ascii="Garamond" w:hAnsi="Garamond"/>
          <w:sz w:val="24"/>
          <w:lang w:eastAsia="en-US"/>
        </w:rPr>
        <w:t>, Organizata Botërore e Shëndetësisë, Gjenevë.</w:t>
      </w:r>
    </w:p>
    <w:p w14:paraId="58BA9642" w14:textId="701E6A05" w:rsidR="0061017E" w:rsidRPr="00B907A3" w:rsidRDefault="0061017E" w:rsidP="008C4E07">
      <w:pPr>
        <w:spacing w:after="0"/>
        <w:ind w:firstLine="284"/>
        <w:rPr>
          <w:rFonts w:ascii="Garamond" w:hAnsi="Garamond"/>
          <w:sz w:val="24"/>
        </w:rPr>
      </w:pPr>
    </w:p>
    <w:p w14:paraId="59D62AA4" w14:textId="63A1129B" w:rsidR="00962754" w:rsidRPr="00B907A3" w:rsidRDefault="005C1DD9" w:rsidP="008C4E07">
      <w:pPr>
        <w:spacing w:after="0"/>
        <w:ind w:firstLine="284"/>
        <w:rPr>
          <w:rFonts w:ascii="Garamond" w:hAnsi="Garamond"/>
          <w:sz w:val="24"/>
        </w:rPr>
      </w:pPr>
      <w:r w:rsidRPr="00B907A3">
        <w:rPr>
          <w:rFonts w:ascii="Garamond" w:hAnsi="Garamond"/>
          <w:sz w:val="24"/>
        </w:rPr>
        <w:t xml:space="preserve">PLANI </w:t>
      </w:r>
      <w:r>
        <w:rPr>
          <w:rFonts w:ascii="Garamond" w:hAnsi="Garamond"/>
          <w:sz w:val="24"/>
        </w:rPr>
        <w:t xml:space="preserve">I </w:t>
      </w:r>
      <w:r w:rsidRPr="00B907A3">
        <w:rPr>
          <w:rFonts w:ascii="Garamond" w:hAnsi="Garamond"/>
          <w:sz w:val="24"/>
        </w:rPr>
        <w:t>VEPRIMIT PËR SIGURINË RRUGORE 2027</w:t>
      </w:r>
      <w:r>
        <w:rPr>
          <w:rFonts w:ascii="Garamond" w:hAnsi="Garamond"/>
          <w:sz w:val="24"/>
        </w:rPr>
        <w:t>–</w:t>
      </w:r>
      <w:r w:rsidRPr="00B907A3">
        <w:rPr>
          <w:rFonts w:ascii="Garamond" w:hAnsi="Garamond"/>
          <w:sz w:val="24"/>
        </w:rPr>
        <w:t>2030</w:t>
      </w:r>
    </w:p>
    <w:p w14:paraId="2C362967" w14:textId="6CA54B38" w:rsidR="00962754" w:rsidRPr="00B907A3" w:rsidRDefault="00962754" w:rsidP="008C4E07">
      <w:pPr>
        <w:spacing w:after="0"/>
        <w:ind w:firstLine="284"/>
        <w:rPr>
          <w:rFonts w:ascii="Garamond" w:hAnsi="Garamond"/>
          <w:sz w:val="24"/>
        </w:rPr>
      </w:pPr>
      <w:r w:rsidRPr="00B907A3">
        <w:rPr>
          <w:rFonts w:ascii="Garamond" w:hAnsi="Garamond"/>
          <w:sz w:val="24"/>
        </w:rPr>
        <w:t>Shkurtesat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7"/>
        <w:gridCol w:w="6861"/>
      </w:tblGrid>
      <w:tr w:rsidR="00962754" w:rsidRPr="00B907A3" w14:paraId="68196AED" w14:textId="77777777" w:rsidTr="00962754">
        <w:trPr>
          <w:trHeight w:val="20"/>
        </w:trPr>
        <w:tc>
          <w:tcPr>
            <w:tcW w:w="1437" w:type="pct"/>
            <w:shd w:val="clear" w:color="auto" w:fill="auto"/>
            <w:vAlign w:val="center"/>
            <w:hideMark/>
          </w:tcPr>
          <w:p w14:paraId="3F4A5CD7"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AKSHI</w:t>
            </w:r>
          </w:p>
        </w:tc>
        <w:tc>
          <w:tcPr>
            <w:tcW w:w="3563" w:type="pct"/>
            <w:shd w:val="clear" w:color="auto" w:fill="auto"/>
            <w:vAlign w:val="center"/>
            <w:hideMark/>
          </w:tcPr>
          <w:p w14:paraId="22D88956"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Agjencia Kombëtare e Shoqërisë së Informacionit</w:t>
            </w:r>
          </w:p>
        </w:tc>
      </w:tr>
      <w:tr w:rsidR="00962754" w:rsidRPr="00B907A3" w14:paraId="047F5F5C" w14:textId="77777777" w:rsidTr="00962754">
        <w:trPr>
          <w:trHeight w:val="20"/>
        </w:trPr>
        <w:tc>
          <w:tcPr>
            <w:tcW w:w="1437" w:type="pct"/>
            <w:shd w:val="clear" w:color="auto" w:fill="auto"/>
            <w:vAlign w:val="center"/>
            <w:hideMark/>
          </w:tcPr>
          <w:p w14:paraId="3227F943"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ARRSH</w:t>
            </w:r>
          </w:p>
        </w:tc>
        <w:tc>
          <w:tcPr>
            <w:tcW w:w="3563" w:type="pct"/>
            <w:shd w:val="clear" w:color="auto" w:fill="auto"/>
            <w:vAlign w:val="center"/>
            <w:hideMark/>
          </w:tcPr>
          <w:p w14:paraId="42926026"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Autoriteti Rrugor Shqiptar</w:t>
            </w:r>
          </w:p>
        </w:tc>
      </w:tr>
      <w:tr w:rsidR="00962754" w:rsidRPr="00B907A3" w14:paraId="50DEDC92" w14:textId="77777777" w:rsidTr="00962754">
        <w:trPr>
          <w:trHeight w:val="20"/>
        </w:trPr>
        <w:tc>
          <w:tcPr>
            <w:tcW w:w="1437" w:type="pct"/>
            <w:shd w:val="clear" w:color="auto" w:fill="auto"/>
            <w:vAlign w:val="center"/>
            <w:hideMark/>
          </w:tcPr>
          <w:p w14:paraId="2579FFD3"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ASCAP</w:t>
            </w:r>
          </w:p>
        </w:tc>
        <w:tc>
          <w:tcPr>
            <w:tcW w:w="3563" w:type="pct"/>
            <w:shd w:val="clear" w:color="auto" w:fill="auto"/>
            <w:vAlign w:val="center"/>
            <w:hideMark/>
          </w:tcPr>
          <w:p w14:paraId="54580C5B"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Agjencia për Sigurimin e Cilësisë në Arsimin Parauniversitar</w:t>
            </w:r>
          </w:p>
        </w:tc>
      </w:tr>
      <w:tr w:rsidR="00962754" w:rsidRPr="00B907A3" w14:paraId="33288207" w14:textId="77777777" w:rsidTr="00962754">
        <w:trPr>
          <w:trHeight w:val="20"/>
        </w:trPr>
        <w:tc>
          <w:tcPr>
            <w:tcW w:w="1437" w:type="pct"/>
            <w:shd w:val="clear" w:color="auto" w:fill="auto"/>
            <w:vAlign w:val="center"/>
            <w:hideMark/>
          </w:tcPr>
          <w:p w14:paraId="10C09AE5"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PSH</w:t>
            </w:r>
          </w:p>
        </w:tc>
        <w:tc>
          <w:tcPr>
            <w:tcW w:w="3563" w:type="pct"/>
            <w:shd w:val="clear" w:color="auto" w:fill="auto"/>
            <w:vAlign w:val="center"/>
            <w:hideMark/>
          </w:tcPr>
          <w:p w14:paraId="4802EC1A"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Policia e Shtetit</w:t>
            </w:r>
          </w:p>
        </w:tc>
      </w:tr>
      <w:tr w:rsidR="00962754" w:rsidRPr="00B907A3" w14:paraId="2847DE47" w14:textId="77777777" w:rsidTr="00962754">
        <w:trPr>
          <w:trHeight w:val="20"/>
        </w:trPr>
        <w:tc>
          <w:tcPr>
            <w:tcW w:w="1437" w:type="pct"/>
            <w:shd w:val="clear" w:color="auto" w:fill="auto"/>
            <w:vAlign w:val="center"/>
            <w:hideMark/>
          </w:tcPr>
          <w:p w14:paraId="3411258E"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KM</w:t>
            </w:r>
          </w:p>
        </w:tc>
        <w:tc>
          <w:tcPr>
            <w:tcW w:w="3563" w:type="pct"/>
            <w:shd w:val="clear" w:color="auto" w:fill="auto"/>
            <w:vAlign w:val="center"/>
            <w:hideMark/>
          </w:tcPr>
          <w:p w14:paraId="10DA785A"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Këshilli i Ministrave</w:t>
            </w:r>
          </w:p>
        </w:tc>
      </w:tr>
      <w:tr w:rsidR="00962754" w:rsidRPr="00B907A3" w14:paraId="0D2AF047" w14:textId="77777777" w:rsidTr="00962754">
        <w:trPr>
          <w:trHeight w:val="20"/>
        </w:trPr>
        <w:tc>
          <w:tcPr>
            <w:tcW w:w="1437" w:type="pct"/>
            <w:shd w:val="clear" w:color="auto" w:fill="auto"/>
            <w:vAlign w:val="center"/>
            <w:hideMark/>
          </w:tcPr>
          <w:p w14:paraId="68270B81"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SHUM</w:t>
            </w:r>
          </w:p>
        </w:tc>
        <w:tc>
          <w:tcPr>
            <w:tcW w:w="3563" w:type="pct"/>
            <w:shd w:val="clear" w:color="auto" w:fill="auto"/>
            <w:vAlign w:val="center"/>
            <w:hideMark/>
          </w:tcPr>
          <w:p w14:paraId="3CF1392B"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Shërbimi i Urgjencës Mjekësore</w:t>
            </w:r>
          </w:p>
        </w:tc>
      </w:tr>
      <w:tr w:rsidR="00962754" w:rsidRPr="00B907A3" w14:paraId="513EC21B" w14:textId="77777777" w:rsidTr="00962754">
        <w:trPr>
          <w:trHeight w:val="20"/>
        </w:trPr>
        <w:tc>
          <w:tcPr>
            <w:tcW w:w="1437" w:type="pct"/>
            <w:shd w:val="clear" w:color="auto" w:fill="auto"/>
            <w:vAlign w:val="center"/>
            <w:hideMark/>
          </w:tcPr>
          <w:p w14:paraId="43509C79"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BE</w:t>
            </w:r>
          </w:p>
        </w:tc>
        <w:tc>
          <w:tcPr>
            <w:tcW w:w="3563" w:type="pct"/>
            <w:shd w:val="clear" w:color="auto" w:fill="auto"/>
            <w:vAlign w:val="center"/>
            <w:hideMark/>
          </w:tcPr>
          <w:p w14:paraId="068FAF25"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Bashkimi Evropian</w:t>
            </w:r>
          </w:p>
        </w:tc>
      </w:tr>
      <w:tr w:rsidR="00962754" w:rsidRPr="00B907A3" w14:paraId="5131D28E" w14:textId="77777777" w:rsidTr="00962754">
        <w:trPr>
          <w:trHeight w:val="20"/>
        </w:trPr>
        <w:tc>
          <w:tcPr>
            <w:tcW w:w="1437" w:type="pct"/>
            <w:shd w:val="clear" w:color="auto" w:fill="auto"/>
            <w:vAlign w:val="center"/>
            <w:hideMark/>
          </w:tcPr>
          <w:p w14:paraId="6FA97154"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Euro NCAP</w:t>
            </w:r>
          </w:p>
        </w:tc>
        <w:tc>
          <w:tcPr>
            <w:tcW w:w="3563" w:type="pct"/>
            <w:shd w:val="clear" w:color="auto" w:fill="auto"/>
            <w:vAlign w:val="center"/>
            <w:hideMark/>
          </w:tcPr>
          <w:p w14:paraId="526D9674"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Programi Evropian për Vlerësimin e Sigurisë së Automjeteve të Reja</w:t>
            </w:r>
          </w:p>
        </w:tc>
      </w:tr>
      <w:tr w:rsidR="00962754" w:rsidRPr="00B907A3" w14:paraId="0D19B817" w14:textId="77777777" w:rsidTr="00962754">
        <w:trPr>
          <w:trHeight w:val="20"/>
        </w:trPr>
        <w:tc>
          <w:tcPr>
            <w:tcW w:w="1437" w:type="pct"/>
            <w:shd w:val="clear" w:color="auto" w:fill="auto"/>
            <w:vAlign w:val="center"/>
            <w:hideMark/>
          </w:tcPr>
          <w:p w14:paraId="7F67796F"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DPSHTRR</w:t>
            </w:r>
          </w:p>
        </w:tc>
        <w:tc>
          <w:tcPr>
            <w:tcW w:w="3563" w:type="pct"/>
            <w:shd w:val="clear" w:color="auto" w:fill="auto"/>
            <w:vAlign w:val="center"/>
            <w:hideMark/>
          </w:tcPr>
          <w:p w14:paraId="3FAA8E16"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Drejtoria e Përgjithshme për Shërbimet e Transportit Rrugor</w:t>
            </w:r>
          </w:p>
        </w:tc>
      </w:tr>
      <w:tr w:rsidR="00962754" w:rsidRPr="00B907A3" w14:paraId="5A13A49F" w14:textId="77777777" w:rsidTr="00962754">
        <w:trPr>
          <w:trHeight w:val="20"/>
        </w:trPr>
        <w:tc>
          <w:tcPr>
            <w:tcW w:w="1437" w:type="pct"/>
            <w:shd w:val="clear" w:color="auto" w:fill="auto"/>
            <w:vAlign w:val="center"/>
            <w:hideMark/>
          </w:tcPr>
          <w:p w14:paraId="2EB7F285"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AMVV</w:t>
            </w:r>
          </w:p>
        </w:tc>
        <w:tc>
          <w:tcPr>
            <w:tcW w:w="3563" w:type="pct"/>
            <w:shd w:val="clear" w:color="auto" w:fill="auto"/>
            <w:vAlign w:val="center"/>
            <w:hideMark/>
          </w:tcPr>
          <w:p w14:paraId="61DF9994" w14:textId="06C14201"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Agjencia për Mbështetjen e </w:t>
            </w:r>
            <w:r w:rsidR="005C1DD9" w:rsidRPr="00B907A3">
              <w:rPr>
                <w:rFonts w:ascii="Garamond" w:hAnsi="Garamond" w:cs="Arial"/>
                <w:color w:val="000000"/>
                <w:sz w:val="24"/>
                <w:lang w:eastAsia="en-US"/>
              </w:rPr>
              <w:t>Vetëqeverisjes</w:t>
            </w:r>
            <w:r w:rsidRPr="00B907A3">
              <w:rPr>
                <w:rFonts w:ascii="Garamond" w:hAnsi="Garamond" w:cs="Arial"/>
                <w:color w:val="000000"/>
                <w:sz w:val="24"/>
                <w:lang w:eastAsia="en-US"/>
              </w:rPr>
              <w:t xml:space="preserve"> Vendore </w:t>
            </w:r>
          </w:p>
        </w:tc>
      </w:tr>
      <w:tr w:rsidR="00962754" w:rsidRPr="00B907A3" w14:paraId="238EE853" w14:textId="77777777" w:rsidTr="00962754">
        <w:trPr>
          <w:trHeight w:val="20"/>
        </w:trPr>
        <w:tc>
          <w:tcPr>
            <w:tcW w:w="1437" w:type="pct"/>
            <w:shd w:val="clear" w:color="auto" w:fill="auto"/>
            <w:vAlign w:val="center"/>
            <w:hideMark/>
          </w:tcPr>
          <w:p w14:paraId="3E9F4A25"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BB</w:t>
            </w:r>
          </w:p>
        </w:tc>
        <w:tc>
          <w:tcPr>
            <w:tcW w:w="3563" w:type="pct"/>
            <w:shd w:val="clear" w:color="auto" w:fill="auto"/>
            <w:vAlign w:val="center"/>
            <w:hideMark/>
          </w:tcPr>
          <w:p w14:paraId="7FEC33DF"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Banka Botërore</w:t>
            </w:r>
          </w:p>
        </w:tc>
      </w:tr>
      <w:tr w:rsidR="00962754" w:rsidRPr="00B907A3" w14:paraId="2774FDCD" w14:textId="77777777" w:rsidTr="00962754">
        <w:trPr>
          <w:trHeight w:val="20"/>
        </w:trPr>
        <w:tc>
          <w:tcPr>
            <w:tcW w:w="1437" w:type="pct"/>
            <w:shd w:val="clear" w:color="auto" w:fill="auto"/>
            <w:vAlign w:val="center"/>
            <w:hideMark/>
          </w:tcPr>
          <w:p w14:paraId="3C738ACC"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GPNI</w:t>
            </w:r>
          </w:p>
        </w:tc>
        <w:tc>
          <w:tcPr>
            <w:tcW w:w="3563" w:type="pct"/>
            <w:shd w:val="clear" w:color="auto" w:fill="auto"/>
            <w:vAlign w:val="center"/>
            <w:hideMark/>
          </w:tcPr>
          <w:p w14:paraId="37A09B5D"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Grupi Punës Ndërinstitucional</w:t>
            </w:r>
          </w:p>
        </w:tc>
      </w:tr>
      <w:tr w:rsidR="00962754" w:rsidRPr="00B907A3" w14:paraId="45DB8E22" w14:textId="77777777" w:rsidTr="00962754">
        <w:trPr>
          <w:trHeight w:val="20"/>
        </w:trPr>
        <w:tc>
          <w:tcPr>
            <w:tcW w:w="1437" w:type="pct"/>
            <w:shd w:val="clear" w:color="auto" w:fill="auto"/>
            <w:vAlign w:val="center"/>
            <w:hideMark/>
          </w:tcPr>
          <w:p w14:paraId="4E397218"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IT</w:t>
            </w:r>
          </w:p>
        </w:tc>
        <w:tc>
          <w:tcPr>
            <w:tcW w:w="3563" w:type="pct"/>
            <w:shd w:val="clear" w:color="auto" w:fill="auto"/>
            <w:vAlign w:val="center"/>
            <w:hideMark/>
          </w:tcPr>
          <w:p w14:paraId="0CDAEDA5"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Instituti i Transportit</w:t>
            </w:r>
          </w:p>
        </w:tc>
      </w:tr>
      <w:tr w:rsidR="00962754" w:rsidRPr="00B907A3" w14:paraId="565FB893" w14:textId="77777777" w:rsidTr="00962754">
        <w:trPr>
          <w:trHeight w:val="20"/>
        </w:trPr>
        <w:tc>
          <w:tcPr>
            <w:tcW w:w="1437" w:type="pct"/>
            <w:shd w:val="clear" w:color="auto" w:fill="auto"/>
            <w:vAlign w:val="center"/>
            <w:hideMark/>
          </w:tcPr>
          <w:p w14:paraId="12E89B3A"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PNVRR</w:t>
            </w:r>
          </w:p>
        </w:tc>
        <w:tc>
          <w:tcPr>
            <w:tcW w:w="3563" w:type="pct"/>
            <w:shd w:val="clear" w:color="auto" w:fill="auto"/>
            <w:vAlign w:val="center"/>
            <w:hideMark/>
          </w:tcPr>
          <w:p w14:paraId="0097B0A1"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Programi Ndërkombëtar i Vlerësimit të Rrugëve</w:t>
            </w:r>
          </w:p>
        </w:tc>
      </w:tr>
      <w:tr w:rsidR="00962754" w:rsidRPr="00B907A3" w14:paraId="7C2234D0" w14:textId="77777777" w:rsidTr="00962754">
        <w:trPr>
          <w:trHeight w:val="20"/>
        </w:trPr>
        <w:tc>
          <w:tcPr>
            <w:tcW w:w="1437" w:type="pct"/>
            <w:shd w:val="clear" w:color="auto" w:fill="auto"/>
            <w:vAlign w:val="center"/>
            <w:hideMark/>
          </w:tcPr>
          <w:p w14:paraId="3138C010"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SIT</w:t>
            </w:r>
          </w:p>
        </w:tc>
        <w:tc>
          <w:tcPr>
            <w:tcW w:w="3563" w:type="pct"/>
            <w:shd w:val="clear" w:color="auto" w:fill="auto"/>
            <w:vAlign w:val="center"/>
            <w:hideMark/>
          </w:tcPr>
          <w:p w14:paraId="692CF0E3"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Sisteme Inteligjente të Transportit</w:t>
            </w:r>
          </w:p>
        </w:tc>
      </w:tr>
      <w:tr w:rsidR="00962754" w:rsidRPr="00B907A3" w14:paraId="6F877B58" w14:textId="77777777" w:rsidTr="00962754">
        <w:trPr>
          <w:trHeight w:val="20"/>
        </w:trPr>
        <w:tc>
          <w:tcPr>
            <w:tcW w:w="1437" w:type="pct"/>
            <w:shd w:val="clear" w:color="auto" w:fill="auto"/>
            <w:vAlign w:val="center"/>
            <w:hideMark/>
          </w:tcPr>
          <w:p w14:paraId="47511589"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KM</w:t>
            </w:r>
          </w:p>
        </w:tc>
        <w:tc>
          <w:tcPr>
            <w:tcW w:w="3563" w:type="pct"/>
            <w:shd w:val="clear" w:color="auto" w:fill="auto"/>
            <w:vAlign w:val="center"/>
            <w:hideMark/>
          </w:tcPr>
          <w:p w14:paraId="0CB3F9EC" w14:textId="0FF7D71E" w:rsidR="00962754" w:rsidRPr="00B907A3" w:rsidRDefault="00962754" w:rsidP="005C1DD9">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Këshilli </w:t>
            </w:r>
            <w:r w:rsidR="005C1DD9">
              <w:rPr>
                <w:rFonts w:ascii="Garamond" w:hAnsi="Garamond" w:cs="Arial"/>
                <w:color w:val="000000"/>
                <w:sz w:val="24"/>
                <w:lang w:eastAsia="en-US"/>
              </w:rPr>
              <w:t>i</w:t>
            </w:r>
            <w:r w:rsidRPr="00B907A3">
              <w:rPr>
                <w:rFonts w:ascii="Garamond" w:hAnsi="Garamond" w:cs="Arial"/>
                <w:color w:val="000000"/>
                <w:sz w:val="24"/>
                <w:lang w:eastAsia="en-US"/>
              </w:rPr>
              <w:t xml:space="preserve"> Ministrave</w:t>
            </w:r>
          </w:p>
        </w:tc>
      </w:tr>
      <w:tr w:rsidR="00962754" w:rsidRPr="00B907A3" w14:paraId="2CF87D20" w14:textId="77777777" w:rsidTr="00962754">
        <w:trPr>
          <w:trHeight w:val="20"/>
        </w:trPr>
        <w:tc>
          <w:tcPr>
            <w:tcW w:w="1437" w:type="pct"/>
            <w:shd w:val="clear" w:color="auto" w:fill="auto"/>
            <w:vAlign w:val="center"/>
            <w:hideMark/>
          </w:tcPr>
          <w:p w14:paraId="3B93CA0B" w14:textId="14A310B7" w:rsidR="00962754" w:rsidRPr="00B907A3" w:rsidRDefault="00962754" w:rsidP="00795EA8">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 xml:space="preserve">Aktorët </w:t>
            </w:r>
            <w:r w:rsidR="00795EA8">
              <w:rPr>
                <w:rFonts w:ascii="Garamond" w:hAnsi="Garamond" w:cs="Arial"/>
                <w:b/>
                <w:bCs/>
                <w:color w:val="000000"/>
                <w:sz w:val="24"/>
                <w:lang w:eastAsia="en-US"/>
              </w:rPr>
              <w:t>k</w:t>
            </w:r>
            <w:r w:rsidRPr="00B907A3">
              <w:rPr>
                <w:rFonts w:ascii="Garamond" w:hAnsi="Garamond" w:cs="Arial"/>
                <w:b/>
                <w:bCs/>
                <w:color w:val="000000"/>
                <w:sz w:val="24"/>
                <w:lang w:eastAsia="en-US"/>
              </w:rPr>
              <w:t>ryesorë të Sigurisë Rrugore</w:t>
            </w:r>
          </w:p>
        </w:tc>
        <w:tc>
          <w:tcPr>
            <w:tcW w:w="3563" w:type="pct"/>
            <w:shd w:val="clear" w:color="auto" w:fill="auto"/>
            <w:vAlign w:val="center"/>
            <w:hideMark/>
          </w:tcPr>
          <w:p w14:paraId="2FBAD134"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MIE, MPB/PRr, MSHMS, MA, DPSHTRR, IT, ARRSH, etj.</w:t>
            </w:r>
          </w:p>
        </w:tc>
      </w:tr>
      <w:tr w:rsidR="00962754" w:rsidRPr="00B907A3" w14:paraId="3F09047E" w14:textId="77777777" w:rsidTr="00962754">
        <w:trPr>
          <w:trHeight w:val="20"/>
        </w:trPr>
        <w:tc>
          <w:tcPr>
            <w:tcW w:w="1437" w:type="pct"/>
            <w:shd w:val="clear" w:color="auto" w:fill="auto"/>
            <w:vAlign w:val="center"/>
            <w:hideMark/>
          </w:tcPr>
          <w:p w14:paraId="53E5082B"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TKP</w:t>
            </w:r>
          </w:p>
        </w:tc>
        <w:tc>
          <w:tcPr>
            <w:tcW w:w="3563" w:type="pct"/>
            <w:shd w:val="clear" w:color="auto" w:fill="auto"/>
            <w:vAlign w:val="center"/>
            <w:hideMark/>
          </w:tcPr>
          <w:p w14:paraId="147747C5"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Tregues Kryesor i Performancës</w:t>
            </w:r>
          </w:p>
        </w:tc>
      </w:tr>
      <w:tr w:rsidR="00962754" w:rsidRPr="00B907A3" w14:paraId="095DC909" w14:textId="77777777" w:rsidTr="00962754">
        <w:trPr>
          <w:trHeight w:val="20"/>
        </w:trPr>
        <w:tc>
          <w:tcPr>
            <w:tcW w:w="1437" w:type="pct"/>
            <w:shd w:val="clear" w:color="auto" w:fill="auto"/>
            <w:vAlign w:val="center"/>
            <w:hideMark/>
          </w:tcPr>
          <w:p w14:paraId="57FE2AE4"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SHMSHL</w:t>
            </w:r>
          </w:p>
        </w:tc>
        <w:tc>
          <w:tcPr>
            <w:tcW w:w="3563" w:type="pct"/>
            <w:shd w:val="clear" w:color="auto" w:fill="auto"/>
            <w:vAlign w:val="center"/>
            <w:hideMark/>
          </w:tcPr>
          <w:p w14:paraId="4CC053DB"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Shkalla Maksimale e Përmbledhur e Dëmtimeve me një vlerësim prej 3 ose më shumë</w:t>
            </w:r>
          </w:p>
        </w:tc>
      </w:tr>
      <w:tr w:rsidR="00962754" w:rsidRPr="00B907A3" w14:paraId="6730DE3F" w14:textId="77777777" w:rsidTr="00962754">
        <w:trPr>
          <w:trHeight w:val="20"/>
        </w:trPr>
        <w:tc>
          <w:tcPr>
            <w:tcW w:w="1437" w:type="pct"/>
            <w:shd w:val="clear" w:color="auto" w:fill="auto"/>
            <w:vAlign w:val="center"/>
            <w:hideMark/>
          </w:tcPr>
          <w:p w14:paraId="6DF614E4"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MM</w:t>
            </w:r>
          </w:p>
        </w:tc>
        <w:tc>
          <w:tcPr>
            <w:tcW w:w="3563" w:type="pct"/>
            <w:shd w:val="clear" w:color="auto" w:fill="auto"/>
            <w:vAlign w:val="center"/>
            <w:hideMark/>
          </w:tcPr>
          <w:p w14:paraId="148C58A1"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Ministria e Mbrojtjes</w:t>
            </w:r>
          </w:p>
        </w:tc>
      </w:tr>
      <w:tr w:rsidR="00962754" w:rsidRPr="00B907A3" w14:paraId="4ECBA0E6" w14:textId="77777777" w:rsidTr="00962754">
        <w:trPr>
          <w:trHeight w:val="20"/>
        </w:trPr>
        <w:tc>
          <w:tcPr>
            <w:tcW w:w="1437" w:type="pct"/>
            <w:shd w:val="clear" w:color="auto" w:fill="auto"/>
            <w:vAlign w:val="center"/>
            <w:hideMark/>
          </w:tcPr>
          <w:p w14:paraId="58CAF4D8"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MF</w:t>
            </w:r>
          </w:p>
        </w:tc>
        <w:tc>
          <w:tcPr>
            <w:tcW w:w="3563" w:type="pct"/>
            <w:shd w:val="clear" w:color="auto" w:fill="auto"/>
            <w:vAlign w:val="center"/>
            <w:hideMark/>
          </w:tcPr>
          <w:p w14:paraId="7D1FFA20"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Ministria e Financave</w:t>
            </w:r>
          </w:p>
        </w:tc>
      </w:tr>
      <w:tr w:rsidR="00962754" w:rsidRPr="00B907A3" w14:paraId="0069C935" w14:textId="77777777" w:rsidTr="00962754">
        <w:trPr>
          <w:trHeight w:val="20"/>
        </w:trPr>
        <w:tc>
          <w:tcPr>
            <w:tcW w:w="1437" w:type="pct"/>
            <w:shd w:val="clear" w:color="auto" w:fill="auto"/>
            <w:vAlign w:val="center"/>
            <w:hideMark/>
          </w:tcPr>
          <w:p w14:paraId="74E87A62"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MSHMS</w:t>
            </w:r>
          </w:p>
        </w:tc>
        <w:tc>
          <w:tcPr>
            <w:tcW w:w="3563" w:type="pct"/>
            <w:shd w:val="clear" w:color="auto" w:fill="auto"/>
            <w:vAlign w:val="center"/>
            <w:hideMark/>
          </w:tcPr>
          <w:p w14:paraId="15ABF1D9" w14:textId="6B8BFCDD"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Ministria e Shëndetësisë dhe </w:t>
            </w:r>
            <w:r w:rsidR="005C1DD9" w:rsidRPr="00B907A3">
              <w:rPr>
                <w:rFonts w:ascii="Garamond" w:hAnsi="Garamond" w:cs="Arial"/>
                <w:color w:val="000000"/>
                <w:sz w:val="24"/>
                <w:lang w:eastAsia="en-US"/>
              </w:rPr>
              <w:t>Mirëqenies</w:t>
            </w:r>
            <w:r w:rsidRPr="00B907A3">
              <w:rPr>
                <w:rFonts w:ascii="Garamond" w:hAnsi="Garamond" w:cs="Arial"/>
                <w:color w:val="000000"/>
                <w:sz w:val="24"/>
                <w:lang w:eastAsia="en-US"/>
              </w:rPr>
              <w:t xml:space="preserve"> Sociale</w:t>
            </w:r>
          </w:p>
        </w:tc>
      </w:tr>
      <w:tr w:rsidR="00962754" w:rsidRPr="00B907A3" w14:paraId="7A012725" w14:textId="77777777" w:rsidTr="00962754">
        <w:trPr>
          <w:trHeight w:val="20"/>
        </w:trPr>
        <w:tc>
          <w:tcPr>
            <w:tcW w:w="1437" w:type="pct"/>
            <w:shd w:val="clear" w:color="auto" w:fill="auto"/>
            <w:vAlign w:val="center"/>
            <w:hideMark/>
          </w:tcPr>
          <w:p w14:paraId="7558B2A5"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MPB</w:t>
            </w:r>
          </w:p>
        </w:tc>
        <w:tc>
          <w:tcPr>
            <w:tcW w:w="3563" w:type="pct"/>
            <w:shd w:val="clear" w:color="auto" w:fill="auto"/>
            <w:vAlign w:val="center"/>
            <w:hideMark/>
          </w:tcPr>
          <w:p w14:paraId="66CA4D37"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Ministria e Punëve të Brendshme</w:t>
            </w:r>
          </w:p>
        </w:tc>
      </w:tr>
      <w:tr w:rsidR="00962754" w:rsidRPr="00B907A3" w14:paraId="1941FC21" w14:textId="77777777" w:rsidTr="00962754">
        <w:trPr>
          <w:trHeight w:val="20"/>
        </w:trPr>
        <w:tc>
          <w:tcPr>
            <w:tcW w:w="1437" w:type="pct"/>
            <w:shd w:val="clear" w:color="auto" w:fill="auto"/>
            <w:vAlign w:val="center"/>
            <w:hideMark/>
          </w:tcPr>
          <w:p w14:paraId="1947B36D"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MIE</w:t>
            </w:r>
          </w:p>
        </w:tc>
        <w:tc>
          <w:tcPr>
            <w:tcW w:w="3563" w:type="pct"/>
            <w:shd w:val="clear" w:color="auto" w:fill="auto"/>
            <w:vAlign w:val="center"/>
            <w:hideMark/>
          </w:tcPr>
          <w:p w14:paraId="6EBB0F2C"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Ministria e Infrastrukturës dhe Energjisë</w:t>
            </w:r>
          </w:p>
        </w:tc>
      </w:tr>
      <w:tr w:rsidR="00962754" w:rsidRPr="00B907A3" w14:paraId="2B66CE91" w14:textId="77777777" w:rsidTr="00962754">
        <w:trPr>
          <w:trHeight w:val="20"/>
        </w:trPr>
        <w:tc>
          <w:tcPr>
            <w:tcW w:w="1437" w:type="pct"/>
            <w:shd w:val="clear" w:color="auto" w:fill="auto"/>
            <w:vAlign w:val="center"/>
            <w:hideMark/>
          </w:tcPr>
          <w:p w14:paraId="13723C42"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MSHPV</w:t>
            </w:r>
          </w:p>
        </w:tc>
        <w:tc>
          <w:tcPr>
            <w:tcW w:w="3563" w:type="pct"/>
            <w:shd w:val="clear" w:color="auto" w:fill="auto"/>
            <w:vAlign w:val="center"/>
            <w:hideMark/>
          </w:tcPr>
          <w:p w14:paraId="207E6148"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Ministri Shtetit për Pushtetin Vendor</w:t>
            </w:r>
          </w:p>
        </w:tc>
      </w:tr>
      <w:tr w:rsidR="00962754" w:rsidRPr="00B907A3" w14:paraId="49CEC6B3" w14:textId="77777777" w:rsidTr="00962754">
        <w:trPr>
          <w:trHeight w:val="20"/>
        </w:trPr>
        <w:tc>
          <w:tcPr>
            <w:tcW w:w="1437" w:type="pct"/>
            <w:shd w:val="clear" w:color="auto" w:fill="auto"/>
            <w:vAlign w:val="center"/>
            <w:hideMark/>
          </w:tcPr>
          <w:p w14:paraId="220F4820"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 xml:space="preserve">MA </w:t>
            </w:r>
          </w:p>
        </w:tc>
        <w:tc>
          <w:tcPr>
            <w:tcW w:w="3563" w:type="pct"/>
            <w:shd w:val="clear" w:color="auto" w:fill="auto"/>
            <w:vAlign w:val="center"/>
            <w:hideMark/>
          </w:tcPr>
          <w:p w14:paraId="3F4EB6FC"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Ministria e Arsimit </w:t>
            </w:r>
          </w:p>
        </w:tc>
      </w:tr>
      <w:tr w:rsidR="00962754" w:rsidRPr="00B907A3" w14:paraId="52388B27" w14:textId="77777777" w:rsidTr="00962754">
        <w:trPr>
          <w:trHeight w:val="20"/>
        </w:trPr>
        <w:tc>
          <w:tcPr>
            <w:tcW w:w="1437" w:type="pct"/>
            <w:shd w:val="clear" w:color="auto" w:fill="auto"/>
            <w:vAlign w:val="center"/>
            <w:hideMark/>
          </w:tcPr>
          <w:p w14:paraId="1CA9A31C"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SR</w:t>
            </w:r>
          </w:p>
        </w:tc>
        <w:tc>
          <w:tcPr>
            <w:tcW w:w="3563" w:type="pct"/>
            <w:shd w:val="clear" w:color="auto" w:fill="auto"/>
            <w:vAlign w:val="center"/>
            <w:hideMark/>
          </w:tcPr>
          <w:p w14:paraId="32E33A18"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Siguria Rrugore</w:t>
            </w:r>
          </w:p>
        </w:tc>
      </w:tr>
      <w:tr w:rsidR="00962754" w:rsidRPr="00B907A3" w14:paraId="30F01C3D" w14:textId="77777777" w:rsidTr="00962754">
        <w:trPr>
          <w:trHeight w:val="20"/>
        </w:trPr>
        <w:tc>
          <w:tcPr>
            <w:tcW w:w="1437" w:type="pct"/>
            <w:shd w:val="clear" w:color="auto" w:fill="auto"/>
            <w:vAlign w:val="center"/>
            <w:hideMark/>
          </w:tcPr>
          <w:p w14:paraId="5E3F283D"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PVSSRr</w:t>
            </w:r>
          </w:p>
        </w:tc>
        <w:tc>
          <w:tcPr>
            <w:tcW w:w="3563" w:type="pct"/>
            <w:shd w:val="clear" w:color="auto" w:fill="auto"/>
            <w:vAlign w:val="center"/>
            <w:hideMark/>
          </w:tcPr>
          <w:p w14:paraId="37F79A88"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Plani i Veprimit të Strategjisë së Sigurisë Rrugore</w:t>
            </w:r>
          </w:p>
        </w:tc>
      </w:tr>
      <w:tr w:rsidR="00962754" w:rsidRPr="00B907A3" w14:paraId="407937CE" w14:textId="77777777" w:rsidTr="00962754">
        <w:trPr>
          <w:trHeight w:val="20"/>
        </w:trPr>
        <w:tc>
          <w:tcPr>
            <w:tcW w:w="1437" w:type="pct"/>
            <w:shd w:val="clear" w:color="auto" w:fill="auto"/>
            <w:vAlign w:val="center"/>
            <w:hideMark/>
          </w:tcPr>
          <w:p w14:paraId="067818EB"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SSR</w:t>
            </w:r>
          </w:p>
        </w:tc>
        <w:tc>
          <w:tcPr>
            <w:tcW w:w="3563" w:type="pct"/>
            <w:shd w:val="clear" w:color="auto" w:fill="auto"/>
            <w:vAlign w:val="center"/>
            <w:hideMark/>
          </w:tcPr>
          <w:p w14:paraId="4860B128"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Strategjia e Sigurisë Rrugore</w:t>
            </w:r>
          </w:p>
        </w:tc>
      </w:tr>
      <w:tr w:rsidR="00962754" w:rsidRPr="00B907A3" w14:paraId="2A5F4056" w14:textId="77777777" w:rsidTr="00962754">
        <w:trPr>
          <w:trHeight w:val="20"/>
        </w:trPr>
        <w:tc>
          <w:tcPr>
            <w:tcW w:w="1437" w:type="pct"/>
            <w:shd w:val="clear" w:color="auto" w:fill="auto"/>
            <w:vAlign w:val="center"/>
            <w:hideMark/>
          </w:tcPr>
          <w:p w14:paraId="055E9F60"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QSS</w:t>
            </w:r>
          </w:p>
        </w:tc>
        <w:tc>
          <w:tcPr>
            <w:tcW w:w="3563" w:type="pct"/>
            <w:shd w:val="clear" w:color="auto" w:fill="auto"/>
            <w:vAlign w:val="center"/>
            <w:hideMark/>
          </w:tcPr>
          <w:p w14:paraId="1A14C892" w14:textId="1C4A28C9"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Qas</w:t>
            </w:r>
            <w:r w:rsidR="005C1DD9">
              <w:rPr>
                <w:rFonts w:ascii="Garamond" w:hAnsi="Garamond" w:cs="Arial"/>
                <w:color w:val="000000"/>
                <w:sz w:val="24"/>
                <w:lang w:eastAsia="en-US"/>
              </w:rPr>
              <w:t>ja e Sistemit të Sigurt</w:t>
            </w:r>
          </w:p>
        </w:tc>
      </w:tr>
      <w:tr w:rsidR="00962754" w:rsidRPr="00B907A3" w14:paraId="4A508485" w14:textId="77777777" w:rsidTr="00962754">
        <w:trPr>
          <w:trHeight w:val="20"/>
        </w:trPr>
        <w:tc>
          <w:tcPr>
            <w:tcW w:w="1437" w:type="pct"/>
            <w:shd w:val="clear" w:color="auto" w:fill="auto"/>
            <w:vAlign w:val="center"/>
            <w:hideMark/>
          </w:tcPr>
          <w:p w14:paraId="2333FF08"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QKMT</w:t>
            </w:r>
          </w:p>
        </w:tc>
        <w:tc>
          <w:tcPr>
            <w:tcW w:w="3563" w:type="pct"/>
            <w:shd w:val="clear" w:color="auto" w:fill="auto"/>
            <w:vAlign w:val="center"/>
            <w:hideMark/>
          </w:tcPr>
          <w:p w14:paraId="1CCB9CF1"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Qendra e Kontrollit dhe Menaxhimit të Trafikut</w:t>
            </w:r>
          </w:p>
        </w:tc>
      </w:tr>
      <w:tr w:rsidR="00962754" w:rsidRPr="00B907A3" w14:paraId="56017903" w14:textId="77777777" w:rsidTr="00962754">
        <w:trPr>
          <w:trHeight w:val="20"/>
        </w:trPr>
        <w:tc>
          <w:tcPr>
            <w:tcW w:w="1437" w:type="pct"/>
            <w:shd w:val="clear" w:color="auto" w:fill="auto"/>
            <w:vAlign w:val="center"/>
            <w:hideMark/>
          </w:tcPr>
          <w:p w14:paraId="0DF8BA49"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PRr</w:t>
            </w:r>
          </w:p>
        </w:tc>
        <w:tc>
          <w:tcPr>
            <w:tcW w:w="3563" w:type="pct"/>
            <w:shd w:val="clear" w:color="auto" w:fill="auto"/>
            <w:vAlign w:val="center"/>
            <w:hideMark/>
          </w:tcPr>
          <w:p w14:paraId="1A0F3F70"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Policia Rrugore</w:t>
            </w:r>
          </w:p>
        </w:tc>
      </w:tr>
      <w:tr w:rsidR="00962754" w:rsidRPr="00B907A3" w14:paraId="7002FD5F" w14:textId="77777777" w:rsidTr="00962754">
        <w:trPr>
          <w:trHeight w:val="20"/>
        </w:trPr>
        <w:tc>
          <w:tcPr>
            <w:tcW w:w="1437" w:type="pct"/>
            <w:shd w:val="clear" w:color="auto" w:fill="auto"/>
            <w:vAlign w:val="center"/>
            <w:hideMark/>
          </w:tcPr>
          <w:p w14:paraId="118C5351"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OKB</w:t>
            </w:r>
          </w:p>
        </w:tc>
        <w:tc>
          <w:tcPr>
            <w:tcW w:w="3563" w:type="pct"/>
            <w:shd w:val="clear" w:color="auto" w:fill="auto"/>
            <w:vAlign w:val="center"/>
            <w:hideMark/>
          </w:tcPr>
          <w:p w14:paraId="4F64FB21"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Kombet e Bashkuara</w:t>
            </w:r>
          </w:p>
        </w:tc>
      </w:tr>
      <w:tr w:rsidR="00962754" w:rsidRPr="00B907A3" w14:paraId="771068A2" w14:textId="77777777" w:rsidTr="00962754">
        <w:trPr>
          <w:trHeight w:val="20"/>
        </w:trPr>
        <w:tc>
          <w:tcPr>
            <w:tcW w:w="1437" w:type="pct"/>
            <w:shd w:val="clear" w:color="auto" w:fill="auto"/>
            <w:vAlign w:val="center"/>
            <w:hideMark/>
          </w:tcPr>
          <w:p w14:paraId="3DBF244A"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PDRr</w:t>
            </w:r>
          </w:p>
        </w:tc>
        <w:tc>
          <w:tcPr>
            <w:tcW w:w="3563" w:type="pct"/>
            <w:shd w:val="clear" w:color="auto" w:fill="auto"/>
            <w:vAlign w:val="center"/>
            <w:hideMark/>
          </w:tcPr>
          <w:p w14:paraId="68E0119B" w14:textId="23818177" w:rsidR="00962754" w:rsidRPr="00B907A3" w:rsidRDefault="00962754" w:rsidP="005C1DD9">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Përdorues i Dobët </w:t>
            </w:r>
            <w:r w:rsidR="005C1DD9">
              <w:rPr>
                <w:rFonts w:ascii="Garamond" w:hAnsi="Garamond" w:cs="Arial"/>
                <w:color w:val="000000"/>
                <w:sz w:val="24"/>
                <w:lang w:eastAsia="en-US"/>
              </w:rPr>
              <w:t>i</w:t>
            </w:r>
            <w:r w:rsidRPr="00B907A3">
              <w:rPr>
                <w:rFonts w:ascii="Garamond" w:hAnsi="Garamond" w:cs="Arial"/>
                <w:color w:val="000000"/>
                <w:sz w:val="24"/>
                <w:lang w:eastAsia="en-US"/>
              </w:rPr>
              <w:t xml:space="preserve"> Rrugës </w:t>
            </w:r>
          </w:p>
        </w:tc>
      </w:tr>
      <w:tr w:rsidR="00962754" w:rsidRPr="00B907A3" w14:paraId="20D22C13" w14:textId="77777777" w:rsidTr="00962754">
        <w:trPr>
          <w:trHeight w:val="20"/>
        </w:trPr>
        <w:tc>
          <w:tcPr>
            <w:tcW w:w="1437" w:type="pct"/>
            <w:shd w:val="clear" w:color="auto" w:fill="auto"/>
            <w:vAlign w:val="center"/>
            <w:hideMark/>
          </w:tcPr>
          <w:p w14:paraId="4B8AFC52"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t>CADAS</w:t>
            </w:r>
          </w:p>
        </w:tc>
        <w:tc>
          <w:tcPr>
            <w:tcW w:w="3563" w:type="pct"/>
            <w:shd w:val="clear" w:color="auto" w:fill="auto"/>
            <w:vAlign w:val="center"/>
            <w:hideMark/>
          </w:tcPr>
          <w:p w14:paraId="2DFEBE2A" w14:textId="3B9F484D" w:rsidR="00962754" w:rsidRPr="00B907A3" w:rsidRDefault="00962754" w:rsidP="005C1DD9">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Sistemi i përbashkët </w:t>
            </w:r>
            <w:r w:rsidR="005C1DD9">
              <w:rPr>
                <w:rFonts w:ascii="Garamond" w:hAnsi="Garamond" w:cs="Arial"/>
                <w:color w:val="000000"/>
                <w:sz w:val="24"/>
                <w:lang w:eastAsia="en-US"/>
              </w:rPr>
              <w:t>i</w:t>
            </w:r>
            <w:r w:rsidRPr="00B907A3">
              <w:rPr>
                <w:rFonts w:ascii="Garamond" w:hAnsi="Garamond" w:cs="Arial"/>
                <w:color w:val="000000"/>
                <w:sz w:val="24"/>
                <w:lang w:eastAsia="en-US"/>
              </w:rPr>
              <w:t xml:space="preserve"> të dhënave të aksidenteve</w:t>
            </w:r>
          </w:p>
        </w:tc>
      </w:tr>
      <w:tr w:rsidR="00962754" w:rsidRPr="00B907A3" w14:paraId="086EADBA" w14:textId="77777777" w:rsidTr="00962754">
        <w:trPr>
          <w:trHeight w:val="20"/>
        </w:trPr>
        <w:tc>
          <w:tcPr>
            <w:tcW w:w="1437" w:type="pct"/>
            <w:vMerge w:val="restart"/>
            <w:shd w:val="clear" w:color="auto" w:fill="auto"/>
            <w:vAlign w:val="center"/>
            <w:hideMark/>
          </w:tcPr>
          <w:p w14:paraId="39F18E13" w14:textId="77777777" w:rsidR="00962754" w:rsidRPr="00B907A3" w:rsidRDefault="00962754" w:rsidP="00962754">
            <w:pPr>
              <w:spacing w:after="0"/>
              <w:jc w:val="left"/>
              <w:rPr>
                <w:rFonts w:ascii="Garamond" w:hAnsi="Garamond" w:cs="Arial"/>
                <w:b/>
                <w:bCs/>
                <w:color w:val="000000"/>
                <w:sz w:val="24"/>
                <w:lang w:eastAsia="en-US"/>
              </w:rPr>
            </w:pPr>
            <w:r w:rsidRPr="00B907A3">
              <w:rPr>
                <w:rFonts w:ascii="Garamond" w:hAnsi="Garamond" w:cs="Arial"/>
                <w:b/>
                <w:bCs/>
                <w:color w:val="000000"/>
                <w:sz w:val="24"/>
                <w:lang w:eastAsia="en-US"/>
              </w:rPr>
              <w:lastRenderedPageBreak/>
              <w:t>AKKSHI</w:t>
            </w:r>
          </w:p>
        </w:tc>
        <w:tc>
          <w:tcPr>
            <w:tcW w:w="3563" w:type="pct"/>
            <w:shd w:val="clear" w:color="auto" w:fill="auto"/>
            <w:vAlign w:val="center"/>
            <w:hideMark/>
          </w:tcPr>
          <w:p w14:paraId="02E43916"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 xml:space="preserve">Agjencia Kombëtare e Kërkimit Shkencor dhe </w:t>
            </w:r>
          </w:p>
        </w:tc>
      </w:tr>
      <w:tr w:rsidR="00962754" w:rsidRPr="00B907A3" w14:paraId="36DA6C05" w14:textId="77777777" w:rsidTr="00962754">
        <w:trPr>
          <w:trHeight w:val="20"/>
        </w:trPr>
        <w:tc>
          <w:tcPr>
            <w:tcW w:w="1437" w:type="pct"/>
            <w:vMerge/>
            <w:vAlign w:val="center"/>
            <w:hideMark/>
          </w:tcPr>
          <w:p w14:paraId="190B7CE9" w14:textId="77777777" w:rsidR="00962754" w:rsidRPr="00B907A3" w:rsidRDefault="00962754" w:rsidP="00962754">
            <w:pPr>
              <w:spacing w:after="0"/>
              <w:jc w:val="left"/>
              <w:rPr>
                <w:rFonts w:ascii="Garamond" w:hAnsi="Garamond" w:cs="Arial"/>
                <w:b/>
                <w:bCs/>
                <w:color w:val="000000"/>
                <w:sz w:val="24"/>
                <w:lang w:eastAsia="en-US"/>
              </w:rPr>
            </w:pPr>
          </w:p>
        </w:tc>
        <w:tc>
          <w:tcPr>
            <w:tcW w:w="3563" w:type="pct"/>
            <w:shd w:val="clear" w:color="auto" w:fill="auto"/>
            <w:vAlign w:val="center"/>
            <w:hideMark/>
          </w:tcPr>
          <w:p w14:paraId="68C3B3ED" w14:textId="77777777" w:rsidR="00962754" w:rsidRPr="00B907A3" w:rsidRDefault="00962754" w:rsidP="00962754">
            <w:pPr>
              <w:spacing w:after="0"/>
              <w:jc w:val="left"/>
              <w:rPr>
                <w:rFonts w:ascii="Garamond" w:hAnsi="Garamond" w:cs="Arial"/>
                <w:color w:val="000000"/>
                <w:sz w:val="24"/>
                <w:lang w:eastAsia="en-US"/>
              </w:rPr>
            </w:pPr>
            <w:r w:rsidRPr="00B907A3">
              <w:rPr>
                <w:rFonts w:ascii="Garamond" w:hAnsi="Garamond" w:cs="Arial"/>
                <w:color w:val="000000"/>
                <w:sz w:val="24"/>
                <w:lang w:eastAsia="en-US"/>
              </w:rPr>
              <w:t>Inovacionit</w:t>
            </w:r>
          </w:p>
        </w:tc>
      </w:tr>
    </w:tbl>
    <w:p w14:paraId="1C439C35" w14:textId="3AE41549" w:rsidR="00962754" w:rsidRPr="00B907A3" w:rsidRDefault="00962754" w:rsidP="008C4E07">
      <w:pPr>
        <w:spacing w:after="0"/>
        <w:ind w:firstLine="284"/>
        <w:rPr>
          <w:rFonts w:ascii="Garamond" w:hAnsi="Garamond"/>
          <w:sz w:val="24"/>
        </w:rPr>
      </w:pPr>
    </w:p>
    <w:p w14:paraId="59B98D76" w14:textId="77777777" w:rsidR="00962754" w:rsidRPr="00B907A3" w:rsidRDefault="00962754" w:rsidP="008C4E07">
      <w:pPr>
        <w:spacing w:after="0"/>
        <w:ind w:firstLine="284"/>
        <w:rPr>
          <w:rFonts w:ascii="Garamond" w:hAnsi="Garamond"/>
          <w:sz w:val="24"/>
        </w:rPr>
        <w:sectPr w:rsidR="00962754" w:rsidRPr="00B907A3" w:rsidSect="00EA0A87">
          <w:footerReference w:type="default" r:id="rId49"/>
          <w:footerReference w:type="first" r:id="rId50"/>
          <w:pgSz w:w="11906" w:h="16838" w:code="9"/>
          <w:pgMar w:top="1418" w:right="1134" w:bottom="1134" w:left="1134" w:header="142" w:footer="0" w:gutter="0"/>
          <w:cols w:space="708"/>
          <w:titlePg/>
          <w:docGrid w:linePitch="360"/>
        </w:sectPr>
      </w:pPr>
    </w:p>
    <w:tbl>
      <w:tblPr>
        <w:tblW w:w="15759" w:type="dxa"/>
        <w:tblInd w:w="-426" w:type="dxa"/>
        <w:tblLayout w:type="fixed"/>
        <w:tblLook w:val="04A0" w:firstRow="1" w:lastRow="0" w:firstColumn="1" w:lastColumn="0" w:noHBand="0" w:noVBand="1"/>
      </w:tblPr>
      <w:tblGrid>
        <w:gridCol w:w="718"/>
        <w:gridCol w:w="572"/>
        <w:gridCol w:w="470"/>
        <w:gridCol w:w="668"/>
        <w:gridCol w:w="366"/>
        <w:gridCol w:w="366"/>
        <w:gridCol w:w="366"/>
        <w:gridCol w:w="359"/>
        <w:gridCol w:w="525"/>
        <w:gridCol w:w="236"/>
        <w:gridCol w:w="714"/>
        <w:gridCol w:w="520"/>
        <w:gridCol w:w="512"/>
        <w:gridCol w:w="367"/>
        <w:gridCol w:w="372"/>
        <w:gridCol w:w="372"/>
        <w:gridCol w:w="426"/>
        <w:gridCol w:w="618"/>
        <w:gridCol w:w="618"/>
        <w:gridCol w:w="605"/>
        <w:gridCol w:w="372"/>
        <w:gridCol w:w="372"/>
        <w:gridCol w:w="324"/>
        <w:gridCol w:w="382"/>
        <w:gridCol w:w="382"/>
        <w:gridCol w:w="369"/>
        <w:gridCol w:w="372"/>
        <w:gridCol w:w="372"/>
        <w:gridCol w:w="324"/>
        <w:gridCol w:w="382"/>
        <w:gridCol w:w="382"/>
        <w:gridCol w:w="369"/>
        <w:gridCol w:w="464"/>
        <w:gridCol w:w="442"/>
        <w:gridCol w:w="287"/>
        <w:gridCol w:w="394"/>
      </w:tblGrid>
      <w:tr w:rsidR="00962754" w:rsidRPr="00B907A3" w14:paraId="7CA7A384" w14:textId="77777777" w:rsidTr="00962754">
        <w:trPr>
          <w:trHeight w:val="20"/>
        </w:trPr>
        <w:tc>
          <w:tcPr>
            <w:tcW w:w="1760" w:type="dxa"/>
            <w:gridSpan w:val="3"/>
            <w:tcBorders>
              <w:top w:val="nil"/>
              <w:left w:val="nil"/>
              <w:bottom w:val="nil"/>
              <w:right w:val="nil"/>
            </w:tcBorders>
            <w:shd w:val="clear" w:color="auto" w:fill="auto"/>
            <w:noWrap/>
            <w:vAlign w:val="bottom"/>
            <w:hideMark/>
          </w:tcPr>
          <w:p w14:paraId="35ED8C0D" w14:textId="77777777" w:rsidR="00962754" w:rsidRPr="00B907A3" w:rsidRDefault="00962754" w:rsidP="00962754">
            <w:pPr>
              <w:spacing w:after="0"/>
              <w:jc w:val="left"/>
              <w:rPr>
                <w:rFonts w:ascii="Garamond" w:hAnsi="Garamond" w:cs="Arial"/>
                <w:b/>
                <w:bCs/>
                <w:color w:val="000000"/>
                <w:sz w:val="6"/>
                <w:szCs w:val="12"/>
                <w:lang w:eastAsia="en-US"/>
              </w:rPr>
            </w:pPr>
            <w:bookmarkStart w:id="192" w:name="RANGE!A2"/>
            <w:r w:rsidRPr="00B907A3">
              <w:rPr>
                <w:rFonts w:ascii="Garamond" w:hAnsi="Garamond" w:cs="Arial"/>
                <w:b/>
                <w:bCs/>
                <w:color w:val="000000"/>
                <w:sz w:val="6"/>
                <w:szCs w:val="12"/>
                <w:lang w:eastAsia="en-US"/>
              </w:rPr>
              <w:lastRenderedPageBreak/>
              <w:t>Komponenti 1: Menaxhimi i Sigurisë Rrugore</w:t>
            </w:r>
            <w:bookmarkEnd w:id="192"/>
          </w:p>
        </w:tc>
        <w:tc>
          <w:tcPr>
            <w:tcW w:w="668" w:type="dxa"/>
            <w:tcBorders>
              <w:top w:val="nil"/>
              <w:left w:val="nil"/>
              <w:bottom w:val="nil"/>
              <w:right w:val="nil"/>
            </w:tcBorders>
            <w:shd w:val="clear" w:color="auto" w:fill="auto"/>
            <w:noWrap/>
            <w:vAlign w:val="bottom"/>
            <w:hideMark/>
          </w:tcPr>
          <w:p w14:paraId="75229048" w14:textId="77777777" w:rsidR="00962754" w:rsidRPr="00B907A3" w:rsidRDefault="00962754" w:rsidP="00962754">
            <w:pPr>
              <w:spacing w:after="0"/>
              <w:jc w:val="left"/>
              <w:rPr>
                <w:rFonts w:ascii="Garamond" w:hAnsi="Garamond" w:cs="Arial"/>
                <w:b/>
                <w:bCs/>
                <w:color w:val="000000"/>
                <w:sz w:val="6"/>
                <w:szCs w:val="12"/>
                <w:lang w:eastAsia="en-US"/>
              </w:rPr>
            </w:pPr>
          </w:p>
        </w:tc>
        <w:tc>
          <w:tcPr>
            <w:tcW w:w="366" w:type="dxa"/>
            <w:tcBorders>
              <w:top w:val="nil"/>
              <w:left w:val="nil"/>
              <w:bottom w:val="nil"/>
              <w:right w:val="nil"/>
            </w:tcBorders>
            <w:shd w:val="clear" w:color="auto" w:fill="auto"/>
            <w:noWrap/>
            <w:vAlign w:val="bottom"/>
            <w:hideMark/>
          </w:tcPr>
          <w:p w14:paraId="4A0617E3"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6CF3182"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5AB4475"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066E1C7E"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4947B509"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5EF8FB00"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10C21BF3"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01B6F0CE"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6240B2CD"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67184381"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8E2A55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9ED257D"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39C3F910"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2E36ADAF"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2B1E85F"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7E2C372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14D180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59ED5BA"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397A019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89C961F"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A37F2AF"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F66121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9D0F97C"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0FFF0ED"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45CA76A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3360A1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B2D8A51"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D20123B"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426832E1"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3274CC96"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45D97115"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41D3FD42" w14:textId="77777777" w:rsidR="00962754" w:rsidRPr="00B907A3" w:rsidRDefault="00962754" w:rsidP="00962754">
            <w:pPr>
              <w:spacing w:after="0"/>
              <w:jc w:val="left"/>
              <w:rPr>
                <w:rFonts w:ascii="Garamond" w:hAnsi="Garamond"/>
                <w:sz w:val="6"/>
                <w:szCs w:val="12"/>
                <w:lang w:eastAsia="en-US"/>
              </w:rPr>
            </w:pPr>
          </w:p>
        </w:tc>
      </w:tr>
      <w:tr w:rsidR="00962754" w:rsidRPr="00B907A3" w14:paraId="2D1D17E1" w14:textId="77777777" w:rsidTr="00962754">
        <w:trPr>
          <w:trHeight w:val="20"/>
        </w:trPr>
        <w:tc>
          <w:tcPr>
            <w:tcW w:w="718" w:type="dxa"/>
            <w:tcBorders>
              <w:top w:val="nil"/>
              <w:left w:val="nil"/>
              <w:bottom w:val="nil"/>
              <w:right w:val="nil"/>
            </w:tcBorders>
            <w:shd w:val="clear" w:color="auto" w:fill="auto"/>
            <w:noWrap/>
            <w:vAlign w:val="bottom"/>
            <w:hideMark/>
          </w:tcPr>
          <w:p w14:paraId="4638F74A"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1273A0EF"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78F1BC80"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6CD965D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B260116"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2C04AA8B"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A0F7295"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4DABA109"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4C4DA71E"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5A11035D"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59BADBFA"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7095F3D0"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43B76547"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6DB5323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B54C85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E959EF8"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2D007E3D"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6F7C474"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6A3844E5"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0BB7EC3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9EDF0D2"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83C5EEA"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2F11FA7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FC1AD2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41D4EF2"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136A6B3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49FD38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282C4E0"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5DC78F5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BD26E1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2D5793C"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298E4B0"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2E8A1160"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01C956C3"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241223E0"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66F70238" w14:textId="77777777" w:rsidR="00962754" w:rsidRPr="00B907A3" w:rsidRDefault="00962754" w:rsidP="00962754">
            <w:pPr>
              <w:spacing w:after="0"/>
              <w:jc w:val="left"/>
              <w:rPr>
                <w:rFonts w:ascii="Garamond" w:hAnsi="Garamond"/>
                <w:sz w:val="6"/>
                <w:szCs w:val="12"/>
                <w:lang w:eastAsia="en-US"/>
              </w:rPr>
            </w:pPr>
          </w:p>
        </w:tc>
      </w:tr>
      <w:tr w:rsidR="00962754" w:rsidRPr="00B907A3" w14:paraId="5451AD9D" w14:textId="77777777" w:rsidTr="00962754">
        <w:trPr>
          <w:trHeight w:val="20"/>
        </w:trPr>
        <w:tc>
          <w:tcPr>
            <w:tcW w:w="718" w:type="dxa"/>
            <w:tcBorders>
              <w:top w:val="single" w:sz="8" w:space="0" w:color="auto"/>
              <w:left w:val="single" w:sz="8" w:space="0" w:color="auto"/>
              <w:bottom w:val="nil"/>
              <w:right w:val="nil"/>
            </w:tcBorders>
            <w:shd w:val="clear" w:color="000000" w:fill="FFF2CC"/>
            <w:vAlign w:val="center"/>
            <w:hideMark/>
          </w:tcPr>
          <w:p w14:paraId="5029DE0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8" w:space="0" w:color="auto"/>
              <w:left w:val="single" w:sz="4" w:space="0" w:color="auto"/>
              <w:bottom w:val="nil"/>
              <w:right w:val="nil"/>
            </w:tcBorders>
            <w:shd w:val="clear" w:color="000000" w:fill="FFF2CC"/>
            <w:hideMark/>
          </w:tcPr>
          <w:p w14:paraId="713814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8" w:space="0" w:color="auto"/>
              <w:left w:val="single" w:sz="4" w:space="0" w:color="auto"/>
              <w:bottom w:val="nil"/>
              <w:right w:val="nil"/>
            </w:tcBorders>
            <w:shd w:val="clear" w:color="000000" w:fill="FFF2CC"/>
            <w:vAlign w:val="center"/>
            <w:hideMark/>
          </w:tcPr>
          <w:p w14:paraId="0F78524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single" w:sz="8" w:space="0" w:color="auto"/>
              <w:left w:val="single" w:sz="4" w:space="0" w:color="auto"/>
              <w:bottom w:val="nil"/>
              <w:right w:val="single" w:sz="4" w:space="0" w:color="auto"/>
            </w:tcBorders>
            <w:shd w:val="clear" w:color="000000" w:fill="FFF2CC"/>
            <w:vAlign w:val="center"/>
            <w:hideMark/>
          </w:tcPr>
          <w:p w14:paraId="15F9B33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8" w:space="0" w:color="auto"/>
              <w:left w:val="nil"/>
              <w:bottom w:val="single" w:sz="4" w:space="0" w:color="auto"/>
              <w:right w:val="nil"/>
            </w:tcBorders>
            <w:shd w:val="clear" w:color="000000" w:fill="FFF2CC"/>
            <w:vAlign w:val="center"/>
            <w:hideMark/>
          </w:tcPr>
          <w:p w14:paraId="275DA9D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bazë</w:t>
            </w:r>
          </w:p>
        </w:tc>
        <w:tc>
          <w:tcPr>
            <w:tcW w:w="1091" w:type="dxa"/>
            <w:gridSpan w:val="3"/>
            <w:tcBorders>
              <w:top w:val="single" w:sz="8" w:space="0" w:color="auto"/>
              <w:left w:val="single" w:sz="4" w:space="0" w:color="auto"/>
              <w:bottom w:val="single" w:sz="4" w:space="0" w:color="auto"/>
              <w:right w:val="nil"/>
            </w:tcBorders>
            <w:shd w:val="clear" w:color="000000" w:fill="FFF2CC"/>
            <w:noWrap/>
            <w:hideMark/>
          </w:tcPr>
          <w:p w14:paraId="4F486010" w14:textId="70A5C66A"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Vlerat e synuara të RM</w:t>
            </w:r>
            <w:r w:rsidR="005C1DD9">
              <w:rPr>
                <w:rFonts w:ascii="Garamond" w:hAnsi="Garamond" w:cs="Arial"/>
                <w:b/>
                <w:bCs/>
                <w:color w:val="000000"/>
                <w:sz w:val="6"/>
                <w:szCs w:val="12"/>
                <w:lang w:eastAsia="en-US"/>
              </w:rPr>
              <w:t>-së</w:t>
            </w:r>
          </w:p>
        </w:tc>
        <w:tc>
          <w:tcPr>
            <w:tcW w:w="525" w:type="dxa"/>
            <w:tcBorders>
              <w:top w:val="single" w:sz="8" w:space="0" w:color="auto"/>
              <w:left w:val="single" w:sz="4" w:space="0" w:color="auto"/>
              <w:bottom w:val="nil"/>
              <w:right w:val="single" w:sz="8" w:space="0" w:color="auto"/>
            </w:tcBorders>
            <w:shd w:val="clear" w:color="000000" w:fill="FFF2CC"/>
            <w:vAlign w:val="center"/>
            <w:hideMark/>
          </w:tcPr>
          <w:p w14:paraId="269A14F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single" w:sz="8" w:space="0" w:color="auto"/>
              <w:left w:val="nil"/>
              <w:bottom w:val="single" w:sz="4" w:space="0" w:color="auto"/>
              <w:right w:val="nil"/>
            </w:tcBorders>
            <w:shd w:val="clear" w:color="000000" w:fill="EE0000"/>
            <w:vAlign w:val="center"/>
            <w:hideMark/>
          </w:tcPr>
          <w:p w14:paraId="00220DD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single" w:sz="8" w:space="0" w:color="auto"/>
              <w:left w:val="single" w:sz="8" w:space="0" w:color="auto"/>
              <w:bottom w:val="nil"/>
              <w:right w:val="single" w:sz="4" w:space="0" w:color="auto"/>
            </w:tcBorders>
            <w:shd w:val="clear" w:color="000000" w:fill="FFF2CC"/>
            <w:vAlign w:val="center"/>
            <w:hideMark/>
          </w:tcPr>
          <w:p w14:paraId="35798BA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8" w:space="0" w:color="auto"/>
              <w:left w:val="nil"/>
              <w:bottom w:val="nil"/>
              <w:right w:val="single" w:sz="4" w:space="0" w:color="auto"/>
            </w:tcBorders>
            <w:shd w:val="clear" w:color="000000" w:fill="FFF2CC"/>
            <w:vAlign w:val="center"/>
            <w:hideMark/>
          </w:tcPr>
          <w:p w14:paraId="12EE84D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single" w:sz="8" w:space="0" w:color="auto"/>
              <w:left w:val="nil"/>
              <w:bottom w:val="nil"/>
              <w:right w:val="single" w:sz="4" w:space="0" w:color="auto"/>
            </w:tcBorders>
            <w:shd w:val="clear" w:color="000000" w:fill="FFF2CC"/>
            <w:vAlign w:val="center"/>
            <w:hideMark/>
          </w:tcPr>
          <w:p w14:paraId="636C17A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single" w:sz="8" w:space="0" w:color="auto"/>
              <w:left w:val="nil"/>
              <w:bottom w:val="nil"/>
              <w:right w:val="single" w:sz="8" w:space="0" w:color="auto"/>
            </w:tcBorders>
            <w:shd w:val="clear" w:color="000000" w:fill="FFF2CC"/>
            <w:vAlign w:val="center"/>
            <w:hideMark/>
          </w:tcPr>
          <w:p w14:paraId="44D46E2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8" w:space="0" w:color="auto"/>
              <w:left w:val="nil"/>
              <w:bottom w:val="single" w:sz="4" w:space="0" w:color="auto"/>
              <w:right w:val="nil"/>
            </w:tcBorders>
            <w:shd w:val="clear" w:color="000000" w:fill="FFF2CC"/>
            <w:vAlign w:val="center"/>
            <w:hideMark/>
          </w:tcPr>
          <w:p w14:paraId="2492E47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639" w:type="dxa"/>
            <w:gridSpan w:val="5"/>
            <w:tcBorders>
              <w:top w:val="single" w:sz="8" w:space="0" w:color="auto"/>
              <w:left w:val="nil"/>
              <w:bottom w:val="single" w:sz="4" w:space="0" w:color="auto"/>
              <w:right w:val="single" w:sz="8" w:space="0" w:color="000000"/>
            </w:tcBorders>
            <w:shd w:val="clear" w:color="000000" w:fill="FFF2CC"/>
            <w:noWrap/>
            <w:hideMark/>
          </w:tcPr>
          <w:p w14:paraId="3253DE09" w14:textId="7BB607EB"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2027</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nil"/>
              <w:bottom w:val="single" w:sz="4" w:space="0" w:color="auto"/>
              <w:right w:val="nil"/>
            </w:tcBorders>
            <w:shd w:val="clear" w:color="000000" w:fill="FFF2CC"/>
            <w:noWrap/>
            <w:hideMark/>
          </w:tcPr>
          <w:p w14:paraId="5679BE3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1829" w:type="dxa"/>
            <w:gridSpan w:val="5"/>
            <w:tcBorders>
              <w:top w:val="single" w:sz="8" w:space="0" w:color="auto"/>
              <w:left w:val="nil"/>
              <w:bottom w:val="single" w:sz="4" w:space="0" w:color="auto"/>
              <w:right w:val="nil"/>
            </w:tcBorders>
            <w:shd w:val="clear" w:color="000000" w:fill="FFF2CC"/>
            <w:noWrap/>
            <w:hideMark/>
          </w:tcPr>
          <w:p w14:paraId="1782E746" w14:textId="62FE268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2028</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single" w:sz="8" w:space="0" w:color="auto"/>
              <w:bottom w:val="single" w:sz="4" w:space="0" w:color="auto"/>
              <w:right w:val="nil"/>
            </w:tcBorders>
            <w:shd w:val="clear" w:color="000000" w:fill="FFF2CC"/>
            <w:hideMark/>
          </w:tcPr>
          <w:p w14:paraId="13EF31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1829" w:type="dxa"/>
            <w:gridSpan w:val="5"/>
            <w:tcBorders>
              <w:top w:val="single" w:sz="8" w:space="0" w:color="auto"/>
              <w:left w:val="nil"/>
              <w:bottom w:val="single" w:sz="4" w:space="0" w:color="auto"/>
              <w:right w:val="single" w:sz="8" w:space="0" w:color="000000"/>
            </w:tcBorders>
            <w:shd w:val="clear" w:color="000000" w:fill="FFF2CC"/>
            <w:noWrap/>
            <w:hideMark/>
          </w:tcPr>
          <w:p w14:paraId="5A3BE05A" w14:textId="18094424"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2029</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464" w:type="dxa"/>
            <w:tcBorders>
              <w:top w:val="single" w:sz="8" w:space="0" w:color="auto"/>
              <w:left w:val="nil"/>
              <w:bottom w:val="nil"/>
              <w:right w:val="single" w:sz="4" w:space="0" w:color="auto"/>
            </w:tcBorders>
            <w:shd w:val="clear" w:color="000000" w:fill="FFF2CC"/>
            <w:hideMark/>
          </w:tcPr>
          <w:p w14:paraId="461ACD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single" w:sz="8" w:space="0" w:color="auto"/>
              <w:left w:val="nil"/>
              <w:bottom w:val="nil"/>
              <w:right w:val="single" w:sz="4" w:space="0" w:color="auto"/>
            </w:tcBorders>
            <w:shd w:val="clear" w:color="000000" w:fill="FFF2CC"/>
            <w:vAlign w:val="center"/>
            <w:hideMark/>
          </w:tcPr>
          <w:p w14:paraId="0D3AB08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single" w:sz="8" w:space="0" w:color="auto"/>
              <w:left w:val="nil"/>
              <w:bottom w:val="nil"/>
              <w:right w:val="single" w:sz="8" w:space="0" w:color="auto"/>
            </w:tcBorders>
            <w:shd w:val="clear" w:color="000000" w:fill="FFF2CC"/>
            <w:vAlign w:val="center"/>
            <w:hideMark/>
          </w:tcPr>
          <w:p w14:paraId="1F92848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52F3214F"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13AAAEDF" w14:textId="77777777" w:rsidTr="00962754">
        <w:trPr>
          <w:trHeight w:val="20"/>
        </w:trPr>
        <w:tc>
          <w:tcPr>
            <w:tcW w:w="718" w:type="dxa"/>
            <w:tcBorders>
              <w:top w:val="nil"/>
              <w:left w:val="single" w:sz="8" w:space="0" w:color="auto"/>
              <w:bottom w:val="single" w:sz="8" w:space="0" w:color="auto"/>
              <w:right w:val="nil"/>
            </w:tcBorders>
            <w:shd w:val="clear" w:color="000000" w:fill="FFF2CC"/>
            <w:vAlign w:val="center"/>
            <w:hideMark/>
          </w:tcPr>
          <w:p w14:paraId="5C7E38AD" w14:textId="1B31D4AD"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Numri i </w:t>
            </w:r>
            <w:r w:rsidR="005C1DD9" w:rsidRPr="00B907A3">
              <w:rPr>
                <w:rFonts w:ascii="Garamond" w:hAnsi="Garamond" w:cs="Arial"/>
                <w:b/>
                <w:bCs/>
                <w:color w:val="000000"/>
                <w:sz w:val="6"/>
                <w:szCs w:val="12"/>
                <w:lang w:eastAsia="en-US"/>
              </w:rPr>
              <w:t>masës dhe detaje</w:t>
            </w:r>
            <w:r w:rsidRPr="00B907A3">
              <w:rPr>
                <w:rFonts w:ascii="Garamond" w:hAnsi="Garamond" w:cs="Arial"/>
                <w:b/>
                <w:bCs/>
                <w:color w:val="000000"/>
                <w:sz w:val="6"/>
                <w:szCs w:val="12"/>
                <w:lang w:eastAsia="en-US"/>
              </w:rPr>
              <w:t>t</w:t>
            </w:r>
          </w:p>
        </w:tc>
        <w:tc>
          <w:tcPr>
            <w:tcW w:w="571" w:type="dxa"/>
            <w:tcBorders>
              <w:top w:val="nil"/>
              <w:left w:val="single" w:sz="4" w:space="0" w:color="auto"/>
              <w:bottom w:val="single" w:sz="8" w:space="0" w:color="auto"/>
              <w:right w:val="nil"/>
            </w:tcBorders>
            <w:shd w:val="clear" w:color="000000" w:fill="FFF2CC"/>
            <w:vAlign w:val="center"/>
            <w:hideMark/>
          </w:tcPr>
          <w:p w14:paraId="71511A1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rezultatit të masës</w:t>
            </w:r>
          </w:p>
        </w:tc>
        <w:tc>
          <w:tcPr>
            <w:tcW w:w="470" w:type="dxa"/>
            <w:tcBorders>
              <w:top w:val="nil"/>
              <w:left w:val="single" w:sz="4" w:space="0" w:color="auto"/>
              <w:bottom w:val="single" w:sz="8" w:space="0" w:color="auto"/>
              <w:right w:val="nil"/>
            </w:tcBorders>
            <w:shd w:val="clear" w:color="000000" w:fill="FFF2CC"/>
            <w:vAlign w:val="center"/>
            <w:hideMark/>
          </w:tcPr>
          <w:p w14:paraId="4F63BF7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(njësia)</w:t>
            </w:r>
          </w:p>
        </w:tc>
        <w:tc>
          <w:tcPr>
            <w:tcW w:w="668" w:type="dxa"/>
            <w:tcBorders>
              <w:top w:val="nil"/>
              <w:left w:val="single" w:sz="4" w:space="0" w:color="auto"/>
              <w:bottom w:val="single" w:sz="8" w:space="0" w:color="auto"/>
              <w:right w:val="single" w:sz="4" w:space="0" w:color="auto"/>
            </w:tcBorders>
            <w:shd w:val="clear" w:color="000000" w:fill="FFF2CC"/>
            <w:vAlign w:val="center"/>
            <w:hideMark/>
          </w:tcPr>
          <w:p w14:paraId="40B659C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366" w:type="dxa"/>
            <w:tcBorders>
              <w:top w:val="nil"/>
              <w:left w:val="nil"/>
              <w:bottom w:val="single" w:sz="8" w:space="0" w:color="auto"/>
              <w:right w:val="single" w:sz="4" w:space="0" w:color="auto"/>
            </w:tcBorders>
            <w:shd w:val="clear" w:color="000000" w:fill="FFF2CC"/>
            <w:vAlign w:val="center"/>
            <w:hideMark/>
          </w:tcPr>
          <w:p w14:paraId="2EA0188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2026</w:t>
            </w:r>
          </w:p>
        </w:tc>
        <w:tc>
          <w:tcPr>
            <w:tcW w:w="366" w:type="dxa"/>
            <w:tcBorders>
              <w:top w:val="nil"/>
              <w:left w:val="nil"/>
              <w:bottom w:val="single" w:sz="8" w:space="0" w:color="auto"/>
              <w:right w:val="single" w:sz="4" w:space="0" w:color="auto"/>
            </w:tcBorders>
            <w:shd w:val="clear" w:color="000000" w:fill="FFF2CC"/>
            <w:vAlign w:val="center"/>
            <w:hideMark/>
          </w:tcPr>
          <w:p w14:paraId="4EDA44C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2027</w:t>
            </w:r>
          </w:p>
        </w:tc>
        <w:tc>
          <w:tcPr>
            <w:tcW w:w="366" w:type="dxa"/>
            <w:tcBorders>
              <w:top w:val="nil"/>
              <w:left w:val="nil"/>
              <w:bottom w:val="single" w:sz="8" w:space="0" w:color="auto"/>
              <w:right w:val="single" w:sz="4" w:space="0" w:color="auto"/>
            </w:tcBorders>
            <w:shd w:val="clear" w:color="000000" w:fill="FFF2CC"/>
            <w:vAlign w:val="center"/>
            <w:hideMark/>
          </w:tcPr>
          <w:p w14:paraId="268CFCD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2028</w:t>
            </w:r>
          </w:p>
        </w:tc>
        <w:tc>
          <w:tcPr>
            <w:tcW w:w="359" w:type="dxa"/>
            <w:tcBorders>
              <w:top w:val="nil"/>
              <w:left w:val="nil"/>
              <w:bottom w:val="single" w:sz="8" w:space="0" w:color="auto"/>
              <w:right w:val="nil"/>
            </w:tcBorders>
            <w:shd w:val="clear" w:color="000000" w:fill="FFF2CC"/>
            <w:vAlign w:val="center"/>
            <w:hideMark/>
          </w:tcPr>
          <w:p w14:paraId="09CD156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2029</w:t>
            </w:r>
          </w:p>
        </w:tc>
        <w:tc>
          <w:tcPr>
            <w:tcW w:w="525" w:type="dxa"/>
            <w:tcBorders>
              <w:top w:val="nil"/>
              <w:left w:val="single" w:sz="4" w:space="0" w:color="auto"/>
              <w:bottom w:val="single" w:sz="8" w:space="0" w:color="auto"/>
              <w:right w:val="single" w:sz="8" w:space="0" w:color="auto"/>
            </w:tcBorders>
            <w:shd w:val="clear" w:color="000000" w:fill="FFF2CC"/>
            <w:vAlign w:val="center"/>
            <w:hideMark/>
          </w:tcPr>
          <w:p w14:paraId="1BBA107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36" w:type="dxa"/>
            <w:tcBorders>
              <w:top w:val="nil"/>
              <w:left w:val="nil"/>
              <w:bottom w:val="single" w:sz="8" w:space="0" w:color="auto"/>
              <w:right w:val="nil"/>
            </w:tcBorders>
            <w:shd w:val="clear" w:color="000000" w:fill="EE0000"/>
            <w:vAlign w:val="center"/>
            <w:hideMark/>
          </w:tcPr>
          <w:p w14:paraId="4C158F9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FFF2CC"/>
            <w:vAlign w:val="center"/>
            <w:hideMark/>
          </w:tcPr>
          <w:p w14:paraId="7232C48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dhe detajet e aktivitetit</w:t>
            </w:r>
          </w:p>
        </w:tc>
        <w:tc>
          <w:tcPr>
            <w:tcW w:w="520" w:type="dxa"/>
            <w:tcBorders>
              <w:top w:val="nil"/>
              <w:left w:val="nil"/>
              <w:bottom w:val="single" w:sz="8" w:space="0" w:color="auto"/>
              <w:right w:val="single" w:sz="4" w:space="0" w:color="auto"/>
            </w:tcBorders>
            <w:shd w:val="clear" w:color="000000" w:fill="FFF2CC"/>
            <w:vAlign w:val="center"/>
            <w:hideMark/>
          </w:tcPr>
          <w:p w14:paraId="20AAA17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512" w:type="dxa"/>
            <w:tcBorders>
              <w:top w:val="nil"/>
              <w:left w:val="nil"/>
              <w:bottom w:val="single" w:sz="8" w:space="0" w:color="auto"/>
              <w:right w:val="single" w:sz="4" w:space="0" w:color="auto"/>
            </w:tcBorders>
            <w:shd w:val="clear" w:color="000000" w:fill="FFF2CC"/>
            <w:vAlign w:val="center"/>
            <w:hideMark/>
          </w:tcPr>
          <w:p w14:paraId="4D007EFC" w14:textId="56C37B71" w:rsidR="00962754" w:rsidRPr="00B907A3" w:rsidRDefault="00962754" w:rsidP="005C1DD9">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Mbështetës </w:t>
            </w:r>
            <w:r w:rsidR="005C1DD9">
              <w:rPr>
                <w:rFonts w:ascii="Garamond" w:hAnsi="Garamond" w:cs="Arial"/>
                <w:b/>
                <w:bCs/>
                <w:color w:val="000000"/>
                <w:sz w:val="6"/>
                <w:szCs w:val="12"/>
                <w:lang w:eastAsia="en-US"/>
              </w:rPr>
              <w:t>v</w:t>
            </w:r>
            <w:r w:rsidRPr="00B907A3">
              <w:rPr>
                <w:rFonts w:ascii="Garamond" w:hAnsi="Garamond" w:cs="Arial"/>
                <w:b/>
                <w:bCs/>
                <w:color w:val="000000"/>
                <w:sz w:val="6"/>
                <w:szCs w:val="12"/>
                <w:lang w:eastAsia="en-US"/>
              </w:rPr>
              <w:t>iti i fillimit dhe i mbarimit</w:t>
            </w:r>
          </w:p>
        </w:tc>
        <w:tc>
          <w:tcPr>
            <w:tcW w:w="367" w:type="dxa"/>
            <w:tcBorders>
              <w:top w:val="nil"/>
              <w:left w:val="nil"/>
              <w:bottom w:val="single" w:sz="8" w:space="0" w:color="auto"/>
              <w:right w:val="single" w:sz="8" w:space="0" w:color="auto"/>
            </w:tcBorders>
            <w:shd w:val="clear" w:color="000000" w:fill="FFF2CC"/>
            <w:vAlign w:val="center"/>
            <w:hideMark/>
          </w:tcPr>
          <w:p w14:paraId="27146AF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i fillimit dhe i mbarimit</w:t>
            </w:r>
          </w:p>
        </w:tc>
        <w:tc>
          <w:tcPr>
            <w:tcW w:w="372" w:type="dxa"/>
            <w:tcBorders>
              <w:top w:val="nil"/>
              <w:left w:val="nil"/>
              <w:bottom w:val="single" w:sz="8" w:space="0" w:color="auto"/>
              <w:right w:val="single" w:sz="4" w:space="0" w:color="auto"/>
            </w:tcBorders>
            <w:shd w:val="clear" w:color="000000" w:fill="FFF2CC"/>
            <w:vAlign w:val="center"/>
            <w:hideMark/>
          </w:tcPr>
          <w:p w14:paraId="5557F193" w14:textId="1A8A6E82" w:rsidR="00962754" w:rsidRPr="00B907A3" w:rsidRDefault="00962754" w:rsidP="005C1DD9">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Financim </w:t>
            </w:r>
            <w:r w:rsidR="005C1DD9">
              <w:rPr>
                <w:rFonts w:ascii="Garamond" w:hAnsi="Garamond" w:cs="Arial"/>
                <w:b/>
                <w:bCs/>
                <w:color w:val="000000"/>
                <w:sz w:val="6"/>
                <w:szCs w:val="12"/>
                <w:lang w:eastAsia="en-US"/>
              </w:rPr>
              <w:t>k</w:t>
            </w:r>
            <w:r w:rsidRPr="00B907A3">
              <w:rPr>
                <w:rFonts w:ascii="Garamond" w:hAnsi="Garamond" w:cs="Arial"/>
                <w:b/>
                <w:bCs/>
                <w:color w:val="000000"/>
                <w:sz w:val="6"/>
                <w:szCs w:val="12"/>
                <w:lang w:eastAsia="en-US"/>
              </w:rPr>
              <w:t>orrent</w:t>
            </w:r>
          </w:p>
        </w:tc>
        <w:tc>
          <w:tcPr>
            <w:tcW w:w="372" w:type="dxa"/>
            <w:tcBorders>
              <w:top w:val="nil"/>
              <w:left w:val="nil"/>
              <w:bottom w:val="single" w:sz="8" w:space="0" w:color="auto"/>
              <w:right w:val="single" w:sz="4" w:space="0" w:color="auto"/>
            </w:tcBorders>
            <w:shd w:val="clear" w:color="000000" w:fill="FFF2CC"/>
            <w:vAlign w:val="center"/>
            <w:hideMark/>
          </w:tcPr>
          <w:p w14:paraId="29DB739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 kapital</w:t>
            </w:r>
          </w:p>
        </w:tc>
        <w:tc>
          <w:tcPr>
            <w:tcW w:w="426" w:type="dxa"/>
            <w:tcBorders>
              <w:top w:val="nil"/>
              <w:left w:val="nil"/>
              <w:bottom w:val="single" w:sz="8" w:space="0" w:color="auto"/>
              <w:right w:val="single" w:sz="4" w:space="0" w:color="auto"/>
            </w:tcBorders>
            <w:shd w:val="clear" w:color="000000" w:fill="FFF2CC"/>
            <w:vAlign w:val="center"/>
            <w:hideMark/>
          </w:tcPr>
          <w:p w14:paraId="62ED290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618" w:type="dxa"/>
            <w:tcBorders>
              <w:top w:val="nil"/>
              <w:left w:val="nil"/>
              <w:bottom w:val="single" w:sz="8" w:space="0" w:color="auto"/>
              <w:right w:val="single" w:sz="4" w:space="0" w:color="auto"/>
            </w:tcBorders>
            <w:shd w:val="clear" w:color="000000" w:fill="FFF2CC"/>
            <w:vAlign w:val="center"/>
            <w:hideMark/>
          </w:tcPr>
          <w:p w14:paraId="3F4B3FC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618" w:type="dxa"/>
            <w:tcBorders>
              <w:top w:val="nil"/>
              <w:left w:val="nil"/>
              <w:bottom w:val="single" w:sz="8" w:space="0" w:color="auto"/>
              <w:right w:val="single" w:sz="4" w:space="0" w:color="auto"/>
            </w:tcBorders>
            <w:shd w:val="clear" w:color="000000" w:fill="FFF2CC"/>
            <w:vAlign w:val="center"/>
            <w:hideMark/>
          </w:tcPr>
          <w:p w14:paraId="44DB113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 Banka Botërore</w:t>
            </w:r>
          </w:p>
        </w:tc>
        <w:tc>
          <w:tcPr>
            <w:tcW w:w="605" w:type="dxa"/>
            <w:tcBorders>
              <w:top w:val="nil"/>
              <w:left w:val="nil"/>
              <w:bottom w:val="single" w:sz="8" w:space="0" w:color="auto"/>
              <w:right w:val="single" w:sz="8" w:space="0" w:color="auto"/>
            </w:tcBorders>
            <w:shd w:val="clear" w:color="000000" w:fill="FFF2CC"/>
            <w:vAlign w:val="center"/>
            <w:hideMark/>
          </w:tcPr>
          <w:p w14:paraId="232FFC8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nil"/>
              <w:bottom w:val="single" w:sz="8" w:space="0" w:color="auto"/>
              <w:right w:val="single" w:sz="4" w:space="0" w:color="auto"/>
            </w:tcBorders>
            <w:shd w:val="clear" w:color="000000" w:fill="FFF2CC"/>
            <w:vAlign w:val="center"/>
            <w:hideMark/>
          </w:tcPr>
          <w:p w14:paraId="02F71AC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 Korrent</w:t>
            </w:r>
          </w:p>
        </w:tc>
        <w:tc>
          <w:tcPr>
            <w:tcW w:w="372" w:type="dxa"/>
            <w:tcBorders>
              <w:top w:val="nil"/>
              <w:left w:val="nil"/>
              <w:bottom w:val="single" w:sz="8" w:space="0" w:color="auto"/>
              <w:right w:val="single" w:sz="4" w:space="0" w:color="auto"/>
            </w:tcBorders>
            <w:shd w:val="clear" w:color="000000" w:fill="FFF2CC"/>
            <w:vAlign w:val="center"/>
            <w:hideMark/>
          </w:tcPr>
          <w:p w14:paraId="5CCA774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 kapital</w:t>
            </w:r>
          </w:p>
        </w:tc>
        <w:tc>
          <w:tcPr>
            <w:tcW w:w="324" w:type="dxa"/>
            <w:tcBorders>
              <w:top w:val="nil"/>
              <w:left w:val="nil"/>
              <w:bottom w:val="single" w:sz="8" w:space="0" w:color="auto"/>
              <w:right w:val="single" w:sz="4" w:space="0" w:color="auto"/>
            </w:tcBorders>
            <w:shd w:val="clear" w:color="000000" w:fill="FFF2CC"/>
            <w:vAlign w:val="center"/>
            <w:hideMark/>
          </w:tcPr>
          <w:p w14:paraId="5E4E500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FFF2CC"/>
            <w:vAlign w:val="center"/>
            <w:hideMark/>
          </w:tcPr>
          <w:p w14:paraId="7D613C1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FFF2CC"/>
            <w:vAlign w:val="center"/>
            <w:hideMark/>
          </w:tcPr>
          <w:p w14:paraId="164A270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nil"/>
            </w:tcBorders>
            <w:shd w:val="clear" w:color="000000" w:fill="FFF2CC"/>
            <w:vAlign w:val="center"/>
            <w:hideMark/>
          </w:tcPr>
          <w:p w14:paraId="35C7082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single" w:sz="4" w:space="0" w:color="auto"/>
              <w:bottom w:val="single" w:sz="8" w:space="0" w:color="auto"/>
              <w:right w:val="single" w:sz="4" w:space="0" w:color="auto"/>
            </w:tcBorders>
            <w:shd w:val="clear" w:color="000000" w:fill="FFF2CC"/>
            <w:vAlign w:val="center"/>
            <w:hideMark/>
          </w:tcPr>
          <w:p w14:paraId="2F8FF81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 kapital</w:t>
            </w:r>
          </w:p>
        </w:tc>
        <w:tc>
          <w:tcPr>
            <w:tcW w:w="372" w:type="dxa"/>
            <w:tcBorders>
              <w:top w:val="nil"/>
              <w:left w:val="nil"/>
              <w:bottom w:val="single" w:sz="8" w:space="0" w:color="auto"/>
              <w:right w:val="single" w:sz="4" w:space="0" w:color="auto"/>
            </w:tcBorders>
            <w:shd w:val="clear" w:color="000000" w:fill="FFF2CC"/>
            <w:vAlign w:val="center"/>
            <w:hideMark/>
          </w:tcPr>
          <w:p w14:paraId="412D47D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 kapital</w:t>
            </w:r>
          </w:p>
        </w:tc>
        <w:tc>
          <w:tcPr>
            <w:tcW w:w="324" w:type="dxa"/>
            <w:tcBorders>
              <w:top w:val="nil"/>
              <w:left w:val="nil"/>
              <w:bottom w:val="single" w:sz="8" w:space="0" w:color="auto"/>
              <w:right w:val="single" w:sz="4" w:space="0" w:color="auto"/>
            </w:tcBorders>
            <w:shd w:val="clear" w:color="000000" w:fill="FFF2CC"/>
            <w:vAlign w:val="center"/>
            <w:hideMark/>
          </w:tcPr>
          <w:p w14:paraId="012B14B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FFF2CC"/>
            <w:vAlign w:val="center"/>
            <w:hideMark/>
          </w:tcPr>
          <w:p w14:paraId="6CC6C77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FFF2CC"/>
            <w:vAlign w:val="center"/>
            <w:hideMark/>
          </w:tcPr>
          <w:p w14:paraId="20DED3E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single" w:sz="8" w:space="0" w:color="auto"/>
            </w:tcBorders>
            <w:shd w:val="clear" w:color="000000" w:fill="FFF2CC"/>
            <w:vAlign w:val="center"/>
            <w:hideMark/>
          </w:tcPr>
          <w:p w14:paraId="1F75439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464" w:type="dxa"/>
            <w:tcBorders>
              <w:top w:val="nil"/>
              <w:left w:val="nil"/>
              <w:bottom w:val="single" w:sz="8" w:space="0" w:color="auto"/>
              <w:right w:val="single" w:sz="4" w:space="0" w:color="auto"/>
            </w:tcBorders>
            <w:shd w:val="clear" w:color="000000" w:fill="FFF2CC"/>
            <w:vAlign w:val="center"/>
            <w:hideMark/>
          </w:tcPr>
          <w:p w14:paraId="70AE50B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Produktit të Aktivitetit</w:t>
            </w:r>
          </w:p>
        </w:tc>
        <w:tc>
          <w:tcPr>
            <w:tcW w:w="442" w:type="dxa"/>
            <w:tcBorders>
              <w:top w:val="nil"/>
              <w:left w:val="nil"/>
              <w:bottom w:val="single" w:sz="8" w:space="0" w:color="auto"/>
              <w:right w:val="single" w:sz="4" w:space="0" w:color="auto"/>
            </w:tcBorders>
            <w:shd w:val="clear" w:color="000000" w:fill="FFF2CC"/>
            <w:vAlign w:val="center"/>
            <w:hideMark/>
          </w:tcPr>
          <w:p w14:paraId="6A5C69E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87" w:type="dxa"/>
            <w:tcBorders>
              <w:top w:val="nil"/>
              <w:left w:val="nil"/>
              <w:bottom w:val="single" w:sz="8" w:space="0" w:color="auto"/>
              <w:right w:val="single" w:sz="8" w:space="0" w:color="auto"/>
            </w:tcBorders>
            <w:shd w:val="clear" w:color="000000" w:fill="FFF2CC"/>
            <w:vAlign w:val="center"/>
            <w:hideMark/>
          </w:tcPr>
          <w:p w14:paraId="7657BDD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Shënime</w:t>
            </w:r>
          </w:p>
        </w:tc>
        <w:tc>
          <w:tcPr>
            <w:tcW w:w="394" w:type="dxa"/>
            <w:tcBorders>
              <w:top w:val="nil"/>
              <w:left w:val="nil"/>
              <w:bottom w:val="nil"/>
              <w:right w:val="nil"/>
            </w:tcBorders>
            <w:shd w:val="clear" w:color="auto" w:fill="auto"/>
            <w:noWrap/>
            <w:vAlign w:val="bottom"/>
            <w:hideMark/>
          </w:tcPr>
          <w:p w14:paraId="1F1C16FD"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0948C3C6"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FF0000"/>
            <w:vAlign w:val="center"/>
            <w:hideMark/>
          </w:tcPr>
          <w:p w14:paraId="1603550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FF0000"/>
            <w:vAlign w:val="center"/>
            <w:hideMark/>
          </w:tcPr>
          <w:p w14:paraId="18E1302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FF0000"/>
            <w:vAlign w:val="center"/>
            <w:hideMark/>
          </w:tcPr>
          <w:p w14:paraId="1202114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FF0000"/>
            <w:vAlign w:val="center"/>
            <w:hideMark/>
          </w:tcPr>
          <w:p w14:paraId="745CBB7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F0000"/>
            <w:vAlign w:val="center"/>
            <w:hideMark/>
          </w:tcPr>
          <w:p w14:paraId="2490775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F0000"/>
            <w:vAlign w:val="center"/>
            <w:hideMark/>
          </w:tcPr>
          <w:p w14:paraId="553ECD3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F0000"/>
            <w:vAlign w:val="center"/>
            <w:hideMark/>
          </w:tcPr>
          <w:p w14:paraId="6553D94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FF0000"/>
            <w:vAlign w:val="center"/>
            <w:hideMark/>
          </w:tcPr>
          <w:p w14:paraId="5CC33CE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nil"/>
              <w:left w:val="nil"/>
              <w:bottom w:val="single" w:sz="4" w:space="0" w:color="auto"/>
              <w:right w:val="single" w:sz="8" w:space="0" w:color="auto"/>
            </w:tcBorders>
            <w:shd w:val="clear" w:color="000000" w:fill="FF0000"/>
            <w:vAlign w:val="center"/>
            <w:hideMark/>
          </w:tcPr>
          <w:p w14:paraId="4904480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nil"/>
              <w:bottom w:val="single" w:sz="4" w:space="0" w:color="auto"/>
              <w:right w:val="nil"/>
            </w:tcBorders>
            <w:shd w:val="clear" w:color="000000" w:fill="FF0000"/>
            <w:vAlign w:val="center"/>
            <w:hideMark/>
          </w:tcPr>
          <w:p w14:paraId="444C13C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4" w:space="0" w:color="auto"/>
              <w:right w:val="single" w:sz="4" w:space="0" w:color="auto"/>
            </w:tcBorders>
            <w:shd w:val="clear" w:color="000000" w:fill="FF0000"/>
            <w:vAlign w:val="center"/>
            <w:hideMark/>
          </w:tcPr>
          <w:p w14:paraId="359F8DF7" w14:textId="77777777" w:rsidR="00962754" w:rsidRPr="00B907A3" w:rsidRDefault="00962754" w:rsidP="00962754">
            <w:pPr>
              <w:spacing w:after="0"/>
              <w:jc w:val="center"/>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FF0000"/>
            <w:vAlign w:val="center"/>
            <w:hideMark/>
          </w:tcPr>
          <w:p w14:paraId="4515F9F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FF0000"/>
            <w:vAlign w:val="center"/>
            <w:hideMark/>
          </w:tcPr>
          <w:p w14:paraId="7722A21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nil"/>
              <w:left w:val="nil"/>
              <w:bottom w:val="single" w:sz="4" w:space="0" w:color="auto"/>
              <w:right w:val="single" w:sz="8" w:space="0" w:color="auto"/>
            </w:tcBorders>
            <w:shd w:val="clear" w:color="000000" w:fill="FF0000"/>
            <w:vAlign w:val="center"/>
            <w:hideMark/>
          </w:tcPr>
          <w:p w14:paraId="06B20D4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0000"/>
            <w:vAlign w:val="center"/>
            <w:hideMark/>
          </w:tcPr>
          <w:p w14:paraId="77B40F1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0000"/>
            <w:vAlign w:val="center"/>
            <w:hideMark/>
          </w:tcPr>
          <w:p w14:paraId="51B2FAC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FF0000"/>
            <w:vAlign w:val="center"/>
            <w:hideMark/>
          </w:tcPr>
          <w:p w14:paraId="5A4CA5F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FF0000"/>
            <w:vAlign w:val="center"/>
            <w:hideMark/>
          </w:tcPr>
          <w:p w14:paraId="4987317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FF0000"/>
            <w:vAlign w:val="center"/>
            <w:hideMark/>
          </w:tcPr>
          <w:p w14:paraId="6280B7E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05" w:type="dxa"/>
            <w:tcBorders>
              <w:top w:val="nil"/>
              <w:left w:val="nil"/>
              <w:bottom w:val="single" w:sz="4" w:space="0" w:color="auto"/>
              <w:right w:val="single" w:sz="8" w:space="0" w:color="auto"/>
            </w:tcBorders>
            <w:shd w:val="clear" w:color="000000" w:fill="FF0000"/>
            <w:vAlign w:val="center"/>
            <w:hideMark/>
          </w:tcPr>
          <w:p w14:paraId="7F1C22C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0000"/>
            <w:vAlign w:val="center"/>
            <w:hideMark/>
          </w:tcPr>
          <w:p w14:paraId="756F5B3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0000"/>
            <w:vAlign w:val="center"/>
            <w:hideMark/>
          </w:tcPr>
          <w:p w14:paraId="4C0C852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0000"/>
            <w:vAlign w:val="center"/>
            <w:hideMark/>
          </w:tcPr>
          <w:p w14:paraId="175E3B5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0000"/>
            <w:vAlign w:val="center"/>
            <w:hideMark/>
          </w:tcPr>
          <w:p w14:paraId="15161A5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0000"/>
            <w:vAlign w:val="center"/>
            <w:hideMark/>
          </w:tcPr>
          <w:p w14:paraId="0BFE6BB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9" w:type="dxa"/>
            <w:tcBorders>
              <w:top w:val="nil"/>
              <w:left w:val="nil"/>
              <w:bottom w:val="single" w:sz="4" w:space="0" w:color="auto"/>
              <w:right w:val="nil"/>
            </w:tcBorders>
            <w:shd w:val="clear" w:color="000000" w:fill="FF0000"/>
            <w:vAlign w:val="center"/>
            <w:hideMark/>
          </w:tcPr>
          <w:p w14:paraId="3A77A7C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0000"/>
            <w:vAlign w:val="center"/>
            <w:hideMark/>
          </w:tcPr>
          <w:p w14:paraId="1B6C0B4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0000"/>
            <w:vAlign w:val="center"/>
            <w:hideMark/>
          </w:tcPr>
          <w:p w14:paraId="1AFA87E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0000"/>
            <w:vAlign w:val="center"/>
            <w:hideMark/>
          </w:tcPr>
          <w:p w14:paraId="183C773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0000"/>
            <w:vAlign w:val="center"/>
            <w:hideMark/>
          </w:tcPr>
          <w:p w14:paraId="62B6721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0000"/>
            <w:vAlign w:val="center"/>
            <w:hideMark/>
          </w:tcPr>
          <w:p w14:paraId="0C42BE0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0000"/>
            <w:vAlign w:val="center"/>
            <w:hideMark/>
          </w:tcPr>
          <w:p w14:paraId="77811A29" w14:textId="77777777" w:rsidR="00962754" w:rsidRPr="00B907A3" w:rsidRDefault="00962754" w:rsidP="00962754">
            <w:pPr>
              <w:spacing w:after="0"/>
              <w:jc w:val="center"/>
              <w:rPr>
                <w:rFonts w:ascii="Garamond" w:hAnsi="Garamond" w:cs="Arial"/>
                <w:b/>
                <w:bCs/>
                <w:color w:val="FF0000"/>
                <w:sz w:val="6"/>
                <w:szCs w:val="12"/>
                <w:lang w:eastAsia="en-US"/>
              </w:rPr>
            </w:pPr>
            <w:r w:rsidRPr="00B907A3">
              <w:rPr>
                <w:rFonts w:ascii="Garamond" w:hAnsi="Garamond" w:cs="Arial"/>
                <w:b/>
                <w:bCs/>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FF0000"/>
            <w:vAlign w:val="center"/>
            <w:hideMark/>
          </w:tcPr>
          <w:p w14:paraId="2ED58E4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0000"/>
            <w:vAlign w:val="center"/>
            <w:hideMark/>
          </w:tcPr>
          <w:p w14:paraId="51BF3B1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0000"/>
            <w:vAlign w:val="center"/>
            <w:hideMark/>
          </w:tcPr>
          <w:p w14:paraId="304AB54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D19290E"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706EAD37" w14:textId="77777777" w:rsidTr="00962754">
        <w:trPr>
          <w:trHeight w:val="20"/>
        </w:trPr>
        <w:tc>
          <w:tcPr>
            <w:tcW w:w="718" w:type="dxa"/>
            <w:tcBorders>
              <w:top w:val="nil"/>
              <w:left w:val="single" w:sz="8" w:space="0" w:color="auto"/>
              <w:bottom w:val="nil"/>
              <w:right w:val="single" w:sz="4" w:space="0" w:color="auto"/>
            </w:tcBorders>
            <w:shd w:val="clear" w:color="000000" w:fill="FFF2CC"/>
            <w:hideMark/>
          </w:tcPr>
          <w:p w14:paraId="478B338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1.1</w:t>
            </w:r>
            <w:r w:rsidRPr="00B907A3">
              <w:rPr>
                <w:rFonts w:ascii="Garamond" w:hAnsi="Garamond" w:cs="Arial"/>
                <w:b/>
                <w:bCs/>
                <w:color w:val="000000"/>
                <w:sz w:val="6"/>
                <w:szCs w:val="12"/>
                <w:lang w:eastAsia="en-US"/>
              </w:rPr>
              <w:br/>
              <w:t>Përmirësimi i kuadrit ligjor për menaxhimin e sigurisë rrugore</w:t>
            </w:r>
          </w:p>
        </w:tc>
        <w:tc>
          <w:tcPr>
            <w:tcW w:w="571" w:type="dxa"/>
            <w:tcBorders>
              <w:top w:val="nil"/>
              <w:left w:val="nil"/>
              <w:bottom w:val="single" w:sz="4" w:space="0" w:color="auto"/>
              <w:right w:val="single" w:sz="4" w:space="0" w:color="auto"/>
            </w:tcBorders>
            <w:shd w:val="clear" w:color="auto" w:fill="auto"/>
            <w:hideMark/>
          </w:tcPr>
          <w:p w14:paraId="4245CA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Akt nënligjor për grupin ndërinstitucional për monitorimin e zbatimit të Planit të Veprimit </w:t>
            </w:r>
          </w:p>
        </w:tc>
        <w:tc>
          <w:tcPr>
            <w:tcW w:w="470" w:type="dxa"/>
            <w:tcBorders>
              <w:top w:val="nil"/>
              <w:left w:val="nil"/>
              <w:bottom w:val="nil"/>
              <w:right w:val="nil"/>
            </w:tcBorders>
            <w:shd w:val="clear" w:color="auto" w:fill="auto"/>
            <w:hideMark/>
          </w:tcPr>
          <w:p w14:paraId="0A7154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Numri i nënakteve të miratuar</w:t>
            </w:r>
          </w:p>
        </w:tc>
        <w:tc>
          <w:tcPr>
            <w:tcW w:w="668" w:type="dxa"/>
            <w:tcBorders>
              <w:top w:val="nil"/>
              <w:left w:val="single" w:sz="4" w:space="0" w:color="auto"/>
              <w:bottom w:val="single" w:sz="4" w:space="0" w:color="auto"/>
              <w:right w:val="single" w:sz="4" w:space="0" w:color="auto"/>
            </w:tcBorders>
            <w:shd w:val="clear" w:color="auto" w:fill="auto"/>
            <w:hideMark/>
          </w:tcPr>
          <w:p w14:paraId="38CAA3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KM </w:t>
            </w:r>
          </w:p>
        </w:tc>
        <w:tc>
          <w:tcPr>
            <w:tcW w:w="366" w:type="dxa"/>
            <w:tcBorders>
              <w:top w:val="nil"/>
              <w:left w:val="nil"/>
              <w:bottom w:val="single" w:sz="4" w:space="0" w:color="auto"/>
              <w:right w:val="single" w:sz="4" w:space="0" w:color="auto"/>
            </w:tcBorders>
            <w:shd w:val="clear" w:color="auto" w:fill="auto"/>
            <w:hideMark/>
          </w:tcPr>
          <w:p w14:paraId="50FF99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66" w:type="dxa"/>
            <w:tcBorders>
              <w:top w:val="nil"/>
              <w:left w:val="nil"/>
              <w:bottom w:val="nil"/>
              <w:right w:val="nil"/>
            </w:tcBorders>
            <w:shd w:val="clear" w:color="auto" w:fill="auto"/>
            <w:noWrap/>
            <w:hideMark/>
          </w:tcPr>
          <w:p w14:paraId="78B3C4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w:t>
            </w:r>
          </w:p>
        </w:tc>
        <w:tc>
          <w:tcPr>
            <w:tcW w:w="366" w:type="dxa"/>
            <w:tcBorders>
              <w:top w:val="nil"/>
              <w:left w:val="single" w:sz="4" w:space="0" w:color="auto"/>
              <w:bottom w:val="single" w:sz="4" w:space="0" w:color="auto"/>
              <w:right w:val="single" w:sz="4" w:space="0" w:color="auto"/>
            </w:tcBorders>
            <w:shd w:val="clear" w:color="auto" w:fill="auto"/>
            <w:hideMark/>
          </w:tcPr>
          <w:p w14:paraId="239352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w:t>
            </w:r>
          </w:p>
        </w:tc>
        <w:tc>
          <w:tcPr>
            <w:tcW w:w="359" w:type="dxa"/>
            <w:tcBorders>
              <w:top w:val="nil"/>
              <w:left w:val="nil"/>
              <w:bottom w:val="single" w:sz="4" w:space="0" w:color="auto"/>
              <w:right w:val="single" w:sz="4" w:space="0" w:color="auto"/>
            </w:tcBorders>
            <w:shd w:val="clear" w:color="auto" w:fill="auto"/>
            <w:hideMark/>
          </w:tcPr>
          <w:p w14:paraId="65D210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w:t>
            </w:r>
          </w:p>
        </w:tc>
        <w:tc>
          <w:tcPr>
            <w:tcW w:w="525" w:type="dxa"/>
            <w:tcBorders>
              <w:top w:val="nil"/>
              <w:left w:val="nil"/>
              <w:bottom w:val="nil"/>
              <w:right w:val="nil"/>
            </w:tcBorders>
            <w:shd w:val="clear" w:color="auto" w:fill="auto"/>
            <w:hideMark/>
          </w:tcPr>
          <w:p w14:paraId="46E07F62" w14:textId="3804538C"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p>
        </w:tc>
        <w:tc>
          <w:tcPr>
            <w:tcW w:w="236" w:type="dxa"/>
            <w:tcBorders>
              <w:top w:val="nil"/>
              <w:left w:val="nil"/>
              <w:bottom w:val="single" w:sz="4" w:space="0" w:color="auto"/>
              <w:right w:val="nil"/>
            </w:tcBorders>
            <w:shd w:val="clear" w:color="000000" w:fill="EE0000"/>
            <w:hideMark/>
          </w:tcPr>
          <w:p w14:paraId="2D83B5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FFF2CC"/>
            <w:hideMark/>
          </w:tcPr>
          <w:p w14:paraId="30CE6D77" w14:textId="4D240C51"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1.1.1</w:t>
            </w:r>
            <w:r w:rsidRPr="00B907A3">
              <w:rPr>
                <w:rFonts w:ascii="Garamond" w:hAnsi="Garamond" w:cs="Arial"/>
                <w:b/>
                <w:bCs/>
                <w:color w:val="000000"/>
                <w:sz w:val="6"/>
                <w:szCs w:val="12"/>
                <w:lang w:eastAsia="en-US"/>
              </w:rPr>
              <w:br/>
              <w:t xml:space="preserve">Krijimi dhe funksionimi i Grupit Ndërinstitucional </w:t>
            </w:r>
            <w:r w:rsidR="005C1DD9" w:rsidRPr="00B907A3">
              <w:rPr>
                <w:rFonts w:ascii="Garamond" w:hAnsi="Garamond" w:cs="Arial"/>
                <w:b/>
                <w:bCs/>
                <w:color w:val="000000"/>
                <w:sz w:val="6"/>
                <w:szCs w:val="12"/>
                <w:lang w:eastAsia="en-US"/>
              </w:rPr>
              <w:t>për</w:t>
            </w:r>
            <w:r w:rsidRPr="00B907A3">
              <w:rPr>
                <w:rFonts w:ascii="Garamond" w:hAnsi="Garamond" w:cs="Arial"/>
                <w:b/>
                <w:bCs/>
                <w:color w:val="000000"/>
                <w:sz w:val="6"/>
                <w:szCs w:val="12"/>
                <w:lang w:eastAsia="en-US"/>
              </w:rPr>
              <w:t xml:space="preserve"> monitorimin e zbatimit te PVSSRr</w:t>
            </w:r>
          </w:p>
        </w:tc>
        <w:tc>
          <w:tcPr>
            <w:tcW w:w="520" w:type="dxa"/>
            <w:tcBorders>
              <w:top w:val="nil"/>
              <w:left w:val="nil"/>
              <w:bottom w:val="single" w:sz="4" w:space="0" w:color="auto"/>
              <w:right w:val="single" w:sz="4" w:space="0" w:color="auto"/>
            </w:tcBorders>
            <w:shd w:val="clear" w:color="auto" w:fill="auto"/>
            <w:hideMark/>
          </w:tcPr>
          <w:p w14:paraId="7A4A2D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Institucionet përfaqësuese të grupit ndërinstitucional, udhëhequr nga MIE</w:t>
            </w:r>
          </w:p>
        </w:tc>
        <w:tc>
          <w:tcPr>
            <w:tcW w:w="512" w:type="dxa"/>
            <w:tcBorders>
              <w:top w:val="nil"/>
              <w:left w:val="nil"/>
              <w:bottom w:val="single" w:sz="4" w:space="0" w:color="auto"/>
              <w:right w:val="single" w:sz="4" w:space="0" w:color="auto"/>
            </w:tcBorders>
            <w:shd w:val="clear" w:color="auto" w:fill="auto"/>
            <w:hideMark/>
          </w:tcPr>
          <w:p w14:paraId="0AC7D9BD" w14:textId="7AF94F9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Agjenci të tjera zbatuese të papërfaqësu</w:t>
            </w:r>
            <w:r w:rsidR="005C1DD9">
              <w:rPr>
                <w:rFonts w:ascii="Garamond" w:hAnsi="Garamond" w:cs="Arial"/>
                <w:color w:val="000000"/>
                <w:sz w:val="6"/>
                <w:szCs w:val="12"/>
                <w:lang w:eastAsia="en-US"/>
              </w:rPr>
              <w:t>a</w:t>
            </w:r>
            <w:r w:rsidRPr="00B907A3">
              <w:rPr>
                <w:rFonts w:ascii="Garamond" w:hAnsi="Garamond" w:cs="Arial"/>
                <w:color w:val="000000"/>
                <w:sz w:val="6"/>
                <w:szCs w:val="12"/>
                <w:lang w:eastAsia="en-US"/>
              </w:rPr>
              <w:t>ra në përbërje të grupit dhe janë pjesëmarrëse në PVSSRr.</w:t>
            </w:r>
          </w:p>
        </w:tc>
        <w:tc>
          <w:tcPr>
            <w:tcW w:w="367" w:type="dxa"/>
            <w:tcBorders>
              <w:top w:val="nil"/>
              <w:left w:val="nil"/>
              <w:bottom w:val="single" w:sz="4" w:space="0" w:color="auto"/>
              <w:right w:val="single" w:sz="8" w:space="0" w:color="auto"/>
            </w:tcBorders>
            <w:shd w:val="clear" w:color="auto" w:fill="auto"/>
            <w:hideMark/>
          </w:tcPr>
          <w:p w14:paraId="2FF8D3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4" w:space="0" w:color="auto"/>
              <w:right w:val="single" w:sz="4" w:space="0" w:color="auto"/>
            </w:tcBorders>
            <w:shd w:val="clear" w:color="auto" w:fill="auto"/>
            <w:hideMark/>
          </w:tcPr>
          <w:p w14:paraId="77DC2C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49D15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294687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11B90A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2CACF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98D1F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5FB3F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2B9B3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692A75C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CF429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DF4A2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0D0F7E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26875F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26725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noWrap/>
            <w:hideMark/>
          </w:tcPr>
          <w:p w14:paraId="3A112A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F9039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B0D88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713414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760424E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Urdhër për krijimin e grupit ndërinstitucional të monitorimit të zbatimit të PVSSRr</w:t>
            </w:r>
          </w:p>
        </w:tc>
        <w:tc>
          <w:tcPr>
            <w:tcW w:w="442" w:type="dxa"/>
            <w:tcBorders>
              <w:top w:val="nil"/>
              <w:left w:val="nil"/>
              <w:bottom w:val="single" w:sz="4" w:space="0" w:color="auto"/>
              <w:right w:val="single" w:sz="4" w:space="0" w:color="auto"/>
            </w:tcBorders>
            <w:shd w:val="clear" w:color="auto" w:fill="auto"/>
            <w:hideMark/>
          </w:tcPr>
          <w:p w14:paraId="1807C1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MIE-së </w:t>
            </w:r>
          </w:p>
        </w:tc>
        <w:tc>
          <w:tcPr>
            <w:tcW w:w="287" w:type="dxa"/>
            <w:tcBorders>
              <w:top w:val="nil"/>
              <w:left w:val="nil"/>
              <w:bottom w:val="single" w:sz="4" w:space="0" w:color="auto"/>
              <w:right w:val="single" w:sz="8" w:space="0" w:color="auto"/>
            </w:tcBorders>
            <w:shd w:val="clear" w:color="000000" w:fill="FFFFFF"/>
            <w:hideMark/>
          </w:tcPr>
          <w:p w14:paraId="7C9B00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161650E"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468ACD5"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FF2CC"/>
            <w:hideMark/>
          </w:tcPr>
          <w:p w14:paraId="60F7FCB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24A785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4" w:space="0" w:color="auto"/>
              <w:left w:val="nil"/>
              <w:bottom w:val="single" w:sz="4" w:space="0" w:color="auto"/>
              <w:right w:val="single" w:sz="4" w:space="0" w:color="auto"/>
            </w:tcBorders>
            <w:shd w:val="clear" w:color="auto" w:fill="auto"/>
            <w:hideMark/>
          </w:tcPr>
          <w:p w14:paraId="49BB30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2D31A3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6462CC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single" w:sz="4" w:space="0" w:color="auto"/>
              <w:left w:val="nil"/>
              <w:bottom w:val="single" w:sz="4" w:space="0" w:color="auto"/>
              <w:right w:val="single" w:sz="4" w:space="0" w:color="auto"/>
            </w:tcBorders>
            <w:shd w:val="clear" w:color="auto" w:fill="auto"/>
            <w:hideMark/>
          </w:tcPr>
          <w:p w14:paraId="3D415C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0F7E0B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717DA3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4" w:space="0" w:color="auto"/>
              <w:right w:val="single" w:sz="8" w:space="0" w:color="auto"/>
            </w:tcBorders>
            <w:shd w:val="clear" w:color="auto" w:fill="auto"/>
            <w:hideMark/>
          </w:tcPr>
          <w:p w14:paraId="7BFE7C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6CEF66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373847F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1.1.2</w:t>
            </w:r>
            <w:r w:rsidRPr="00B907A3">
              <w:rPr>
                <w:rFonts w:ascii="Garamond" w:hAnsi="Garamond" w:cs="Arial"/>
                <w:b/>
                <w:bCs/>
                <w:color w:val="000000"/>
                <w:sz w:val="6"/>
                <w:szCs w:val="12"/>
                <w:lang w:eastAsia="en-US"/>
              </w:rPr>
              <w:br/>
              <w:t>Promovimi i SSRr dhe PVSSRr</w:t>
            </w:r>
          </w:p>
        </w:tc>
        <w:tc>
          <w:tcPr>
            <w:tcW w:w="520" w:type="dxa"/>
            <w:tcBorders>
              <w:top w:val="nil"/>
              <w:left w:val="nil"/>
              <w:bottom w:val="single" w:sz="4" w:space="0" w:color="auto"/>
              <w:right w:val="single" w:sz="4" w:space="0" w:color="auto"/>
            </w:tcBorders>
            <w:shd w:val="clear" w:color="auto" w:fill="auto"/>
            <w:hideMark/>
          </w:tcPr>
          <w:p w14:paraId="052DEB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Ministritë përfshirëse të SSR</w:t>
            </w:r>
            <w:r w:rsidRPr="00B907A3">
              <w:rPr>
                <w:rFonts w:ascii="Garamond" w:hAnsi="Garamond" w:cs="Arial"/>
                <w:color w:val="FF0000"/>
                <w:sz w:val="6"/>
                <w:szCs w:val="12"/>
                <w:lang w:eastAsia="en-US"/>
              </w:rPr>
              <w:t xml:space="preserve"> </w:t>
            </w:r>
            <w:r w:rsidRPr="00B907A3">
              <w:rPr>
                <w:rFonts w:ascii="Garamond" w:hAnsi="Garamond" w:cs="Arial"/>
                <w:color w:val="000000"/>
                <w:sz w:val="6"/>
                <w:szCs w:val="12"/>
                <w:lang w:eastAsia="en-US"/>
              </w:rPr>
              <w:t>dhe PV</w:t>
            </w:r>
          </w:p>
        </w:tc>
        <w:tc>
          <w:tcPr>
            <w:tcW w:w="512" w:type="dxa"/>
            <w:tcBorders>
              <w:top w:val="nil"/>
              <w:left w:val="nil"/>
              <w:bottom w:val="single" w:sz="4" w:space="0" w:color="auto"/>
              <w:right w:val="single" w:sz="4" w:space="0" w:color="auto"/>
            </w:tcBorders>
            <w:shd w:val="clear" w:color="auto" w:fill="auto"/>
            <w:hideMark/>
          </w:tcPr>
          <w:p w14:paraId="4DA147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Agjencitë e varësisë të përfshira në SSR dhe</w:t>
            </w:r>
            <w:r w:rsidRPr="00B907A3">
              <w:rPr>
                <w:rFonts w:ascii="Garamond" w:hAnsi="Garamond" w:cs="Arial"/>
                <w:color w:val="FF0000"/>
                <w:sz w:val="6"/>
                <w:szCs w:val="12"/>
                <w:lang w:eastAsia="en-US"/>
              </w:rPr>
              <w:t xml:space="preserve"> </w:t>
            </w:r>
            <w:r w:rsidRPr="00B907A3">
              <w:rPr>
                <w:rFonts w:ascii="Garamond" w:hAnsi="Garamond" w:cs="Arial"/>
                <w:color w:val="000000"/>
                <w:sz w:val="6"/>
                <w:szCs w:val="12"/>
                <w:lang w:eastAsia="en-US"/>
              </w:rPr>
              <w:t>PV</w:t>
            </w:r>
          </w:p>
        </w:tc>
        <w:tc>
          <w:tcPr>
            <w:tcW w:w="367" w:type="dxa"/>
            <w:tcBorders>
              <w:top w:val="nil"/>
              <w:left w:val="nil"/>
              <w:bottom w:val="single" w:sz="4" w:space="0" w:color="auto"/>
              <w:right w:val="single" w:sz="8" w:space="0" w:color="auto"/>
            </w:tcBorders>
            <w:shd w:val="clear" w:color="auto" w:fill="auto"/>
            <w:hideMark/>
          </w:tcPr>
          <w:p w14:paraId="3F4F00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4" w:space="0" w:color="auto"/>
              <w:right w:val="single" w:sz="4" w:space="0" w:color="auto"/>
            </w:tcBorders>
            <w:shd w:val="clear" w:color="auto" w:fill="auto"/>
            <w:hideMark/>
          </w:tcPr>
          <w:p w14:paraId="54CFCA82" w14:textId="77777777" w:rsidR="00962754" w:rsidRPr="00B907A3" w:rsidRDefault="00962754" w:rsidP="00962754">
            <w:pPr>
              <w:spacing w:after="0"/>
              <w:jc w:val="left"/>
              <w:rPr>
                <w:rFonts w:ascii="Garamond" w:hAnsi="Garamond" w:cs="Calibri"/>
                <w:color w:val="000000"/>
                <w:sz w:val="6"/>
                <w:szCs w:val="12"/>
                <w:lang w:eastAsia="en-US"/>
              </w:rPr>
            </w:pPr>
            <w:r w:rsidRPr="00B907A3">
              <w:rPr>
                <w:rFonts w:ascii="Garamond" w:hAnsi="Garamond" w:cs="Calibri"/>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4298BB90" w14:textId="77777777" w:rsidR="00962754" w:rsidRPr="00B907A3" w:rsidRDefault="00962754" w:rsidP="00962754">
            <w:pPr>
              <w:spacing w:after="0"/>
              <w:jc w:val="left"/>
              <w:rPr>
                <w:rFonts w:ascii="Garamond" w:hAnsi="Garamond" w:cs="Calibri"/>
                <w:color w:val="000000"/>
                <w:sz w:val="6"/>
                <w:szCs w:val="12"/>
                <w:lang w:eastAsia="en-US"/>
              </w:rPr>
            </w:pPr>
            <w:r w:rsidRPr="00B907A3">
              <w:rPr>
                <w:rFonts w:ascii="Garamond" w:hAnsi="Garamond" w:cs="Calibri"/>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786051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2213A7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713E3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0FEF4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FFA04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57912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50C2DB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E5929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D8AC5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6FD7FC1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4BF028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73F24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2C5D49B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1E1D5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FC309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184227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3CF63F5F" w14:textId="58340354"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Komunikime mediatike </w:t>
            </w:r>
            <w:r w:rsidR="005C1DD9" w:rsidRPr="00B907A3">
              <w:rPr>
                <w:rFonts w:ascii="Garamond" w:hAnsi="Garamond" w:cs="Arial"/>
                <w:color w:val="000000"/>
                <w:sz w:val="6"/>
                <w:szCs w:val="12"/>
                <w:lang w:eastAsia="en-US"/>
              </w:rPr>
              <w:t>për</w:t>
            </w:r>
            <w:r w:rsidRPr="00B907A3">
              <w:rPr>
                <w:rFonts w:ascii="Garamond" w:hAnsi="Garamond" w:cs="Arial"/>
                <w:color w:val="000000"/>
                <w:sz w:val="6"/>
                <w:szCs w:val="12"/>
                <w:lang w:eastAsia="en-US"/>
              </w:rPr>
              <w:t xml:space="preserve"> SSR dhe PV, aktivitete të ndërlidhura, komunikime në rrjete sociale etj.</w:t>
            </w:r>
          </w:p>
        </w:tc>
        <w:tc>
          <w:tcPr>
            <w:tcW w:w="442" w:type="dxa"/>
            <w:tcBorders>
              <w:top w:val="nil"/>
              <w:left w:val="nil"/>
              <w:bottom w:val="single" w:sz="4" w:space="0" w:color="auto"/>
              <w:right w:val="single" w:sz="4" w:space="0" w:color="auto"/>
            </w:tcBorders>
            <w:shd w:val="clear" w:color="auto" w:fill="auto"/>
            <w:hideMark/>
          </w:tcPr>
          <w:p w14:paraId="4DEA06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DPSHTRR-së</w:t>
            </w:r>
          </w:p>
        </w:tc>
        <w:tc>
          <w:tcPr>
            <w:tcW w:w="287" w:type="dxa"/>
            <w:tcBorders>
              <w:top w:val="nil"/>
              <w:left w:val="nil"/>
              <w:bottom w:val="single" w:sz="4" w:space="0" w:color="auto"/>
              <w:right w:val="single" w:sz="8" w:space="0" w:color="auto"/>
            </w:tcBorders>
            <w:shd w:val="clear" w:color="000000" w:fill="FFFFFF"/>
            <w:hideMark/>
          </w:tcPr>
          <w:p w14:paraId="25F86D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68917F3"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DBA86C0"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FFF2CC"/>
            <w:hideMark/>
          </w:tcPr>
          <w:p w14:paraId="0EBB1BE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3B2A53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61CF1C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617D3C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C8F1FA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9BE4E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4D419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67EE6B4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409701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7C1AA8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FFF2CC"/>
            <w:hideMark/>
          </w:tcPr>
          <w:p w14:paraId="25B60DC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543A38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hideMark/>
          </w:tcPr>
          <w:p w14:paraId="589721E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38FB8D3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565D7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F1351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31900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1421C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405AEFB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BAAB1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E7862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B7827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5B8832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2F7D3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486E93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551AFA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0715EB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EE7A04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46FD7B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057782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4D9B1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3E7488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179839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auto" w:fill="auto"/>
            <w:hideMark/>
          </w:tcPr>
          <w:p w14:paraId="45E4B9F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hideMark/>
          </w:tcPr>
          <w:p w14:paraId="72BE96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49D3302"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7BD331B9" w14:textId="77777777" w:rsidTr="00962754">
        <w:trPr>
          <w:trHeight w:val="20"/>
        </w:trPr>
        <w:tc>
          <w:tcPr>
            <w:tcW w:w="718" w:type="dxa"/>
            <w:tcBorders>
              <w:top w:val="nil"/>
              <w:left w:val="single" w:sz="8" w:space="0" w:color="auto"/>
              <w:bottom w:val="nil"/>
              <w:right w:val="single" w:sz="4" w:space="0" w:color="auto"/>
            </w:tcBorders>
            <w:shd w:val="clear" w:color="000000" w:fill="FFF2CC"/>
            <w:hideMark/>
          </w:tcPr>
          <w:p w14:paraId="27D06857" w14:textId="16EF6506"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1.2 </w:t>
            </w:r>
            <w:r w:rsidRPr="00B907A3">
              <w:rPr>
                <w:rFonts w:ascii="Garamond" w:hAnsi="Garamond" w:cs="Arial"/>
                <w:b/>
                <w:bCs/>
                <w:color w:val="000000"/>
                <w:sz w:val="6"/>
                <w:szCs w:val="12"/>
                <w:lang w:eastAsia="en-US"/>
              </w:rPr>
              <w:br/>
              <w:t>Përmirësimi i kapaciteteve institucionale për sigurinë rrugore</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(punë kërkimore)</w:t>
            </w:r>
          </w:p>
        </w:tc>
        <w:tc>
          <w:tcPr>
            <w:tcW w:w="571" w:type="dxa"/>
            <w:tcBorders>
              <w:top w:val="nil"/>
              <w:left w:val="nil"/>
              <w:bottom w:val="single" w:sz="4" w:space="0" w:color="auto"/>
              <w:right w:val="single" w:sz="4" w:space="0" w:color="auto"/>
            </w:tcBorders>
            <w:shd w:val="clear" w:color="auto" w:fill="auto"/>
            <w:hideMark/>
          </w:tcPr>
          <w:p w14:paraId="013F9D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00849E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7ABD8F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547CA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E2520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16298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2E8F02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3F6DDB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7487200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FFF2CC"/>
            <w:hideMark/>
          </w:tcPr>
          <w:p w14:paraId="7EE4F1C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1.2.1</w:t>
            </w:r>
            <w:r w:rsidRPr="00B907A3">
              <w:rPr>
                <w:rFonts w:ascii="Garamond" w:hAnsi="Garamond" w:cs="Arial"/>
                <w:b/>
                <w:bCs/>
                <w:color w:val="000000"/>
                <w:sz w:val="6"/>
                <w:szCs w:val="12"/>
                <w:lang w:eastAsia="en-US"/>
              </w:rPr>
              <w:br/>
              <w:t>Përmirësimi i punës kërkimore-shkencore lidhur me SRr (kuptim më i thellë i rreziqeve të sigurisë rrugore) dhe transferimi i njohurive te aktorët kyç të SRr</w:t>
            </w:r>
          </w:p>
        </w:tc>
        <w:tc>
          <w:tcPr>
            <w:tcW w:w="520" w:type="dxa"/>
            <w:tcBorders>
              <w:top w:val="nil"/>
              <w:left w:val="nil"/>
              <w:bottom w:val="single" w:sz="4" w:space="0" w:color="auto"/>
              <w:right w:val="single" w:sz="4" w:space="0" w:color="auto"/>
            </w:tcBorders>
            <w:shd w:val="clear" w:color="auto" w:fill="auto"/>
            <w:hideMark/>
          </w:tcPr>
          <w:p w14:paraId="301B55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AKKSHI</w:t>
            </w:r>
          </w:p>
        </w:tc>
        <w:tc>
          <w:tcPr>
            <w:tcW w:w="512" w:type="dxa"/>
            <w:tcBorders>
              <w:top w:val="nil"/>
              <w:left w:val="nil"/>
              <w:bottom w:val="nil"/>
              <w:right w:val="single" w:sz="4" w:space="0" w:color="auto"/>
            </w:tcBorders>
            <w:shd w:val="clear" w:color="auto" w:fill="auto"/>
            <w:hideMark/>
          </w:tcPr>
          <w:p w14:paraId="23BD2737" w14:textId="3EDA51A8"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Universitetet, IT,</w:t>
            </w:r>
            <w:r w:rsidR="005C1DD9">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DPSH,</w:t>
            </w:r>
            <w:r w:rsidR="005C1DD9">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OJQ</w:t>
            </w:r>
          </w:p>
        </w:tc>
        <w:tc>
          <w:tcPr>
            <w:tcW w:w="367" w:type="dxa"/>
            <w:tcBorders>
              <w:top w:val="nil"/>
              <w:left w:val="nil"/>
              <w:bottom w:val="single" w:sz="4" w:space="0" w:color="auto"/>
              <w:right w:val="single" w:sz="8" w:space="0" w:color="auto"/>
            </w:tcBorders>
            <w:shd w:val="clear" w:color="auto" w:fill="auto"/>
            <w:hideMark/>
          </w:tcPr>
          <w:p w14:paraId="2A963D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60D36C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5359</w:t>
            </w:r>
          </w:p>
        </w:tc>
        <w:tc>
          <w:tcPr>
            <w:tcW w:w="372" w:type="dxa"/>
            <w:tcBorders>
              <w:top w:val="nil"/>
              <w:left w:val="nil"/>
              <w:bottom w:val="single" w:sz="4" w:space="0" w:color="auto"/>
              <w:right w:val="single" w:sz="4" w:space="0" w:color="auto"/>
            </w:tcBorders>
            <w:shd w:val="clear" w:color="auto" w:fill="auto"/>
            <w:hideMark/>
          </w:tcPr>
          <w:p w14:paraId="29F12A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24063C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5359</w:t>
            </w:r>
          </w:p>
        </w:tc>
        <w:tc>
          <w:tcPr>
            <w:tcW w:w="618" w:type="dxa"/>
            <w:tcBorders>
              <w:top w:val="nil"/>
              <w:left w:val="nil"/>
              <w:bottom w:val="single" w:sz="4" w:space="0" w:color="auto"/>
              <w:right w:val="single" w:sz="4" w:space="0" w:color="auto"/>
            </w:tcBorders>
            <w:shd w:val="clear" w:color="auto" w:fill="auto"/>
            <w:hideMark/>
          </w:tcPr>
          <w:p w14:paraId="1E4CAB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E4F0C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2359</w:t>
            </w:r>
          </w:p>
        </w:tc>
        <w:tc>
          <w:tcPr>
            <w:tcW w:w="605" w:type="dxa"/>
            <w:tcBorders>
              <w:top w:val="nil"/>
              <w:left w:val="nil"/>
              <w:bottom w:val="single" w:sz="4" w:space="0" w:color="auto"/>
              <w:right w:val="single" w:sz="8" w:space="0" w:color="auto"/>
            </w:tcBorders>
            <w:shd w:val="clear" w:color="auto" w:fill="auto"/>
            <w:hideMark/>
          </w:tcPr>
          <w:p w14:paraId="399F64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3000</w:t>
            </w:r>
          </w:p>
        </w:tc>
        <w:tc>
          <w:tcPr>
            <w:tcW w:w="372" w:type="dxa"/>
            <w:tcBorders>
              <w:top w:val="nil"/>
              <w:left w:val="nil"/>
              <w:bottom w:val="single" w:sz="4" w:space="0" w:color="auto"/>
              <w:right w:val="single" w:sz="4" w:space="0" w:color="auto"/>
            </w:tcBorders>
            <w:shd w:val="clear" w:color="auto" w:fill="auto"/>
            <w:hideMark/>
          </w:tcPr>
          <w:p w14:paraId="32E78E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72" w:type="dxa"/>
            <w:tcBorders>
              <w:top w:val="nil"/>
              <w:left w:val="nil"/>
              <w:bottom w:val="single" w:sz="4" w:space="0" w:color="auto"/>
              <w:right w:val="single" w:sz="4" w:space="0" w:color="auto"/>
            </w:tcBorders>
            <w:shd w:val="clear" w:color="auto" w:fill="auto"/>
            <w:hideMark/>
          </w:tcPr>
          <w:p w14:paraId="7857A1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54E0BA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82" w:type="dxa"/>
            <w:tcBorders>
              <w:top w:val="nil"/>
              <w:left w:val="nil"/>
              <w:bottom w:val="single" w:sz="4" w:space="0" w:color="auto"/>
              <w:right w:val="single" w:sz="4" w:space="0" w:color="auto"/>
            </w:tcBorders>
            <w:shd w:val="clear" w:color="auto" w:fill="auto"/>
            <w:hideMark/>
          </w:tcPr>
          <w:p w14:paraId="4C586F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77BFEB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18CBAF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72" w:type="dxa"/>
            <w:tcBorders>
              <w:top w:val="nil"/>
              <w:left w:val="single" w:sz="8" w:space="0" w:color="auto"/>
              <w:bottom w:val="single" w:sz="4" w:space="0" w:color="auto"/>
              <w:right w:val="single" w:sz="4" w:space="0" w:color="auto"/>
            </w:tcBorders>
            <w:shd w:val="clear" w:color="auto" w:fill="auto"/>
            <w:hideMark/>
          </w:tcPr>
          <w:p w14:paraId="5914F2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72" w:type="dxa"/>
            <w:tcBorders>
              <w:top w:val="nil"/>
              <w:left w:val="nil"/>
              <w:bottom w:val="single" w:sz="4" w:space="0" w:color="auto"/>
              <w:right w:val="single" w:sz="4" w:space="0" w:color="auto"/>
            </w:tcBorders>
            <w:shd w:val="clear" w:color="auto" w:fill="auto"/>
            <w:hideMark/>
          </w:tcPr>
          <w:p w14:paraId="13A57B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4E7AA6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82" w:type="dxa"/>
            <w:tcBorders>
              <w:top w:val="nil"/>
              <w:left w:val="nil"/>
              <w:bottom w:val="single" w:sz="4" w:space="0" w:color="auto"/>
              <w:right w:val="single" w:sz="4" w:space="0" w:color="auto"/>
            </w:tcBorders>
            <w:shd w:val="clear" w:color="auto" w:fill="auto"/>
            <w:hideMark/>
          </w:tcPr>
          <w:p w14:paraId="524BD4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4233B3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5485B2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464" w:type="dxa"/>
            <w:tcBorders>
              <w:top w:val="nil"/>
              <w:left w:val="nil"/>
              <w:bottom w:val="nil"/>
              <w:right w:val="nil"/>
            </w:tcBorders>
            <w:shd w:val="clear" w:color="auto" w:fill="auto"/>
            <w:hideMark/>
          </w:tcPr>
          <w:p w14:paraId="281A58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Numri i kërkimeve për SRr të kryera </w:t>
            </w:r>
          </w:p>
        </w:tc>
        <w:tc>
          <w:tcPr>
            <w:tcW w:w="442" w:type="dxa"/>
            <w:tcBorders>
              <w:top w:val="nil"/>
              <w:left w:val="single" w:sz="4" w:space="0" w:color="auto"/>
              <w:bottom w:val="single" w:sz="4" w:space="0" w:color="auto"/>
              <w:right w:val="single" w:sz="4" w:space="0" w:color="auto"/>
            </w:tcBorders>
            <w:shd w:val="clear" w:color="auto" w:fill="auto"/>
            <w:hideMark/>
          </w:tcPr>
          <w:p w14:paraId="15BE8E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MA</w:t>
            </w:r>
          </w:p>
        </w:tc>
        <w:tc>
          <w:tcPr>
            <w:tcW w:w="287" w:type="dxa"/>
            <w:tcBorders>
              <w:top w:val="nil"/>
              <w:left w:val="nil"/>
              <w:bottom w:val="single" w:sz="4" w:space="0" w:color="auto"/>
              <w:right w:val="single" w:sz="8" w:space="0" w:color="auto"/>
            </w:tcBorders>
            <w:shd w:val="clear" w:color="000000" w:fill="FFFFFF"/>
            <w:hideMark/>
          </w:tcPr>
          <w:p w14:paraId="4A5CAE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08F7D9F"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BAF7F40"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FFF2CC"/>
            <w:hideMark/>
          </w:tcPr>
          <w:p w14:paraId="702774C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34B8BA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2DCC66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157523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9EDFF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A7365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805EB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262B21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5F9DB21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3FC747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5B01484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5B3DE271"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512" w:type="dxa"/>
            <w:tcBorders>
              <w:top w:val="single" w:sz="4" w:space="0" w:color="auto"/>
              <w:left w:val="nil"/>
              <w:bottom w:val="nil"/>
              <w:right w:val="single" w:sz="4" w:space="0" w:color="auto"/>
            </w:tcBorders>
            <w:shd w:val="clear" w:color="auto" w:fill="auto"/>
            <w:hideMark/>
          </w:tcPr>
          <w:p w14:paraId="7024FA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55A7AD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CC6E78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5AE29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558370B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E8782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FAE21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6353F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3E3B2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13D4B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2780D2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40DD1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713231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2D9D2F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023A71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7283A1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7D4A47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25B239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41589B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7F55D7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single" w:sz="4" w:space="0" w:color="auto"/>
              <w:left w:val="nil"/>
              <w:bottom w:val="single" w:sz="4" w:space="0" w:color="auto"/>
              <w:right w:val="single" w:sz="4" w:space="0" w:color="auto"/>
            </w:tcBorders>
            <w:shd w:val="clear" w:color="auto" w:fill="auto"/>
            <w:hideMark/>
          </w:tcPr>
          <w:p w14:paraId="1B2A0C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auto" w:fill="auto"/>
            <w:hideMark/>
          </w:tcPr>
          <w:p w14:paraId="37225E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hideMark/>
          </w:tcPr>
          <w:p w14:paraId="3C8230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98197F5"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8C6F50F"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FFF2CC"/>
            <w:hideMark/>
          </w:tcPr>
          <w:p w14:paraId="06B18DA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1.3</w:t>
            </w:r>
            <w:r w:rsidRPr="00B907A3">
              <w:rPr>
                <w:rFonts w:ascii="Garamond" w:hAnsi="Garamond" w:cs="Arial"/>
                <w:b/>
                <w:bCs/>
                <w:color w:val="000000"/>
                <w:sz w:val="6"/>
                <w:szCs w:val="12"/>
                <w:lang w:eastAsia="en-US"/>
              </w:rPr>
              <w:br/>
              <w:t>Përmirësimi i komunikimit, koordinimit dhe bashkëpunimit të aktorëve kyç të sigurisë rrugore</w:t>
            </w:r>
          </w:p>
        </w:tc>
        <w:tc>
          <w:tcPr>
            <w:tcW w:w="571" w:type="dxa"/>
            <w:tcBorders>
              <w:top w:val="nil"/>
              <w:left w:val="nil"/>
              <w:bottom w:val="single" w:sz="4" w:space="0" w:color="auto"/>
              <w:right w:val="single" w:sz="4" w:space="0" w:color="auto"/>
            </w:tcBorders>
            <w:shd w:val="clear" w:color="auto" w:fill="auto"/>
            <w:hideMark/>
          </w:tcPr>
          <w:p w14:paraId="6493D326" w14:textId="0DDE0602"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Grupi Ndër-Institucional i Punës</w:t>
            </w:r>
            <w:r w:rsidR="00887CC6">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operacional dhe aktiv</w:t>
            </w:r>
          </w:p>
        </w:tc>
        <w:tc>
          <w:tcPr>
            <w:tcW w:w="470" w:type="dxa"/>
            <w:tcBorders>
              <w:top w:val="nil"/>
              <w:left w:val="nil"/>
              <w:bottom w:val="single" w:sz="4" w:space="0" w:color="auto"/>
              <w:right w:val="single" w:sz="4" w:space="0" w:color="auto"/>
            </w:tcBorders>
            <w:shd w:val="clear" w:color="auto" w:fill="auto"/>
            <w:hideMark/>
          </w:tcPr>
          <w:p w14:paraId="16183B57" w14:textId="1A00E4A5"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3AA9269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063B1C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24CA78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0677A1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367054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w:t>
            </w:r>
          </w:p>
        </w:tc>
        <w:tc>
          <w:tcPr>
            <w:tcW w:w="525" w:type="dxa"/>
            <w:tcBorders>
              <w:top w:val="nil"/>
              <w:left w:val="nil"/>
              <w:bottom w:val="single" w:sz="4" w:space="0" w:color="auto"/>
              <w:right w:val="single" w:sz="8" w:space="0" w:color="auto"/>
            </w:tcBorders>
            <w:shd w:val="clear" w:color="auto" w:fill="auto"/>
            <w:hideMark/>
          </w:tcPr>
          <w:p w14:paraId="0E761C47" w14:textId="11973B82"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w:t>
            </w:r>
            <w:r w:rsidR="005C1DD9">
              <w:rPr>
                <w:rFonts w:ascii="Garamond" w:hAnsi="Garamond" w:cs="Arial"/>
                <w:color w:val="000000"/>
                <w:sz w:val="6"/>
                <w:szCs w:val="12"/>
                <w:lang w:eastAsia="en-US"/>
              </w:rPr>
              <w:t xml:space="preserve">ortimi i </w:t>
            </w:r>
            <w:r w:rsidR="005C1DD9">
              <w:rPr>
                <w:rFonts w:ascii="Garamond" w:hAnsi="Garamond" w:cs="Arial"/>
                <w:color w:val="000000"/>
                <w:sz w:val="6"/>
                <w:szCs w:val="12"/>
                <w:lang w:eastAsia="en-US"/>
              </w:rPr>
              <w:br/>
              <w:t>MIE-s</w:t>
            </w:r>
          </w:p>
        </w:tc>
        <w:tc>
          <w:tcPr>
            <w:tcW w:w="236" w:type="dxa"/>
            <w:tcBorders>
              <w:top w:val="nil"/>
              <w:left w:val="nil"/>
              <w:bottom w:val="single" w:sz="4" w:space="0" w:color="auto"/>
              <w:right w:val="nil"/>
            </w:tcBorders>
            <w:shd w:val="clear" w:color="000000" w:fill="EE0000"/>
            <w:hideMark/>
          </w:tcPr>
          <w:p w14:paraId="64279B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5E72F6B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1.3.1</w:t>
            </w:r>
            <w:r w:rsidRPr="00B907A3">
              <w:rPr>
                <w:rFonts w:ascii="Garamond" w:hAnsi="Garamond" w:cs="Arial"/>
                <w:b/>
                <w:bCs/>
                <w:color w:val="000000"/>
                <w:sz w:val="6"/>
                <w:szCs w:val="12"/>
                <w:lang w:eastAsia="en-US"/>
              </w:rPr>
              <w:br/>
              <w:t>Funksionimi i GPNI (Monitorimi i zbatimit të PV)</w:t>
            </w:r>
          </w:p>
        </w:tc>
        <w:tc>
          <w:tcPr>
            <w:tcW w:w="520" w:type="dxa"/>
            <w:tcBorders>
              <w:top w:val="nil"/>
              <w:left w:val="nil"/>
              <w:bottom w:val="single" w:sz="4" w:space="0" w:color="auto"/>
              <w:right w:val="single" w:sz="4" w:space="0" w:color="auto"/>
            </w:tcBorders>
            <w:shd w:val="clear" w:color="auto" w:fill="auto"/>
            <w:hideMark/>
          </w:tcPr>
          <w:p w14:paraId="7B70AE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Institucionet përfaqësuese të grupit ndërinstitucional</w:t>
            </w:r>
          </w:p>
        </w:tc>
        <w:tc>
          <w:tcPr>
            <w:tcW w:w="512" w:type="dxa"/>
            <w:tcBorders>
              <w:top w:val="single" w:sz="4" w:space="0" w:color="auto"/>
              <w:left w:val="nil"/>
              <w:bottom w:val="single" w:sz="4" w:space="0" w:color="auto"/>
              <w:right w:val="single" w:sz="4" w:space="0" w:color="auto"/>
            </w:tcBorders>
            <w:shd w:val="clear" w:color="auto" w:fill="auto"/>
            <w:hideMark/>
          </w:tcPr>
          <w:p w14:paraId="2CDF043A" w14:textId="5E709BCF"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Agjenci të tjera zbatuese të papërfaqësu</w:t>
            </w:r>
            <w:r w:rsidR="005C1DD9">
              <w:rPr>
                <w:rFonts w:ascii="Garamond" w:hAnsi="Garamond" w:cs="Arial"/>
                <w:color w:val="000000"/>
                <w:sz w:val="6"/>
                <w:szCs w:val="12"/>
                <w:lang w:eastAsia="en-US"/>
              </w:rPr>
              <w:t>a</w:t>
            </w:r>
            <w:r w:rsidRPr="00B907A3">
              <w:rPr>
                <w:rFonts w:ascii="Garamond" w:hAnsi="Garamond" w:cs="Arial"/>
                <w:color w:val="000000"/>
                <w:sz w:val="6"/>
                <w:szCs w:val="12"/>
                <w:lang w:eastAsia="en-US"/>
              </w:rPr>
              <w:t>ra në përbërje të grupit dhe janë pjesëmarrëse në PVSSRr</w:t>
            </w:r>
          </w:p>
        </w:tc>
        <w:tc>
          <w:tcPr>
            <w:tcW w:w="367" w:type="dxa"/>
            <w:tcBorders>
              <w:top w:val="nil"/>
              <w:left w:val="nil"/>
              <w:bottom w:val="single" w:sz="4" w:space="0" w:color="auto"/>
              <w:right w:val="single" w:sz="8" w:space="0" w:color="auto"/>
            </w:tcBorders>
            <w:shd w:val="clear" w:color="auto" w:fill="auto"/>
            <w:hideMark/>
          </w:tcPr>
          <w:p w14:paraId="02B1ED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7EE0E1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142844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67E5C4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4BF68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E14D7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098C6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00660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3F9F8F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674234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71F68A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A31CE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03CC20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49104E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1A7D5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6EAF1E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4F4335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606E3E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006957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644D274D" w14:textId="26D2F871"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Grupi i Punës operacional, mbledhje periodike</w:t>
            </w:r>
            <w:r w:rsidR="00887CC6">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(2 herë në vit)</w:t>
            </w:r>
          </w:p>
        </w:tc>
        <w:tc>
          <w:tcPr>
            <w:tcW w:w="442" w:type="dxa"/>
            <w:tcBorders>
              <w:top w:val="nil"/>
              <w:left w:val="nil"/>
              <w:bottom w:val="single" w:sz="4" w:space="0" w:color="auto"/>
              <w:right w:val="single" w:sz="4" w:space="0" w:color="auto"/>
            </w:tcBorders>
            <w:shd w:val="clear" w:color="auto" w:fill="auto"/>
            <w:hideMark/>
          </w:tcPr>
          <w:p w14:paraId="7EE9A2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MIE-së</w:t>
            </w:r>
          </w:p>
        </w:tc>
        <w:tc>
          <w:tcPr>
            <w:tcW w:w="287" w:type="dxa"/>
            <w:tcBorders>
              <w:top w:val="nil"/>
              <w:left w:val="nil"/>
              <w:bottom w:val="single" w:sz="4" w:space="0" w:color="auto"/>
              <w:right w:val="single" w:sz="8" w:space="0" w:color="auto"/>
            </w:tcBorders>
            <w:shd w:val="clear" w:color="000000" w:fill="FFFFFF"/>
            <w:hideMark/>
          </w:tcPr>
          <w:p w14:paraId="640120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A3A471D"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7411F0CD"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FFF2CC"/>
            <w:hideMark/>
          </w:tcPr>
          <w:p w14:paraId="13B40BE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7D3973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Krijimi i grupeve të ekspertëve lokalë në 12 prefekturat</w:t>
            </w:r>
          </w:p>
        </w:tc>
        <w:tc>
          <w:tcPr>
            <w:tcW w:w="470" w:type="dxa"/>
            <w:tcBorders>
              <w:top w:val="nil"/>
              <w:left w:val="nil"/>
              <w:bottom w:val="single" w:sz="4" w:space="0" w:color="auto"/>
              <w:right w:val="single" w:sz="4" w:space="0" w:color="auto"/>
            </w:tcBorders>
            <w:shd w:val="clear" w:color="auto" w:fill="auto"/>
            <w:hideMark/>
          </w:tcPr>
          <w:p w14:paraId="200C67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Numri i </w:t>
            </w:r>
            <w:r w:rsidRPr="00B907A3">
              <w:rPr>
                <w:rFonts w:ascii="Garamond" w:hAnsi="Garamond" w:cs="Arial"/>
                <w:color w:val="000000"/>
                <w:sz w:val="6"/>
                <w:szCs w:val="12"/>
                <w:lang w:eastAsia="en-US"/>
              </w:rPr>
              <w:br/>
              <w:t>grupeve</w:t>
            </w:r>
          </w:p>
        </w:tc>
        <w:tc>
          <w:tcPr>
            <w:tcW w:w="668" w:type="dxa"/>
            <w:tcBorders>
              <w:top w:val="nil"/>
              <w:left w:val="nil"/>
              <w:bottom w:val="single" w:sz="4" w:space="0" w:color="auto"/>
              <w:right w:val="single" w:sz="4" w:space="0" w:color="auto"/>
            </w:tcBorders>
            <w:shd w:val="clear" w:color="auto" w:fill="auto"/>
            <w:hideMark/>
          </w:tcPr>
          <w:p w14:paraId="16FD68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Prefektura</w:t>
            </w:r>
          </w:p>
        </w:tc>
        <w:tc>
          <w:tcPr>
            <w:tcW w:w="366" w:type="dxa"/>
            <w:tcBorders>
              <w:top w:val="nil"/>
              <w:left w:val="nil"/>
              <w:bottom w:val="single" w:sz="4" w:space="0" w:color="auto"/>
              <w:right w:val="single" w:sz="4" w:space="0" w:color="auto"/>
            </w:tcBorders>
            <w:shd w:val="clear" w:color="auto" w:fill="auto"/>
            <w:hideMark/>
          </w:tcPr>
          <w:p w14:paraId="1292E4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2846DF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w:t>
            </w:r>
          </w:p>
        </w:tc>
        <w:tc>
          <w:tcPr>
            <w:tcW w:w="366" w:type="dxa"/>
            <w:tcBorders>
              <w:top w:val="nil"/>
              <w:left w:val="nil"/>
              <w:bottom w:val="single" w:sz="4" w:space="0" w:color="auto"/>
              <w:right w:val="single" w:sz="4" w:space="0" w:color="auto"/>
            </w:tcBorders>
            <w:shd w:val="clear" w:color="auto" w:fill="auto"/>
            <w:hideMark/>
          </w:tcPr>
          <w:p w14:paraId="41F3EC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w:t>
            </w:r>
          </w:p>
        </w:tc>
        <w:tc>
          <w:tcPr>
            <w:tcW w:w="359" w:type="dxa"/>
            <w:tcBorders>
              <w:top w:val="nil"/>
              <w:left w:val="nil"/>
              <w:bottom w:val="single" w:sz="4" w:space="0" w:color="auto"/>
              <w:right w:val="single" w:sz="4" w:space="0" w:color="auto"/>
            </w:tcBorders>
            <w:shd w:val="clear" w:color="auto" w:fill="auto"/>
            <w:hideMark/>
          </w:tcPr>
          <w:p w14:paraId="45B251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w:t>
            </w:r>
          </w:p>
        </w:tc>
        <w:tc>
          <w:tcPr>
            <w:tcW w:w="525" w:type="dxa"/>
            <w:tcBorders>
              <w:top w:val="nil"/>
              <w:left w:val="nil"/>
              <w:bottom w:val="nil"/>
              <w:right w:val="single" w:sz="8" w:space="0" w:color="auto"/>
            </w:tcBorders>
            <w:shd w:val="clear" w:color="auto" w:fill="auto"/>
            <w:hideMark/>
          </w:tcPr>
          <w:p w14:paraId="64F1A6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w:t>
            </w:r>
            <w:r w:rsidRPr="00B907A3">
              <w:rPr>
                <w:rFonts w:ascii="Garamond" w:hAnsi="Garamond" w:cs="Arial"/>
                <w:color w:val="000000"/>
                <w:sz w:val="6"/>
                <w:szCs w:val="12"/>
                <w:lang w:eastAsia="en-US"/>
              </w:rPr>
              <w:br/>
              <w:t>prefekturës</w:t>
            </w:r>
          </w:p>
        </w:tc>
        <w:tc>
          <w:tcPr>
            <w:tcW w:w="236" w:type="dxa"/>
            <w:tcBorders>
              <w:top w:val="nil"/>
              <w:left w:val="nil"/>
              <w:bottom w:val="single" w:sz="4" w:space="0" w:color="auto"/>
              <w:right w:val="nil"/>
            </w:tcBorders>
            <w:shd w:val="clear" w:color="000000" w:fill="EE0000"/>
            <w:hideMark/>
          </w:tcPr>
          <w:p w14:paraId="25947F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4CF33CE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1.3.2</w:t>
            </w:r>
            <w:r w:rsidRPr="00B907A3">
              <w:rPr>
                <w:rFonts w:ascii="Garamond" w:hAnsi="Garamond" w:cs="Arial"/>
                <w:b/>
                <w:bCs/>
                <w:color w:val="000000"/>
                <w:sz w:val="6"/>
                <w:szCs w:val="12"/>
                <w:lang w:eastAsia="en-US"/>
              </w:rPr>
              <w:br/>
              <w:t>Funksionimi i grupeve lokale të SRr për propozime masash përmirësuese me kosto të mesme/të ulëta</w:t>
            </w:r>
          </w:p>
        </w:tc>
        <w:tc>
          <w:tcPr>
            <w:tcW w:w="520" w:type="dxa"/>
            <w:tcBorders>
              <w:top w:val="nil"/>
              <w:left w:val="nil"/>
              <w:bottom w:val="single" w:sz="4" w:space="0" w:color="auto"/>
              <w:right w:val="single" w:sz="4" w:space="0" w:color="auto"/>
            </w:tcBorders>
            <w:shd w:val="clear" w:color="auto" w:fill="auto"/>
            <w:hideMark/>
          </w:tcPr>
          <w:p w14:paraId="2A7566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Prefekturat</w:t>
            </w:r>
          </w:p>
        </w:tc>
        <w:tc>
          <w:tcPr>
            <w:tcW w:w="512" w:type="dxa"/>
            <w:tcBorders>
              <w:top w:val="nil"/>
              <w:left w:val="nil"/>
              <w:bottom w:val="nil"/>
              <w:right w:val="single" w:sz="4" w:space="0" w:color="auto"/>
            </w:tcBorders>
            <w:shd w:val="clear" w:color="auto" w:fill="auto"/>
            <w:hideMark/>
          </w:tcPr>
          <w:p w14:paraId="74FA84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MSHPV/AMVV</w:t>
            </w:r>
          </w:p>
        </w:tc>
        <w:tc>
          <w:tcPr>
            <w:tcW w:w="367" w:type="dxa"/>
            <w:tcBorders>
              <w:top w:val="nil"/>
              <w:left w:val="nil"/>
              <w:bottom w:val="single" w:sz="4" w:space="0" w:color="auto"/>
              <w:right w:val="single" w:sz="8" w:space="0" w:color="auto"/>
            </w:tcBorders>
            <w:shd w:val="clear" w:color="auto" w:fill="auto"/>
            <w:hideMark/>
          </w:tcPr>
          <w:p w14:paraId="49BD5D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nil"/>
              <w:right w:val="single" w:sz="4" w:space="0" w:color="auto"/>
            </w:tcBorders>
            <w:shd w:val="clear" w:color="auto" w:fill="auto"/>
            <w:hideMark/>
          </w:tcPr>
          <w:p w14:paraId="00B192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nil"/>
              <w:right w:val="single" w:sz="4" w:space="0" w:color="auto"/>
            </w:tcBorders>
            <w:shd w:val="clear" w:color="auto" w:fill="auto"/>
            <w:hideMark/>
          </w:tcPr>
          <w:p w14:paraId="374AC9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4B2F2F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6C4E7A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9AE29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496ADF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41F29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A75B5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70C6A5C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0FD2A28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EB1E9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2A62AE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26CFD5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0E48283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013C0E1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77F64E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F31F1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7A16A0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51233242" w14:textId="21570B94"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Mbledhje periodike te 12 grupeve lokale të punës</w:t>
            </w:r>
            <w:r w:rsidR="00887CC6">
              <w:rPr>
                <w:rFonts w:ascii="Garamond" w:hAnsi="Garamond" w:cs="Arial"/>
                <w:color w:val="000000"/>
                <w:sz w:val="6"/>
                <w:szCs w:val="12"/>
                <w:lang w:eastAsia="en-US"/>
              </w:rPr>
              <w:t xml:space="preserve"> </w:t>
            </w:r>
          </w:p>
        </w:tc>
        <w:tc>
          <w:tcPr>
            <w:tcW w:w="442" w:type="dxa"/>
            <w:tcBorders>
              <w:top w:val="nil"/>
              <w:left w:val="nil"/>
              <w:bottom w:val="single" w:sz="4" w:space="0" w:color="auto"/>
              <w:right w:val="single" w:sz="4" w:space="0" w:color="auto"/>
            </w:tcBorders>
            <w:shd w:val="clear" w:color="auto" w:fill="auto"/>
            <w:hideMark/>
          </w:tcPr>
          <w:p w14:paraId="4E4BF5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prefekturës</w:t>
            </w:r>
          </w:p>
        </w:tc>
        <w:tc>
          <w:tcPr>
            <w:tcW w:w="287" w:type="dxa"/>
            <w:tcBorders>
              <w:top w:val="nil"/>
              <w:left w:val="nil"/>
              <w:bottom w:val="single" w:sz="4" w:space="0" w:color="auto"/>
              <w:right w:val="single" w:sz="8" w:space="0" w:color="auto"/>
            </w:tcBorders>
            <w:shd w:val="clear" w:color="000000" w:fill="FFFFFF"/>
            <w:hideMark/>
          </w:tcPr>
          <w:p w14:paraId="532576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 </w:t>
            </w:r>
          </w:p>
        </w:tc>
        <w:tc>
          <w:tcPr>
            <w:tcW w:w="394" w:type="dxa"/>
            <w:tcBorders>
              <w:top w:val="nil"/>
              <w:left w:val="nil"/>
              <w:bottom w:val="nil"/>
              <w:right w:val="nil"/>
            </w:tcBorders>
            <w:shd w:val="clear" w:color="auto" w:fill="auto"/>
            <w:noWrap/>
            <w:vAlign w:val="bottom"/>
            <w:hideMark/>
          </w:tcPr>
          <w:p w14:paraId="5F37A06A"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0DF4C44"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FFF2CC"/>
            <w:hideMark/>
          </w:tcPr>
          <w:p w14:paraId="6F4FD0B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64062F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5C6B78A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21FFF7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3D462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5E4EEA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2AA539F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1FAE82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nil"/>
              <w:right w:val="single" w:sz="8" w:space="0" w:color="auto"/>
            </w:tcBorders>
            <w:shd w:val="clear" w:color="auto" w:fill="auto"/>
            <w:hideMark/>
          </w:tcPr>
          <w:p w14:paraId="04C83F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1125A3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6C07611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7224FB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nil"/>
              <w:right w:val="single" w:sz="4" w:space="0" w:color="auto"/>
            </w:tcBorders>
            <w:shd w:val="clear" w:color="auto" w:fill="auto"/>
            <w:hideMark/>
          </w:tcPr>
          <w:p w14:paraId="0FC9F0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5109E6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auto" w:fill="auto"/>
            <w:hideMark/>
          </w:tcPr>
          <w:p w14:paraId="03D9D2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auto" w:fill="auto"/>
            <w:hideMark/>
          </w:tcPr>
          <w:p w14:paraId="565BBF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18D9B9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3B7968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517619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4D0875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881B2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2A5DD3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3024E2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218A9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73887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2EAA97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617EC7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7A6EA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39802E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058CC4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0460E7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149FDE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5427728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auto" w:fill="auto"/>
            <w:hideMark/>
          </w:tcPr>
          <w:p w14:paraId="086238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hideMark/>
          </w:tcPr>
          <w:p w14:paraId="3B1D95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8FA997D"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28A8E39"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FF2CC"/>
            <w:hideMark/>
          </w:tcPr>
          <w:p w14:paraId="517DB04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1.4</w:t>
            </w:r>
            <w:r w:rsidRPr="00B907A3">
              <w:rPr>
                <w:rFonts w:ascii="Garamond" w:hAnsi="Garamond" w:cs="Arial"/>
                <w:b/>
                <w:bCs/>
                <w:color w:val="000000"/>
                <w:sz w:val="6"/>
                <w:szCs w:val="12"/>
                <w:lang w:eastAsia="en-US"/>
              </w:rPr>
              <w:br/>
              <w:t>Përmirësimi i financimit dhe shpërndarjes së burimeve për sigurinë rrugore</w:t>
            </w:r>
          </w:p>
        </w:tc>
        <w:tc>
          <w:tcPr>
            <w:tcW w:w="571" w:type="dxa"/>
            <w:tcBorders>
              <w:top w:val="nil"/>
              <w:left w:val="nil"/>
              <w:bottom w:val="single" w:sz="4" w:space="0" w:color="auto"/>
              <w:right w:val="single" w:sz="4" w:space="0" w:color="auto"/>
            </w:tcBorders>
            <w:shd w:val="clear" w:color="auto" w:fill="auto"/>
            <w:hideMark/>
          </w:tcPr>
          <w:p w14:paraId="5DE0A3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Shpërndarje e burimeve të financimit për sigurinë rrugore </w:t>
            </w:r>
          </w:p>
        </w:tc>
        <w:tc>
          <w:tcPr>
            <w:tcW w:w="470" w:type="dxa"/>
            <w:tcBorders>
              <w:top w:val="nil"/>
              <w:left w:val="nil"/>
              <w:bottom w:val="single" w:sz="4" w:space="0" w:color="auto"/>
              <w:right w:val="single" w:sz="4" w:space="0" w:color="auto"/>
            </w:tcBorders>
            <w:shd w:val="clear" w:color="auto" w:fill="auto"/>
            <w:hideMark/>
          </w:tcPr>
          <w:p w14:paraId="0DE7B4CD" w14:textId="72F17700"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0D0FCEA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MF</w:t>
            </w:r>
          </w:p>
        </w:tc>
        <w:tc>
          <w:tcPr>
            <w:tcW w:w="366" w:type="dxa"/>
            <w:tcBorders>
              <w:top w:val="nil"/>
              <w:left w:val="nil"/>
              <w:bottom w:val="single" w:sz="4" w:space="0" w:color="auto"/>
              <w:right w:val="single" w:sz="4" w:space="0" w:color="auto"/>
            </w:tcBorders>
            <w:shd w:val="clear" w:color="auto" w:fill="auto"/>
            <w:hideMark/>
          </w:tcPr>
          <w:p w14:paraId="327891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nil"/>
              <w:right w:val="nil"/>
            </w:tcBorders>
            <w:shd w:val="clear" w:color="auto" w:fill="auto"/>
            <w:hideMark/>
          </w:tcPr>
          <w:p w14:paraId="566531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single" w:sz="4" w:space="0" w:color="auto"/>
              <w:bottom w:val="single" w:sz="4" w:space="0" w:color="auto"/>
              <w:right w:val="single" w:sz="4" w:space="0" w:color="auto"/>
            </w:tcBorders>
            <w:shd w:val="clear" w:color="auto" w:fill="auto"/>
            <w:hideMark/>
          </w:tcPr>
          <w:p w14:paraId="0329CF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76198B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w:t>
            </w:r>
          </w:p>
        </w:tc>
        <w:tc>
          <w:tcPr>
            <w:tcW w:w="525" w:type="dxa"/>
            <w:tcBorders>
              <w:top w:val="single" w:sz="4" w:space="0" w:color="auto"/>
              <w:left w:val="nil"/>
              <w:bottom w:val="single" w:sz="4" w:space="0" w:color="auto"/>
              <w:right w:val="single" w:sz="8" w:space="0" w:color="auto"/>
            </w:tcBorders>
            <w:shd w:val="clear" w:color="auto" w:fill="auto"/>
            <w:hideMark/>
          </w:tcPr>
          <w:p w14:paraId="4D157B90" w14:textId="01CD2DBF"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w:t>
            </w:r>
            <w:r w:rsidRPr="00B907A3">
              <w:rPr>
                <w:rFonts w:ascii="Garamond" w:hAnsi="Garamond" w:cs="Arial"/>
                <w:color w:val="000000"/>
                <w:sz w:val="6"/>
                <w:szCs w:val="12"/>
                <w:lang w:eastAsia="en-US"/>
              </w:rPr>
              <w:br/>
              <w:t>MF</w:t>
            </w:r>
            <w:r w:rsidR="005C1DD9" w:rsidRPr="00B907A3">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4C321B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FFF2CC"/>
            <w:hideMark/>
          </w:tcPr>
          <w:p w14:paraId="395035F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1.4.1</w:t>
            </w:r>
            <w:r w:rsidRPr="00B907A3">
              <w:rPr>
                <w:rFonts w:ascii="Garamond" w:hAnsi="Garamond" w:cs="Arial"/>
                <w:b/>
                <w:bCs/>
                <w:color w:val="000000"/>
                <w:sz w:val="6"/>
                <w:szCs w:val="12"/>
                <w:lang w:eastAsia="en-US"/>
              </w:rPr>
              <w:br/>
              <w:t xml:space="preserve">Analizimi dhe implementimi i shpërndarjes së burimeve për SRr </w:t>
            </w:r>
          </w:p>
        </w:tc>
        <w:tc>
          <w:tcPr>
            <w:tcW w:w="520" w:type="dxa"/>
            <w:tcBorders>
              <w:top w:val="nil"/>
              <w:left w:val="nil"/>
              <w:bottom w:val="single" w:sz="4" w:space="0" w:color="auto"/>
              <w:right w:val="single" w:sz="4" w:space="0" w:color="auto"/>
            </w:tcBorders>
            <w:shd w:val="clear" w:color="auto" w:fill="auto"/>
            <w:hideMark/>
          </w:tcPr>
          <w:p w14:paraId="55324E1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MF</w:t>
            </w:r>
          </w:p>
        </w:tc>
        <w:tc>
          <w:tcPr>
            <w:tcW w:w="512" w:type="dxa"/>
            <w:tcBorders>
              <w:top w:val="single" w:sz="4" w:space="0" w:color="auto"/>
              <w:left w:val="nil"/>
              <w:bottom w:val="single" w:sz="4" w:space="0" w:color="auto"/>
              <w:right w:val="single" w:sz="4" w:space="0" w:color="auto"/>
            </w:tcBorders>
            <w:shd w:val="clear" w:color="auto" w:fill="auto"/>
            <w:hideMark/>
          </w:tcPr>
          <w:p w14:paraId="05EBC0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r w:rsidRPr="00B907A3">
              <w:rPr>
                <w:rFonts w:ascii="Garamond" w:hAnsi="Garamond" w:cs="Arial"/>
                <w:color w:val="000000"/>
                <w:sz w:val="6"/>
                <w:szCs w:val="12"/>
                <w:lang w:eastAsia="en-US"/>
              </w:rPr>
              <w:br/>
              <w:t>MPB, MSHMS,</w:t>
            </w:r>
            <w:r w:rsidRPr="00B907A3">
              <w:rPr>
                <w:rFonts w:ascii="Garamond" w:hAnsi="Garamond" w:cs="Arial"/>
                <w:color w:val="000000"/>
                <w:sz w:val="6"/>
                <w:szCs w:val="12"/>
                <w:lang w:eastAsia="en-US"/>
              </w:rPr>
              <w:br/>
              <w:t>MA,MSHPV</w:t>
            </w:r>
          </w:p>
        </w:tc>
        <w:tc>
          <w:tcPr>
            <w:tcW w:w="367" w:type="dxa"/>
            <w:tcBorders>
              <w:top w:val="nil"/>
              <w:left w:val="nil"/>
              <w:bottom w:val="single" w:sz="4" w:space="0" w:color="auto"/>
              <w:right w:val="single" w:sz="8" w:space="0" w:color="auto"/>
            </w:tcBorders>
            <w:shd w:val="clear" w:color="auto" w:fill="auto"/>
            <w:hideMark/>
          </w:tcPr>
          <w:p w14:paraId="40449B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single" w:sz="4" w:space="0" w:color="auto"/>
              <w:left w:val="nil"/>
              <w:bottom w:val="single" w:sz="4" w:space="0" w:color="auto"/>
              <w:right w:val="single" w:sz="4" w:space="0" w:color="auto"/>
            </w:tcBorders>
            <w:shd w:val="clear" w:color="auto" w:fill="auto"/>
            <w:hideMark/>
          </w:tcPr>
          <w:p w14:paraId="2315505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single" w:sz="4" w:space="0" w:color="auto"/>
              <w:right w:val="single" w:sz="4" w:space="0" w:color="auto"/>
            </w:tcBorders>
            <w:shd w:val="clear" w:color="auto" w:fill="auto"/>
            <w:hideMark/>
          </w:tcPr>
          <w:p w14:paraId="03B88D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5A1364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350176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4378D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234EC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368DF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94E2B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26ECC3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6420D3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A6C7B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0ED77D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7BEB4A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C95C7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691BD9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6C648C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687173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636944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5876C4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Financime të miratuara sipas programeve buxhetore</w:t>
            </w:r>
          </w:p>
        </w:tc>
        <w:tc>
          <w:tcPr>
            <w:tcW w:w="442" w:type="dxa"/>
            <w:tcBorders>
              <w:top w:val="nil"/>
              <w:left w:val="nil"/>
              <w:bottom w:val="single" w:sz="4" w:space="0" w:color="auto"/>
              <w:right w:val="single" w:sz="4" w:space="0" w:color="auto"/>
            </w:tcBorders>
            <w:shd w:val="clear" w:color="auto" w:fill="auto"/>
            <w:hideMark/>
          </w:tcPr>
          <w:p w14:paraId="5F4A802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MF</w:t>
            </w:r>
          </w:p>
        </w:tc>
        <w:tc>
          <w:tcPr>
            <w:tcW w:w="287" w:type="dxa"/>
            <w:tcBorders>
              <w:top w:val="nil"/>
              <w:left w:val="nil"/>
              <w:bottom w:val="single" w:sz="4" w:space="0" w:color="auto"/>
              <w:right w:val="single" w:sz="8" w:space="0" w:color="auto"/>
            </w:tcBorders>
            <w:shd w:val="clear" w:color="000000" w:fill="FFFFFF"/>
            <w:hideMark/>
          </w:tcPr>
          <w:p w14:paraId="48243D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1555AD6"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9839618"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FFF2CC"/>
            <w:hideMark/>
          </w:tcPr>
          <w:p w14:paraId="087EE95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07C97C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57B17D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4F3971B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69CBB0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single" w:sz="4" w:space="0" w:color="auto"/>
              <w:left w:val="nil"/>
              <w:bottom w:val="single" w:sz="4" w:space="0" w:color="auto"/>
              <w:right w:val="single" w:sz="4" w:space="0" w:color="auto"/>
            </w:tcBorders>
            <w:shd w:val="clear" w:color="auto" w:fill="auto"/>
            <w:hideMark/>
          </w:tcPr>
          <w:p w14:paraId="46309C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1E29C6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7D96929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148200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5A6C15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single" w:sz="4" w:space="0" w:color="auto"/>
              <w:right w:val="single" w:sz="4" w:space="0" w:color="auto"/>
            </w:tcBorders>
            <w:shd w:val="clear" w:color="000000" w:fill="FFF2CC"/>
            <w:hideMark/>
          </w:tcPr>
          <w:p w14:paraId="7F8BDAB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335288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hideMark/>
          </w:tcPr>
          <w:p w14:paraId="004B979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6F03C7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F09BAE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3539E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29E1A3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503E81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8F2E2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68EFDF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56479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A9680F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4ADF41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71CF73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E7E9A8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19FC47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7E4175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033AF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49CDF0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7C9862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7CFABC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3A14B8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480034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auto" w:fill="auto"/>
            <w:hideMark/>
          </w:tcPr>
          <w:p w14:paraId="4AEEE1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hideMark/>
          </w:tcPr>
          <w:p w14:paraId="4940232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C927447"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7A70D88" w14:textId="77777777" w:rsidTr="00962754">
        <w:trPr>
          <w:trHeight w:val="20"/>
        </w:trPr>
        <w:tc>
          <w:tcPr>
            <w:tcW w:w="718" w:type="dxa"/>
            <w:tcBorders>
              <w:top w:val="nil"/>
              <w:left w:val="single" w:sz="8" w:space="0" w:color="auto"/>
              <w:bottom w:val="nil"/>
              <w:right w:val="single" w:sz="4" w:space="0" w:color="auto"/>
            </w:tcBorders>
            <w:shd w:val="clear" w:color="000000" w:fill="FFF2CC"/>
            <w:hideMark/>
          </w:tcPr>
          <w:p w14:paraId="2821E97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1.5</w:t>
            </w:r>
            <w:r w:rsidRPr="00B907A3">
              <w:rPr>
                <w:rFonts w:ascii="Garamond" w:hAnsi="Garamond" w:cs="Arial"/>
                <w:b/>
                <w:bCs/>
                <w:color w:val="000000"/>
                <w:sz w:val="6"/>
                <w:szCs w:val="12"/>
                <w:lang w:eastAsia="en-US"/>
              </w:rPr>
              <w:br/>
              <w:t>Përmirësimi i sistemeve mbështetëse të sigurisë rrugore</w:t>
            </w:r>
          </w:p>
        </w:tc>
        <w:tc>
          <w:tcPr>
            <w:tcW w:w="571" w:type="dxa"/>
            <w:tcBorders>
              <w:top w:val="nil"/>
              <w:left w:val="nil"/>
              <w:bottom w:val="single" w:sz="4" w:space="0" w:color="auto"/>
              <w:right w:val="single" w:sz="4" w:space="0" w:color="auto"/>
            </w:tcBorders>
            <w:shd w:val="clear" w:color="auto" w:fill="auto"/>
            <w:hideMark/>
          </w:tcPr>
          <w:p w14:paraId="38055B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Sistemi i të dhënave të aksidenteve i përmirësuar</w:t>
            </w:r>
          </w:p>
        </w:tc>
        <w:tc>
          <w:tcPr>
            <w:tcW w:w="470" w:type="dxa"/>
            <w:tcBorders>
              <w:top w:val="nil"/>
              <w:left w:val="nil"/>
              <w:bottom w:val="single" w:sz="4" w:space="0" w:color="auto"/>
              <w:right w:val="single" w:sz="4" w:space="0" w:color="auto"/>
            </w:tcBorders>
            <w:shd w:val="clear" w:color="auto" w:fill="auto"/>
            <w:hideMark/>
          </w:tcPr>
          <w:p w14:paraId="40A3B48A" w14:textId="68CB7AAC"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6351E3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w:t>
            </w:r>
          </w:p>
        </w:tc>
        <w:tc>
          <w:tcPr>
            <w:tcW w:w="366" w:type="dxa"/>
            <w:tcBorders>
              <w:top w:val="nil"/>
              <w:left w:val="nil"/>
              <w:bottom w:val="single" w:sz="4" w:space="0" w:color="auto"/>
              <w:right w:val="single" w:sz="4" w:space="0" w:color="auto"/>
            </w:tcBorders>
            <w:shd w:val="clear" w:color="auto" w:fill="auto"/>
            <w:hideMark/>
          </w:tcPr>
          <w:p w14:paraId="578350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63AFD9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6C2F67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71A3DE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nil"/>
              <w:right w:val="single" w:sz="8" w:space="0" w:color="auto"/>
            </w:tcBorders>
            <w:shd w:val="clear" w:color="auto" w:fill="auto"/>
            <w:hideMark/>
          </w:tcPr>
          <w:p w14:paraId="36996FA4" w14:textId="277D024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5C1DD9" w:rsidRPr="00B907A3">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375CB1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FFF2CC"/>
            <w:hideMark/>
          </w:tcPr>
          <w:p w14:paraId="7A09F4A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1.5.1</w:t>
            </w:r>
            <w:r w:rsidRPr="00B907A3">
              <w:rPr>
                <w:rFonts w:ascii="Garamond" w:hAnsi="Garamond" w:cs="Arial"/>
                <w:b/>
                <w:bCs/>
                <w:color w:val="000000"/>
                <w:sz w:val="6"/>
                <w:szCs w:val="12"/>
                <w:lang w:eastAsia="en-US"/>
              </w:rPr>
              <w:br/>
              <w:t xml:space="preserve">Përmirësimi i sistemit të të dhënave për aksidente (përditësimi i bazës së të dhënave dhe trajnimi i stafit të PRr për mbledhjen e të dhënave në përputhje me CADA-s dhe përdorimi i bazës së të dhënave) </w:t>
            </w:r>
          </w:p>
        </w:tc>
        <w:tc>
          <w:tcPr>
            <w:tcW w:w="520" w:type="dxa"/>
            <w:tcBorders>
              <w:top w:val="nil"/>
              <w:left w:val="nil"/>
              <w:bottom w:val="single" w:sz="4" w:space="0" w:color="auto"/>
              <w:right w:val="single" w:sz="4" w:space="0" w:color="auto"/>
            </w:tcBorders>
            <w:shd w:val="clear" w:color="auto" w:fill="auto"/>
            <w:hideMark/>
          </w:tcPr>
          <w:p w14:paraId="6AFC11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p>
        </w:tc>
        <w:tc>
          <w:tcPr>
            <w:tcW w:w="512" w:type="dxa"/>
            <w:tcBorders>
              <w:top w:val="nil"/>
              <w:left w:val="nil"/>
              <w:bottom w:val="nil"/>
              <w:right w:val="single" w:sz="4" w:space="0" w:color="auto"/>
            </w:tcBorders>
            <w:shd w:val="clear" w:color="auto" w:fill="auto"/>
            <w:hideMark/>
          </w:tcPr>
          <w:p w14:paraId="634A4C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 (IT, DPSHTRR, ARSH),</w:t>
            </w:r>
            <w:r w:rsidRPr="00B907A3">
              <w:rPr>
                <w:rFonts w:ascii="Garamond" w:hAnsi="Garamond" w:cs="Arial"/>
                <w:color w:val="000000"/>
                <w:sz w:val="6"/>
                <w:szCs w:val="12"/>
                <w:lang w:eastAsia="en-US"/>
              </w:rPr>
              <w:br/>
              <w:t>AKSHI</w:t>
            </w:r>
          </w:p>
        </w:tc>
        <w:tc>
          <w:tcPr>
            <w:tcW w:w="367" w:type="dxa"/>
            <w:tcBorders>
              <w:top w:val="nil"/>
              <w:left w:val="nil"/>
              <w:bottom w:val="single" w:sz="4" w:space="0" w:color="auto"/>
              <w:right w:val="single" w:sz="8" w:space="0" w:color="auto"/>
            </w:tcBorders>
            <w:shd w:val="clear" w:color="auto" w:fill="auto"/>
            <w:hideMark/>
          </w:tcPr>
          <w:p w14:paraId="347162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nil"/>
              <w:right w:val="single" w:sz="4" w:space="0" w:color="auto"/>
            </w:tcBorders>
            <w:shd w:val="clear" w:color="auto" w:fill="auto"/>
            <w:hideMark/>
          </w:tcPr>
          <w:p w14:paraId="7CDB2AB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14155</w:t>
            </w:r>
          </w:p>
        </w:tc>
        <w:tc>
          <w:tcPr>
            <w:tcW w:w="372" w:type="dxa"/>
            <w:tcBorders>
              <w:top w:val="nil"/>
              <w:left w:val="nil"/>
              <w:bottom w:val="nil"/>
              <w:right w:val="single" w:sz="4" w:space="0" w:color="auto"/>
            </w:tcBorders>
            <w:shd w:val="clear" w:color="auto" w:fill="auto"/>
            <w:hideMark/>
          </w:tcPr>
          <w:p w14:paraId="7F02DD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2BFBB0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14155</w:t>
            </w:r>
          </w:p>
        </w:tc>
        <w:tc>
          <w:tcPr>
            <w:tcW w:w="618" w:type="dxa"/>
            <w:tcBorders>
              <w:top w:val="nil"/>
              <w:left w:val="nil"/>
              <w:bottom w:val="single" w:sz="4" w:space="0" w:color="auto"/>
              <w:right w:val="single" w:sz="4" w:space="0" w:color="auto"/>
            </w:tcBorders>
            <w:shd w:val="clear" w:color="auto" w:fill="auto"/>
            <w:hideMark/>
          </w:tcPr>
          <w:p w14:paraId="71A9B6C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6D5C5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14155</w:t>
            </w:r>
          </w:p>
        </w:tc>
        <w:tc>
          <w:tcPr>
            <w:tcW w:w="605" w:type="dxa"/>
            <w:tcBorders>
              <w:top w:val="nil"/>
              <w:left w:val="nil"/>
              <w:bottom w:val="single" w:sz="4" w:space="0" w:color="auto"/>
              <w:right w:val="single" w:sz="8" w:space="0" w:color="auto"/>
            </w:tcBorders>
            <w:shd w:val="clear" w:color="auto" w:fill="auto"/>
            <w:hideMark/>
          </w:tcPr>
          <w:p w14:paraId="220EB3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90EF40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single" w:sz="4" w:space="0" w:color="auto"/>
            </w:tcBorders>
            <w:shd w:val="clear" w:color="auto" w:fill="auto"/>
            <w:hideMark/>
          </w:tcPr>
          <w:p w14:paraId="3DB442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207845</w:t>
            </w:r>
          </w:p>
        </w:tc>
        <w:tc>
          <w:tcPr>
            <w:tcW w:w="324" w:type="dxa"/>
            <w:tcBorders>
              <w:top w:val="nil"/>
              <w:left w:val="nil"/>
              <w:bottom w:val="single" w:sz="4" w:space="0" w:color="auto"/>
              <w:right w:val="single" w:sz="4" w:space="0" w:color="auto"/>
            </w:tcBorders>
            <w:shd w:val="clear" w:color="auto" w:fill="auto"/>
            <w:hideMark/>
          </w:tcPr>
          <w:p w14:paraId="47605F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207845</w:t>
            </w:r>
          </w:p>
        </w:tc>
        <w:tc>
          <w:tcPr>
            <w:tcW w:w="382" w:type="dxa"/>
            <w:tcBorders>
              <w:top w:val="nil"/>
              <w:left w:val="nil"/>
              <w:bottom w:val="single" w:sz="4" w:space="0" w:color="auto"/>
              <w:right w:val="single" w:sz="4" w:space="0" w:color="auto"/>
            </w:tcBorders>
            <w:shd w:val="clear" w:color="auto" w:fill="auto"/>
            <w:hideMark/>
          </w:tcPr>
          <w:p w14:paraId="5743A3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8D11C7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207845</w:t>
            </w:r>
          </w:p>
        </w:tc>
        <w:tc>
          <w:tcPr>
            <w:tcW w:w="369" w:type="dxa"/>
            <w:tcBorders>
              <w:top w:val="nil"/>
              <w:left w:val="nil"/>
              <w:bottom w:val="single" w:sz="4" w:space="0" w:color="auto"/>
              <w:right w:val="nil"/>
            </w:tcBorders>
            <w:shd w:val="clear" w:color="auto" w:fill="auto"/>
            <w:hideMark/>
          </w:tcPr>
          <w:p w14:paraId="693D65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73749D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BD417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728BF5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7E55D2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D761F3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7798AB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36EA71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Baza e të dhënave për aksidentet e përmirësuar, stafi i trajnuar për përdorimin e bazës së të dhënave dhe raporte të krijuara</w:t>
            </w:r>
          </w:p>
        </w:tc>
        <w:tc>
          <w:tcPr>
            <w:tcW w:w="442" w:type="dxa"/>
            <w:tcBorders>
              <w:top w:val="nil"/>
              <w:left w:val="nil"/>
              <w:bottom w:val="single" w:sz="4" w:space="0" w:color="auto"/>
              <w:right w:val="single" w:sz="4" w:space="0" w:color="auto"/>
            </w:tcBorders>
            <w:shd w:val="clear" w:color="auto" w:fill="auto"/>
            <w:hideMark/>
          </w:tcPr>
          <w:p w14:paraId="5B0A50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p>
        </w:tc>
        <w:tc>
          <w:tcPr>
            <w:tcW w:w="287" w:type="dxa"/>
            <w:tcBorders>
              <w:top w:val="nil"/>
              <w:left w:val="nil"/>
              <w:bottom w:val="single" w:sz="4" w:space="0" w:color="auto"/>
              <w:right w:val="single" w:sz="8" w:space="0" w:color="auto"/>
            </w:tcBorders>
            <w:shd w:val="clear" w:color="000000" w:fill="FFFFFF"/>
            <w:hideMark/>
          </w:tcPr>
          <w:p w14:paraId="35C6AA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193A17D"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CA5FD57"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FFF2CC"/>
            <w:hideMark/>
          </w:tcPr>
          <w:p w14:paraId="1EBEDB1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1AE712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Përgatitja e metodologjisë së TKP</w:t>
            </w:r>
          </w:p>
        </w:tc>
        <w:tc>
          <w:tcPr>
            <w:tcW w:w="470" w:type="dxa"/>
            <w:tcBorders>
              <w:top w:val="nil"/>
              <w:left w:val="nil"/>
              <w:bottom w:val="single" w:sz="4" w:space="0" w:color="auto"/>
              <w:right w:val="single" w:sz="4" w:space="0" w:color="auto"/>
            </w:tcBorders>
            <w:shd w:val="clear" w:color="auto" w:fill="auto"/>
            <w:hideMark/>
          </w:tcPr>
          <w:p w14:paraId="2DAADA14" w14:textId="57CCFF21"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r w:rsidR="00FB5830">
              <w:rPr>
                <w:rFonts w:ascii="Garamond" w:hAnsi="Garamond" w:cs="Arial"/>
                <w:color w:val="000000"/>
                <w:sz w:val="6"/>
                <w:szCs w:val="12"/>
                <w:lang w:eastAsia="en-US"/>
              </w:rPr>
              <w:t>jo/</w:t>
            </w:r>
            <w:r w:rsidR="00FB5830"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0E7CF4B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366" w:type="dxa"/>
            <w:tcBorders>
              <w:top w:val="nil"/>
              <w:left w:val="nil"/>
              <w:bottom w:val="single" w:sz="4" w:space="0" w:color="auto"/>
              <w:right w:val="single" w:sz="4" w:space="0" w:color="auto"/>
            </w:tcBorders>
            <w:shd w:val="clear" w:color="auto" w:fill="auto"/>
            <w:hideMark/>
          </w:tcPr>
          <w:p w14:paraId="6AC463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nil"/>
              <w:right w:val="nil"/>
            </w:tcBorders>
            <w:shd w:val="clear" w:color="auto" w:fill="auto"/>
            <w:hideMark/>
          </w:tcPr>
          <w:p w14:paraId="0B1C86C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single" w:sz="4" w:space="0" w:color="auto"/>
              <w:bottom w:val="single" w:sz="4" w:space="0" w:color="auto"/>
              <w:right w:val="single" w:sz="4" w:space="0" w:color="auto"/>
            </w:tcBorders>
            <w:shd w:val="clear" w:color="auto" w:fill="auto"/>
            <w:hideMark/>
          </w:tcPr>
          <w:p w14:paraId="606ADE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nil"/>
              <w:left w:val="nil"/>
              <w:bottom w:val="single" w:sz="4" w:space="0" w:color="auto"/>
              <w:right w:val="single" w:sz="4" w:space="0" w:color="auto"/>
            </w:tcBorders>
            <w:shd w:val="clear" w:color="auto" w:fill="auto"/>
            <w:hideMark/>
          </w:tcPr>
          <w:p w14:paraId="7EE6B1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single" w:sz="4" w:space="0" w:color="auto"/>
              <w:left w:val="nil"/>
              <w:bottom w:val="nil"/>
              <w:right w:val="single" w:sz="8" w:space="0" w:color="auto"/>
            </w:tcBorders>
            <w:shd w:val="clear" w:color="auto" w:fill="auto"/>
            <w:hideMark/>
          </w:tcPr>
          <w:p w14:paraId="7330EB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IT-së</w:t>
            </w:r>
          </w:p>
        </w:tc>
        <w:tc>
          <w:tcPr>
            <w:tcW w:w="236" w:type="dxa"/>
            <w:tcBorders>
              <w:top w:val="nil"/>
              <w:left w:val="nil"/>
              <w:bottom w:val="single" w:sz="4" w:space="0" w:color="auto"/>
              <w:right w:val="nil"/>
            </w:tcBorders>
            <w:shd w:val="clear" w:color="000000" w:fill="EE0000"/>
            <w:hideMark/>
          </w:tcPr>
          <w:p w14:paraId="36D99F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55D3538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1.5.2</w:t>
            </w:r>
            <w:r w:rsidRPr="00B907A3">
              <w:rPr>
                <w:rFonts w:ascii="Garamond" w:hAnsi="Garamond" w:cs="Arial"/>
                <w:b/>
                <w:bCs/>
                <w:color w:val="000000"/>
                <w:sz w:val="6"/>
                <w:szCs w:val="12"/>
                <w:lang w:eastAsia="en-US"/>
              </w:rPr>
              <w:br/>
              <w:t xml:space="preserve">Përgatitja e metodologjisë për mbledhjen e TKP-ve, trajnimi i stafit të ARRSH/DPSHTRR/ PRr/SHUM dhe IT-së </w:t>
            </w:r>
          </w:p>
        </w:tc>
        <w:tc>
          <w:tcPr>
            <w:tcW w:w="520" w:type="dxa"/>
            <w:tcBorders>
              <w:top w:val="nil"/>
              <w:left w:val="nil"/>
              <w:bottom w:val="single" w:sz="4" w:space="0" w:color="auto"/>
              <w:right w:val="single" w:sz="4" w:space="0" w:color="auto"/>
            </w:tcBorders>
            <w:shd w:val="clear" w:color="auto" w:fill="auto"/>
            <w:hideMark/>
          </w:tcPr>
          <w:p w14:paraId="27396C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512" w:type="dxa"/>
            <w:tcBorders>
              <w:top w:val="single" w:sz="4" w:space="0" w:color="auto"/>
              <w:left w:val="nil"/>
              <w:bottom w:val="nil"/>
              <w:right w:val="single" w:sz="4" w:space="0" w:color="auto"/>
            </w:tcBorders>
            <w:shd w:val="clear" w:color="auto" w:fill="auto"/>
            <w:hideMark/>
          </w:tcPr>
          <w:p w14:paraId="6108B0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r w:rsidRPr="00B907A3">
              <w:rPr>
                <w:rFonts w:ascii="Garamond" w:hAnsi="Garamond" w:cs="Arial"/>
                <w:color w:val="000000"/>
                <w:sz w:val="6"/>
                <w:szCs w:val="12"/>
                <w:lang w:eastAsia="en-US"/>
              </w:rPr>
              <w:br/>
              <w:t xml:space="preserve">MSHMS, DPSHTRR, ARRSH </w:t>
            </w:r>
          </w:p>
        </w:tc>
        <w:tc>
          <w:tcPr>
            <w:tcW w:w="367" w:type="dxa"/>
            <w:tcBorders>
              <w:top w:val="nil"/>
              <w:left w:val="nil"/>
              <w:bottom w:val="single" w:sz="4" w:space="0" w:color="auto"/>
              <w:right w:val="single" w:sz="8" w:space="0" w:color="auto"/>
            </w:tcBorders>
            <w:shd w:val="clear" w:color="auto" w:fill="auto"/>
            <w:hideMark/>
          </w:tcPr>
          <w:p w14:paraId="2573AC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single" w:sz="4" w:space="0" w:color="auto"/>
              <w:right w:val="single" w:sz="4" w:space="0" w:color="auto"/>
            </w:tcBorders>
            <w:shd w:val="clear" w:color="auto" w:fill="auto"/>
            <w:hideMark/>
          </w:tcPr>
          <w:p w14:paraId="61B31F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941</w:t>
            </w:r>
          </w:p>
        </w:tc>
        <w:tc>
          <w:tcPr>
            <w:tcW w:w="372" w:type="dxa"/>
            <w:tcBorders>
              <w:top w:val="single" w:sz="4" w:space="0" w:color="auto"/>
              <w:left w:val="nil"/>
              <w:bottom w:val="single" w:sz="4" w:space="0" w:color="auto"/>
              <w:right w:val="single" w:sz="4" w:space="0" w:color="auto"/>
            </w:tcBorders>
            <w:shd w:val="clear" w:color="auto" w:fill="auto"/>
            <w:hideMark/>
          </w:tcPr>
          <w:p w14:paraId="2FD2A1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E9A49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941</w:t>
            </w:r>
          </w:p>
        </w:tc>
        <w:tc>
          <w:tcPr>
            <w:tcW w:w="618" w:type="dxa"/>
            <w:tcBorders>
              <w:top w:val="nil"/>
              <w:left w:val="nil"/>
              <w:bottom w:val="single" w:sz="4" w:space="0" w:color="auto"/>
              <w:right w:val="single" w:sz="4" w:space="0" w:color="auto"/>
            </w:tcBorders>
            <w:shd w:val="clear" w:color="auto" w:fill="auto"/>
            <w:hideMark/>
          </w:tcPr>
          <w:p w14:paraId="400B35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91003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941</w:t>
            </w:r>
          </w:p>
        </w:tc>
        <w:tc>
          <w:tcPr>
            <w:tcW w:w="605" w:type="dxa"/>
            <w:tcBorders>
              <w:top w:val="nil"/>
              <w:left w:val="nil"/>
              <w:bottom w:val="single" w:sz="4" w:space="0" w:color="auto"/>
              <w:right w:val="single" w:sz="8" w:space="0" w:color="auto"/>
            </w:tcBorders>
            <w:shd w:val="clear" w:color="auto" w:fill="auto"/>
            <w:hideMark/>
          </w:tcPr>
          <w:p w14:paraId="4657D9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33933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single" w:sz="4" w:space="0" w:color="auto"/>
              <w:left w:val="nil"/>
              <w:bottom w:val="single" w:sz="4" w:space="0" w:color="auto"/>
              <w:right w:val="single" w:sz="4" w:space="0" w:color="auto"/>
            </w:tcBorders>
            <w:shd w:val="clear" w:color="auto" w:fill="auto"/>
            <w:hideMark/>
          </w:tcPr>
          <w:p w14:paraId="347A64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1883</w:t>
            </w:r>
          </w:p>
        </w:tc>
        <w:tc>
          <w:tcPr>
            <w:tcW w:w="324" w:type="dxa"/>
            <w:tcBorders>
              <w:top w:val="nil"/>
              <w:left w:val="nil"/>
              <w:bottom w:val="single" w:sz="4" w:space="0" w:color="auto"/>
              <w:right w:val="single" w:sz="4" w:space="0" w:color="auto"/>
            </w:tcBorders>
            <w:shd w:val="clear" w:color="auto" w:fill="auto"/>
            <w:hideMark/>
          </w:tcPr>
          <w:p w14:paraId="566EBE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2883</w:t>
            </w:r>
          </w:p>
        </w:tc>
        <w:tc>
          <w:tcPr>
            <w:tcW w:w="382" w:type="dxa"/>
            <w:tcBorders>
              <w:top w:val="nil"/>
              <w:left w:val="nil"/>
              <w:bottom w:val="single" w:sz="4" w:space="0" w:color="auto"/>
              <w:right w:val="single" w:sz="4" w:space="0" w:color="auto"/>
            </w:tcBorders>
            <w:shd w:val="clear" w:color="auto" w:fill="auto"/>
            <w:hideMark/>
          </w:tcPr>
          <w:p w14:paraId="71891E1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45551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1883</w:t>
            </w:r>
          </w:p>
        </w:tc>
        <w:tc>
          <w:tcPr>
            <w:tcW w:w="369" w:type="dxa"/>
            <w:tcBorders>
              <w:top w:val="nil"/>
              <w:left w:val="nil"/>
              <w:bottom w:val="single" w:sz="4" w:space="0" w:color="auto"/>
              <w:right w:val="nil"/>
            </w:tcBorders>
            <w:shd w:val="clear" w:color="auto" w:fill="auto"/>
            <w:hideMark/>
          </w:tcPr>
          <w:p w14:paraId="4817CA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nil"/>
              <w:left w:val="single" w:sz="8" w:space="0" w:color="auto"/>
              <w:bottom w:val="single" w:sz="4" w:space="0" w:color="auto"/>
              <w:right w:val="single" w:sz="4" w:space="0" w:color="auto"/>
            </w:tcBorders>
            <w:shd w:val="clear" w:color="auto" w:fill="auto"/>
            <w:hideMark/>
          </w:tcPr>
          <w:p w14:paraId="53C3F9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4" w:space="0" w:color="auto"/>
              <w:right w:val="single" w:sz="4" w:space="0" w:color="auto"/>
            </w:tcBorders>
            <w:shd w:val="clear" w:color="auto" w:fill="auto"/>
            <w:hideMark/>
          </w:tcPr>
          <w:p w14:paraId="203D99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7625D6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4" w:space="0" w:color="auto"/>
              <w:right w:val="single" w:sz="4" w:space="0" w:color="auto"/>
            </w:tcBorders>
            <w:shd w:val="clear" w:color="auto" w:fill="auto"/>
            <w:hideMark/>
          </w:tcPr>
          <w:p w14:paraId="24B4F8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4DA7A1A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32F271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464" w:type="dxa"/>
            <w:tcBorders>
              <w:top w:val="nil"/>
              <w:left w:val="nil"/>
              <w:bottom w:val="single" w:sz="4" w:space="0" w:color="auto"/>
              <w:right w:val="single" w:sz="4" w:space="0" w:color="auto"/>
            </w:tcBorders>
            <w:shd w:val="clear" w:color="auto" w:fill="auto"/>
            <w:hideMark/>
          </w:tcPr>
          <w:p w14:paraId="19E69A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Metodologjia për mbledhjen e TKP-ve e përgatitur, stafi i trajnuar</w:t>
            </w:r>
          </w:p>
        </w:tc>
        <w:tc>
          <w:tcPr>
            <w:tcW w:w="442" w:type="dxa"/>
            <w:tcBorders>
              <w:top w:val="nil"/>
              <w:left w:val="nil"/>
              <w:bottom w:val="single" w:sz="4" w:space="0" w:color="auto"/>
              <w:right w:val="single" w:sz="4" w:space="0" w:color="auto"/>
            </w:tcBorders>
            <w:shd w:val="clear" w:color="auto" w:fill="auto"/>
            <w:hideMark/>
          </w:tcPr>
          <w:p w14:paraId="3EBCE1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IT-së</w:t>
            </w:r>
          </w:p>
        </w:tc>
        <w:tc>
          <w:tcPr>
            <w:tcW w:w="287" w:type="dxa"/>
            <w:tcBorders>
              <w:top w:val="nil"/>
              <w:left w:val="nil"/>
              <w:bottom w:val="single" w:sz="4" w:space="0" w:color="auto"/>
              <w:right w:val="single" w:sz="8" w:space="0" w:color="auto"/>
            </w:tcBorders>
            <w:shd w:val="clear" w:color="000000" w:fill="FFFFFF"/>
            <w:hideMark/>
          </w:tcPr>
          <w:p w14:paraId="6F3398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9765BA1"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5E96761"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FF2CC"/>
            <w:hideMark/>
          </w:tcPr>
          <w:p w14:paraId="46F4C1E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36BEB5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Baza e të dhënave të integruara (të hapura) për SR-në e krijuar</w:t>
            </w:r>
          </w:p>
        </w:tc>
        <w:tc>
          <w:tcPr>
            <w:tcW w:w="470" w:type="dxa"/>
            <w:tcBorders>
              <w:top w:val="nil"/>
              <w:left w:val="nil"/>
              <w:bottom w:val="single" w:sz="4" w:space="0" w:color="auto"/>
              <w:right w:val="single" w:sz="4" w:space="0" w:color="auto"/>
            </w:tcBorders>
            <w:shd w:val="clear" w:color="auto" w:fill="auto"/>
            <w:hideMark/>
          </w:tcPr>
          <w:p w14:paraId="4D3EE9CC" w14:textId="24F60BB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r w:rsidR="00FB5830">
              <w:rPr>
                <w:rFonts w:ascii="Garamond" w:hAnsi="Garamond" w:cs="Arial"/>
                <w:color w:val="000000"/>
                <w:sz w:val="6"/>
                <w:szCs w:val="12"/>
                <w:lang w:eastAsia="en-US"/>
              </w:rPr>
              <w:t>/jo/</w:t>
            </w:r>
            <w:r w:rsidR="00FB5830"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019C1D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366" w:type="dxa"/>
            <w:tcBorders>
              <w:top w:val="nil"/>
              <w:left w:val="nil"/>
              <w:bottom w:val="single" w:sz="4" w:space="0" w:color="auto"/>
              <w:right w:val="single" w:sz="4" w:space="0" w:color="auto"/>
            </w:tcBorders>
            <w:shd w:val="clear" w:color="auto" w:fill="auto"/>
            <w:hideMark/>
          </w:tcPr>
          <w:p w14:paraId="5D1A76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hideMark/>
          </w:tcPr>
          <w:p w14:paraId="5B4A18B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nil"/>
            </w:tcBorders>
            <w:shd w:val="clear" w:color="auto" w:fill="auto"/>
            <w:hideMark/>
          </w:tcPr>
          <w:p w14:paraId="44A3D5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nil"/>
              <w:left w:val="single" w:sz="4" w:space="0" w:color="auto"/>
              <w:bottom w:val="single" w:sz="4" w:space="0" w:color="auto"/>
              <w:right w:val="single" w:sz="4" w:space="0" w:color="auto"/>
            </w:tcBorders>
            <w:shd w:val="clear" w:color="auto" w:fill="auto"/>
            <w:hideMark/>
          </w:tcPr>
          <w:p w14:paraId="5C31AE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single" w:sz="4" w:space="0" w:color="auto"/>
              <w:left w:val="nil"/>
              <w:bottom w:val="nil"/>
              <w:right w:val="single" w:sz="8" w:space="0" w:color="auto"/>
            </w:tcBorders>
            <w:shd w:val="clear" w:color="auto" w:fill="auto"/>
            <w:hideMark/>
          </w:tcPr>
          <w:p w14:paraId="790C3FE5" w14:textId="5B02BE0F"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r w:rsidR="00962754" w:rsidRPr="00B907A3">
              <w:rPr>
                <w:rFonts w:ascii="Garamond" w:hAnsi="Garamond" w:cs="Arial"/>
                <w:color w:val="000000"/>
                <w:sz w:val="6"/>
                <w:szCs w:val="12"/>
                <w:lang w:eastAsia="en-US"/>
              </w:rPr>
              <w:t xml:space="preserve"> dhe IT-së</w:t>
            </w:r>
          </w:p>
        </w:tc>
        <w:tc>
          <w:tcPr>
            <w:tcW w:w="236" w:type="dxa"/>
            <w:tcBorders>
              <w:top w:val="nil"/>
              <w:left w:val="nil"/>
              <w:bottom w:val="single" w:sz="4" w:space="0" w:color="auto"/>
              <w:right w:val="nil"/>
            </w:tcBorders>
            <w:shd w:val="clear" w:color="000000" w:fill="EE0000"/>
            <w:hideMark/>
          </w:tcPr>
          <w:p w14:paraId="65FC28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FF2CC"/>
            <w:hideMark/>
          </w:tcPr>
          <w:p w14:paraId="15A40D5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1.5.3</w:t>
            </w:r>
            <w:r w:rsidRPr="00B907A3">
              <w:rPr>
                <w:rFonts w:ascii="Garamond" w:hAnsi="Garamond" w:cs="Arial"/>
                <w:b/>
                <w:bCs/>
                <w:color w:val="000000"/>
                <w:sz w:val="6"/>
                <w:szCs w:val="12"/>
                <w:lang w:eastAsia="en-US"/>
              </w:rPr>
              <w:br/>
              <w:t xml:space="preserve">Krijimi i një baze të dhënash të integruar për SRr që do të mundësojë monitorim efektiv (krijimi i bazës së të dhënave dhe trajnimi i stafit nga palët kyçe të interesuara për SRr) </w:t>
            </w:r>
          </w:p>
        </w:tc>
        <w:tc>
          <w:tcPr>
            <w:tcW w:w="520" w:type="dxa"/>
            <w:tcBorders>
              <w:top w:val="nil"/>
              <w:left w:val="nil"/>
              <w:bottom w:val="single" w:sz="4" w:space="0" w:color="auto"/>
              <w:right w:val="single" w:sz="4" w:space="0" w:color="auto"/>
            </w:tcBorders>
            <w:shd w:val="clear" w:color="auto" w:fill="auto"/>
            <w:hideMark/>
          </w:tcPr>
          <w:p w14:paraId="51A068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IT </w:t>
            </w:r>
          </w:p>
        </w:tc>
        <w:tc>
          <w:tcPr>
            <w:tcW w:w="512" w:type="dxa"/>
            <w:tcBorders>
              <w:top w:val="single" w:sz="4" w:space="0" w:color="auto"/>
              <w:left w:val="nil"/>
              <w:bottom w:val="nil"/>
              <w:right w:val="single" w:sz="4" w:space="0" w:color="auto"/>
            </w:tcBorders>
            <w:shd w:val="clear" w:color="auto" w:fill="auto"/>
            <w:hideMark/>
          </w:tcPr>
          <w:p w14:paraId="11D68C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 ARSH,</w:t>
            </w:r>
            <w:r w:rsidRPr="00B907A3">
              <w:rPr>
                <w:rFonts w:ascii="Garamond" w:hAnsi="Garamond" w:cs="Arial"/>
                <w:color w:val="000000"/>
                <w:sz w:val="6"/>
                <w:szCs w:val="12"/>
                <w:lang w:eastAsia="en-US"/>
              </w:rPr>
              <w:br/>
              <w:t>AKSHI, DPSHTRr, MSHMS</w:t>
            </w:r>
          </w:p>
        </w:tc>
        <w:tc>
          <w:tcPr>
            <w:tcW w:w="367" w:type="dxa"/>
            <w:tcBorders>
              <w:top w:val="nil"/>
              <w:left w:val="nil"/>
              <w:bottom w:val="single" w:sz="4" w:space="0" w:color="auto"/>
              <w:right w:val="single" w:sz="8" w:space="0" w:color="auto"/>
            </w:tcBorders>
            <w:shd w:val="clear" w:color="auto" w:fill="auto"/>
            <w:hideMark/>
          </w:tcPr>
          <w:p w14:paraId="6EE0E6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nil"/>
              <w:right w:val="single" w:sz="4" w:space="0" w:color="auto"/>
            </w:tcBorders>
            <w:shd w:val="clear" w:color="auto" w:fill="auto"/>
            <w:hideMark/>
          </w:tcPr>
          <w:p w14:paraId="44EA3D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941</w:t>
            </w:r>
          </w:p>
        </w:tc>
        <w:tc>
          <w:tcPr>
            <w:tcW w:w="372" w:type="dxa"/>
            <w:tcBorders>
              <w:top w:val="nil"/>
              <w:left w:val="nil"/>
              <w:bottom w:val="single" w:sz="4" w:space="0" w:color="auto"/>
              <w:right w:val="single" w:sz="4" w:space="0" w:color="auto"/>
            </w:tcBorders>
            <w:shd w:val="clear" w:color="auto" w:fill="auto"/>
            <w:hideMark/>
          </w:tcPr>
          <w:p w14:paraId="693EE3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2C9C44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941</w:t>
            </w:r>
          </w:p>
        </w:tc>
        <w:tc>
          <w:tcPr>
            <w:tcW w:w="618" w:type="dxa"/>
            <w:tcBorders>
              <w:top w:val="nil"/>
              <w:left w:val="nil"/>
              <w:bottom w:val="single" w:sz="4" w:space="0" w:color="auto"/>
              <w:right w:val="single" w:sz="4" w:space="0" w:color="auto"/>
            </w:tcBorders>
            <w:shd w:val="clear" w:color="auto" w:fill="auto"/>
            <w:hideMark/>
          </w:tcPr>
          <w:p w14:paraId="01F32E3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94165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941</w:t>
            </w:r>
          </w:p>
        </w:tc>
        <w:tc>
          <w:tcPr>
            <w:tcW w:w="605" w:type="dxa"/>
            <w:tcBorders>
              <w:top w:val="nil"/>
              <w:left w:val="nil"/>
              <w:bottom w:val="single" w:sz="4" w:space="0" w:color="auto"/>
              <w:right w:val="single" w:sz="8" w:space="0" w:color="auto"/>
            </w:tcBorders>
            <w:shd w:val="clear" w:color="auto" w:fill="auto"/>
            <w:hideMark/>
          </w:tcPr>
          <w:p w14:paraId="0CD61D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D3A3C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E3AF2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5650</w:t>
            </w:r>
          </w:p>
        </w:tc>
        <w:tc>
          <w:tcPr>
            <w:tcW w:w="324" w:type="dxa"/>
            <w:tcBorders>
              <w:top w:val="nil"/>
              <w:left w:val="nil"/>
              <w:bottom w:val="single" w:sz="4" w:space="0" w:color="auto"/>
              <w:right w:val="single" w:sz="4" w:space="0" w:color="auto"/>
            </w:tcBorders>
            <w:shd w:val="clear" w:color="auto" w:fill="auto"/>
            <w:hideMark/>
          </w:tcPr>
          <w:p w14:paraId="06810E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5650</w:t>
            </w:r>
          </w:p>
        </w:tc>
        <w:tc>
          <w:tcPr>
            <w:tcW w:w="382" w:type="dxa"/>
            <w:tcBorders>
              <w:top w:val="nil"/>
              <w:left w:val="nil"/>
              <w:bottom w:val="single" w:sz="4" w:space="0" w:color="auto"/>
              <w:right w:val="single" w:sz="4" w:space="0" w:color="auto"/>
            </w:tcBorders>
            <w:shd w:val="clear" w:color="auto" w:fill="auto"/>
            <w:hideMark/>
          </w:tcPr>
          <w:p w14:paraId="200F18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7E2F00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5650</w:t>
            </w:r>
          </w:p>
        </w:tc>
        <w:tc>
          <w:tcPr>
            <w:tcW w:w="369" w:type="dxa"/>
            <w:tcBorders>
              <w:top w:val="nil"/>
              <w:left w:val="nil"/>
              <w:bottom w:val="single" w:sz="4" w:space="0" w:color="auto"/>
              <w:right w:val="nil"/>
            </w:tcBorders>
            <w:shd w:val="clear" w:color="auto" w:fill="auto"/>
            <w:hideMark/>
          </w:tcPr>
          <w:p w14:paraId="6C273F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38BBFA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72" w:type="dxa"/>
            <w:tcBorders>
              <w:top w:val="nil"/>
              <w:left w:val="nil"/>
              <w:bottom w:val="single" w:sz="4" w:space="0" w:color="auto"/>
              <w:right w:val="single" w:sz="4" w:space="0" w:color="auto"/>
            </w:tcBorders>
            <w:shd w:val="clear" w:color="auto" w:fill="auto"/>
            <w:hideMark/>
          </w:tcPr>
          <w:p w14:paraId="1E7F20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0E0E29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82" w:type="dxa"/>
            <w:tcBorders>
              <w:top w:val="nil"/>
              <w:left w:val="nil"/>
              <w:bottom w:val="single" w:sz="4" w:space="0" w:color="auto"/>
              <w:right w:val="single" w:sz="4" w:space="0" w:color="auto"/>
            </w:tcBorders>
            <w:shd w:val="clear" w:color="auto" w:fill="auto"/>
            <w:hideMark/>
          </w:tcPr>
          <w:p w14:paraId="504EDE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82" w:type="dxa"/>
            <w:tcBorders>
              <w:top w:val="nil"/>
              <w:left w:val="nil"/>
              <w:bottom w:val="single" w:sz="4" w:space="0" w:color="auto"/>
              <w:right w:val="single" w:sz="4" w:space="0" w:color="auto"/>
            </w:tcBorders>
            <w:shd w:val="clear" w:color="auto" w:fill="auto"/>
            <w:hideMark/>
          </w:tcPr>
          <w:p w14:paraId="7CC403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06CFD5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auto" w:fill="auto"/>
            <w:hideMark/>
          </w:tcPr>
          <w:p w14:paraId="6E33159D" w14:textId="24280A4B" w:rsidR="00962754" w:rsidRPr="00B907A3" w:rsidRDefault="001F3BCF"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Baza e të dhënave të</w:t>
            </w:r>
            <w:r w:rsidR="00962754" w:rsidRPr="00B907A3">
              <w:rPr>
                <w:rFonts w:ascii="Garamond" w:hAnsi="Garamond" w:cs="Arial"/>
                <w:color w:val="000000"/>
                <w:sz w:val="6"/>
                <w:szCs w:val="12"/>
                <w:lang w:eastAsia="en-US"/>
              </w:rPr>
              <w:t xml:space="preserve"> integruara e krijuar</w:t>
            </w:r>
          </w:p>
        </w:tc>
        <w:tc>
          <w:tcPr>
            <w:tcW w:w="442" w:type="dxa"/>
            <w:tcBorders>
              <w:top w:val="nil"/>
              <w:left w:val="nil"/>
              <w:bottom w:val="single" w:sz="4" w:space="0" w:color="auto"/>
              <w:right w:val="single" w:sz="4" w:space="0" w:color="auto"/>
            </w:tcBorders>
            <w:shd w:val="clear" w:color="auto" w:fill="auto"/>
            <w:hideMark/>
          </w:tcPr>
          <w:p w14:paraId="38D10D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MIE-së dhe IT-së</w:t>
            </w:r>
          </w:p>
        </w:tc>
        <w:tc>
          <w:tcPr>
            <w:tcW w:w="287" w:type="dxa"/>
            <w:tcBorders>
              <w:top w:val="nil"/>
              <w:left w:val="nil"/>
              <w:bottom w:val="single" w:sz="4" w:space="0" w:color="auto"/>
              <w:right w:val="single" w:sz="8" w:space="0" w:color="auto"/>
            </w:tcBorders>
            <w:shd w:val="clear" w:color="000000" w:fill="FFFFFF"/>
            <w:hideMark/>
          </w:tcPr>
          <w:p w14:paraId="46F3CC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1FF9AFC"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DF7A24A" w14:textId="77777777" w:rsidTr="00962754">
        <w:trPr>
          <w:trHeight w:val="20"/>
        </w:trPr>
        <w:tc>
          <w:tcPr>
            <w:tcW w:w="718" w:type="dxa"/>
            <w:tcBorders>
              <w:top w:val="nil"/>
              <w:left w:val="single" w:sz="8" w:space="0" w:color="auto"/>
              <w:bottom w:val="single" w:sz="8" w:space="0" w:color="auto"/>
              <w:right w:val="single" w:sz="4" w:space="0" w:color="auto"/>
            </w:tcBorders>
            <w:shd w:val="clear" w:color="000000" w:fill="FFF2CC"/>
            <w:vAlign w:val="center"/>
            <w:hideMark/>
          </w:tcPr>
          <w:p w14:paraId="362F9FB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8" w:space="0" w:color="auto"/>
              <w:right w:val="single" w:sz="4" w:space="0" w:color="auto"/>
            </w:tcBorders>
            <w:shd w:val="clear" w:color="auto" w:fill="auto"/>
            <w:vAlign w:val="center"/>
            <w:hideMark/>
          </w:tcPr>
          <w:p w14:paraId="5C0E56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8" w:space="0" w:color="auto"/>
              <w:right w:val="single" w:sz="4" w:space="0" w:color="auto"/>
            </w:tcBorders>
            <w:shd w:val="clear" w:color="auto" w:fill="auto"/>
            <w:vAlign w:val="center"/>
            <w:hideMark/>
          </w:tcPr>
          <w:p w14:paraId="2D2C14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8" w:space="0" w:color="auto"/>
              <w:right w:val="single" w:sz="4" w:space="0" w:color="auto"/>
            </w:tcBorders>
            <w:shd w:val="clear" w:color="auto" w:fill="auto"/>
            <w:vAlign w:val="center"/>
            <w:hideMark/>
          </w:tcPr>
          <w:p w14:paraId="0F11F4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8" w:space="0" w:color="auto"/>
              <w:right w:val="single" w:sz="4" w:space="0" w:color="auto"/>
            </w:tcBorders>
            <w:shd w:val="clear" w:color="auto" w:fill="auto"/>
            <w:vAlign w:val="center"/>
            <w:hideMark/>
          </w:tcPr>
          <w:p w14:paraId="3EDCD7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8" w:space="0" w:color="auto"/>
              <w:right w:val="single" w:sz="4" w:space="0" w:color="auto"/>
            </w:tcBorders>
            <w:shd w:val="clear" w:color="auto" w:fill="auto"/>
            <w:vAlign w:val="center"/>
            <w:hideMark/>
          </w:tcPr>
          <w:p w14:paraId="3948A6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single" w:sz="4" w:space="0" w:color="auto"/>
              <w:left w:val="nil"/>
              <w:bottom w:val="single" w:sz="8" w:space="0" w:color="auto"/>
              <w:right w:val="single" w:sz="4" w:space="0" w:color="auto"/>
            </w:tcBorders>
            <w:shd w:val="clear" w:color="auto" w:fill="auto"/>
            <w:vAlign w:val="center"/>
            <w:hideMark/>
          </w:tcPr>
          <w:p w14:paraId="3325C8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8" w:space="0" w:color="auto"/>
              <w:right w:val="single" w:sz="4" w:space="0" w:color="auto"/>
            </w:tcBorders>
            <w:shd w:val="clear" w:color="auto" w:fill="auto"/>
            <w:vAlign w:val="center"/>
            <w:hideMark/>
          </w:tcPr>
          <w:p w14:paraId="4B8D21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8" w:space="0" w:color="auto"/>
              <w:right w:val="single" w:sz="8" w:space="0" w:color="auto"/>
            </w:tcBorders>
            <w:shd w:val="clear" w:color="auto" w:fill="auto"/>
            <w:vAlign w:val="center"/>
            <w:hideMark/>
          </w:tcPr>
          <w:p w14:paraId="00509A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2F366A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8" w:space="0" w:color="auto"/>
              <w:right w:val="single" w:sz="4" w:space="0" w:color="auto"/>
            </w:tcBorders>
            <w:shd w:val="clear" w:color="000000" w:fill="FFF2CC"/>
            <w:vAlign w:val="center"/>
            <w:hideMark/>
          </w:tcPr>
          <w:p w14:paraId="5593963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8" w:space="0" w:color="auto"/>
              <w:right w:val="single" w:sz="4" w:space="0" w:color="auto"/>
            </w:tcBorders>
            <w:shd w:val="clear" w:color="auto" w:fill="auto"/>
            <w:vAlign w:val="center"/>
            <w:hideMark/>
          </w:tcPr>
          <w:p w14:paraId="19F787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8" w:space="0" w:color="auto"/>
              <w:right w:val="single" w:sz="4" w:space="0" w:color="auto"/>
            </w:tcBorders>
            <w:shd w:val="clear" w:color="auto" w:fill="auto"/>
            <w:vAlign w:val="center"/>
            <w:hideMark/>
          </w:tcPr>
          <w:p w14:paraId="480C0A4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8" w:space="0" w:color="auto"/>
              <w:right w:val="single" w:sz="8" w:space="0" w:color="auto"/>
            </w:tcBorders>
            <w:shd w:val="clear" w:color="auto" w:fill="auto"/>
            <w:vAlign w:val="center"/>
            <w:hideMark/>
          </w:tcPr>
          <w:p w14:paraId="10F2F4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8" w:space="0" w:color="auto"/>
              <w:right w:val="single" w:sz="4" w:space="0" w:color="auto"/>
            </w:tcBorders>
            <w:shd w:val="clear" w:color="auto" w:fill="auto"/>
            <w:vAlign w:val="center"/>
            <w:hideMark/>
          </w:tcPr>
          <w:p w14:paraId="5399A6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auto" w:fill="auto"/>
            <w:vAlign w:val="center"/>
            <w:hideMark/>
          </w:tcPr>
          <w:p w14:paraId="4882BC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8" w:space="0" w:color="auto"/>
              <w:right w:val="single" w:sz="4" w:space="0" w:color="auto"/>
            </w:tcBorders>
            <w:shd w:val="clear" w:color="auto" w:fill="auto"/>
            <w:vAlign w:val="center"/>
            <w:hideMark/>
          </w:tcPr>
          <w:p w14:paraId="5A74F4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8" w:space="0" w:color="auto"/>
              <w:right w:val="single" w:sz="4" w:space="0" w:color="auto"/>
            </w:tcBorders>
            <w:shd w:val="clear" w:color="auto" w:fill="auto"/>
            <w:vAlign w:val="center"/>
            <w:hideMark/>
          </w:tcPr>
          <w:p w14:paraId="53E6BB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8" w:space="0" w:color="auto"/>
              <w:right w:val="single" w:sz="4" w:space="0" w:color="auto"/>
            </w:tcBorders>
            <w:shd w:val="clear" w:color="auto" w:fill="auto"/>
            <w:vAlign w:val="center"/>
            <w:hideMark/>
          </w:tcPr>
          <w:p w14:paraId="55B0AB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8" w:space="0" w:color="auto"/>
              <w:right w:val="single" w:sz="8" w:space="0" w:color="auto"/>
            </w:tcBorders>
            <w:shd w:val="clear" w:color="auto" w:fill="auto"/>
            <w:vAlign w:val="center"/>
            <w:hideMark/>
          </w:tcPr>
          <w:p w14:paraId="75BE66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auto" w:fill="auto"/>
            <w:vAlign w:val="center"/>
            <w:hideMark/>
          </w:tcPr>
          <w:p w14:paraId="245FAF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auto" w:fill="auto"/>
            <w:vAlign w:val="center"/>
            <w:hideMark/>
          </w:tcPr>
          <w:p w14:paraId="05EF4D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8" w:space="0" w:color="auto"/>
              <w:right w:val="single" w:sz="4" w:space="0" w:color="auto"/>
            </w:tcBorders>
            <w:shd w:val="clear" w:color="auto" w:fill="auto"/>
            <w:vAlign w:val="center"/>
            <w:hideMark/>
          </w:tcPr>
          <w:p w14:paraId="4886E4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auto" w:fill="auto"/>
            <w:vAlign w:val="center"/>
            <w:hideMark/>
          </w:tcPr>
          <w:p w14:paraId="7A09C6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auto" w:fill="auto"/>
            <w:vAlign w:val="center"/>
            <w:hideMark/>
          </w:tcPr>
          <w:p w14:paraId="641A55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8" w:space="0" w:color="auto"/>
              <w:right w:val="nil"/>
            </w:tcBorders>
            <w:shd w:val="clear" w:color="auto" w:fill="auto"/>
            <w:vAlign w:val="center"/>
            <w:hideMark/>
          </w:tcPr>
          <w:p w14:paraId="613C6D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vAlign w:val="center"/>
            <w:hideMark/>
          </w:tcPr>
          <w:p w14:paraId="6634E7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16B46E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vAlign w:val="center"/>
            <w:hideMark/>
          </w:tcPr>
          <w:p w14:paraId="22FE7C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vAlign w:val="center"/>
            <w:hideMark/>
          </w:tcPr>
          <w:p w14:paraId="17F69B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vAlign w:val="center"/>
            <w:hideMark/>
          </w:tcPr>
          <w:p w14:paraId="6AB5D7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vAlign w:val="center"/>
            <w:hideMark/>
          </w:tcPr>
          <w:p w14:paraId="5D1466D9"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8" w:space="0" w:color="auto"/>
              <w:right w:val="single" w:sz="4" w:space="0" w:color="auto"/>
            </w:tcBorders>
            <w:shd w:val="clear" w:color="auto" w:fill="auto"/>
            <w:vAlign w:val="center"/>
            <w:hideMark/>
          </w:tcPr>
          <w:p w14:paraId="72BA7F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8" w:space="0" w:color="auto"/>
              <w:right w:val="single" w:sz="4" w:space="0" w:color="auto"/>
            </w:tcBorders>
            <w:shd w:val="clear" w:color="auto" w:fill="auto"/>
            <w:vAlign w:val="center"/>
            <w:hideMark/>
          </w:tcPr>
          <w:p w14:paraId="77A8147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8" w:space="0" w:color="auto"/>
              <w:right w:val="single" w:sz="8" w:space="0" w:color="auto"/>
            </w:tcBorders>
            <w:shd w:val="clear" w:color="000000" w:fill="FFFFFF"/>
            <w:vAlign w:val="center"/>
            <w:hideMark/>
          </w:tcPr>
          <w:p w14:paraId="062633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02875C96"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7E653572"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EE0000"/>
            <w:vAlign w:val="center"/>
            <w:hideMark/>
          </w:tcPr>
          <w:p w14:paraId="4019A26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EE0000"/>
            <w:vAlign w:val="center"/>
            <w:hideMark/>
          </w:tcPr>
          <w:p w14:paraId="327889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EE0000"/>
            <w:vAlign w:val="center"/>
            <w:hideMark/>
          </w:tcPr>
          <w:p w14:paraId="553E3C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EE0000"/>
            <w:vAlign w:val="center"/>
            <w:hideMark/>
          </w:tcPr>
          <w:p w14:paraId="4F9A288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6812D0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34D428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4A318D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EE0000"/>
            <w:vAlign w:val="center"/>
            <w:hideMark/>
          </w:tcPr>
          <w:p w14:paraId="6A0DEC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EE0000"/>
            <w:vAlign w:val="center"/>
            <w:hideMark/>
          </w:tcPr>
          <w:p w14:paraId="3331CA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EE0000"/>
            <w:vAlign w:val="center"/>
            <w:hideMark/>
          </w:tcPr>
          <w:p w14:paraId="184305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EE0000"/>
            <w:vAlign w:val="center"/>
            <w:hideMark/>
          </w:tcPr>
          <w:p w14:paraId="5E2A345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EE0000"/>
            <w:vAlign w:val="center"/>
            <w:hideMark/>
          </w:tcPr>
          <w:p w14:paraId="1427A3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EE0000"/>
            <w:vAlign w:val="center"/>
            <w:hideMark/>
          </w:tcPr>
          <w:p w14:paraId="4FAFF6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EE0000"/>
            <w:vAlign w:val="center"/>
            <w:hideMark/>
          </w:tcPr>
          <w:p w14:paraId="2C95EA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0E5563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7CE055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EE0000"/>
            <w:vAlign w:val="center"/>
            <w:hideMark/>
          </w:tcPr>
          <w:p w14:paraId="4539210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3BB567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395294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4" w:space="0" w:color="auto"/>
            </w:tcBorders>
            <w:shd w:val="clear" w:color="000000" w:fill="EE0000"/>
            <w:vAlign w:val="center"/>
            <w:hideMark/>
          </w:tcPr>
          <w:p w14:paraId="300A15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0DF8E2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200A66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4A0F75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4E22ED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2CF59E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EE0000"/>
            <w:vAlign w:val="center"/>
            <w:hideMark/>
          </w:tcPr>
          <w:p w14:paraId="65D9E8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8" w:space="0" w:color="auto"/>
              <w:right w:val="single" w:sz="4" w:space="0" w:color="auto"/>
            </w:tcBorders>
            <w:shd w:val="clear" w:color="000000" w:fill="EE0000"/>
            <w:vAlign w:val="center"/>
            <w:hideMark/>
          </w:tcPr>
          <w:p w14:paraId="73B682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000000" w:fill="EE0000"/>
            <w:vAlign w:val="center"/>
            <w:hideMark/>
          </w:tcPr>
          <w:p w14:paraId="3BABE2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8" w:space="0" w:color="auto"/>
              <w:right w:val="single" w:sz="4" w:space="0" w:color="auto"/>
            </w:tcBorders>
            <w:shd w:val="clear" w:color="000000" w:fill="EE0000"/>
            <w:vAlign w:val="center"/>
            <w:hideMark/>
          </w:tcPr>
          <w:p w14:paraId="4C2B2A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EE0000"/>
            <w:vAlign w:val="center"/>
            <w:hideMark/>
          </w:tcPr>
          <w:p w14:paraId="2F00BD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EE0000"/>
            <w:vAlign w:val="center"/>
            <w:hideMark/>
          </w:tcPr>
          <w:p w14:paraId="4A7898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8" w:space="0" w:color="auto"/>
              <w:right w:val="single" w:sz="8" w:space="0" w:color="auto"/>
            </w:tcBorders>
            <w:shd w:val="clear" w:color="000000" w:fill="EE0000"/>
            <w:vAlign w:val="center"/>
            <w:hideMark/>
          </w:tcPr>
          <w:p w14:paraId="0F8A7785"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EE0000"/>
            <w:vAlign w:val="center"/>
            <w:hideMark/>
          </w:tcPr>
          <w:p w14:paraId="4E17DF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EE0000"/>
            <w:vAlign w:val="center"/>
            <w:hideMark/>
          </w:tcPr>
          <w:p w14:paraId="04EB64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EE0000"/>
            <w:vAlign w:val="center"/>
            <w:hideMark/>
          </w:tcPr>
          <w:p w14:paraId="557B7F1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DC80B44" w14:textId="77777777" w:rsidR="00962754" w:rsidRPr="00B907A3" w:rsidRDefault="00962754" w:rsidP="00962754">
            <w:pPr>
              <w:spacing w:after="0"/>
              <w:jc w:val="left"/>
              <w:rPr>
                <w:rFonts w:ascii="Garamond" w:hAnsi="Garamond" w:cs="Arial"/>
                <w:color w:val="000000"/>
                <w:sz w:val="6"/>
                <w:szCs w:val="12"/>
                <w:lang w:eastAsia="en-US"/>
              </w:rPr>
            </w:pPr>
          </w:p>
        </w:tc>
      </w:tr>
      <w:tr w:rsidR="00B907A3" w:rsidRPr="00B907A3" w14:paraId="784B10ED"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FFF2CC"/>
            <w:hideMark/>
          </w:tcPr>
          <w:p w14:paraId="0BC05F7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single" w:sz="8" w:space="0" w:color="auto"/>
              <w:bottom w:val="single" w:sz="4" w:space="0" w:color="auto"/>
              <w:right w:val="single" w:sz="4" w:space="0" w:color="auto"/>
            </w:tcBorders>
            <w:shd w:val="clear" w:color="000000" w:fill="FFF2CC"/>
            <w:hideMark/>
          </w:tcPr>
          <w:p w14:paraId="6E1AEDE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nil"/>
              <w:left w:val="single" w:sz="8" w:space="0" w:color="auto"/>
              <w:bottom w:val="single" w:sz="4" w:space="0" w:color="auto"/>
              <w:right w:val="single" w:sz="4" w:space="0" w:color="auto"/>
            </w:tcBorders>
            <w:shd w:val="clear" w:color="000000" w:fill="FFF2CC"/>
            <w:hideMark/>
          </w:tcPr>
          <w:p w14:paraId="1A24E3E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nil"/>
              <w:left w:val="single" w:sz="8" w:space="0" w:color="auto"/>
              <w:bottom w:val="single" w:sz="4" w:space="0" w:color="auto"/>
              <w:right w:val="single" w:sz="4" w:space="0" w:color="auto"/>
            </w:tcBorders>
            <w:shd w:val="clear" w:color="000000" w:fill="FFF2CC"/>
            <w:hideMark/>
          </w:tcPr>
          <w:p w14:paraId="1447BE8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single" w:sz="8" w:space="0" w:color="auto"/>
              <w:bottom w:val="single" w:sz="4" w:space="0" w:color="auto"/>
              <w:right w:val="single" w:sz="4" w:space="0" w:color="auto"/>
            </w:tcBorders>
            <w:shd w:val="clear" w:color="000000" w:fill="FFF2CC"/>
            <w:hideMark/>
          </w:tcPr>
          <w:p w14:paraId="1F642D7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single" w:sz="8" w:space="0" w:color="auto"/>
              <w:bottom w:val="single" w:sz="4" w:space="0" w:color="auto"/>
              <w:right w:val="single" w:sz="4" w:space="0" w:color="auto"/>
            </w:tcBorders>
            <w:shd w:val="clear" w:color="000000" w:fill="FFF2CC"/>
            <w:hideMark/>
          </w:tcPr>
          <w:p w14:paraId="612FDB9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single" w:sz="8" w:space="0" w:color="auto"/>
              <w:bottom w:val="single" w:sz="4" w:space="0" w:color="auto"/>
              <w:right w:val="single" w:sz="4" w:space="0" w:color="auto"/>
            </w:tcBorders>
            <w:shd w:val="clear" w:color="000000" w:fill="FFF2CC"/>
            <w:hideMark/>
          </w:tcPr>
          <w:p w14:paraId="0408B2D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nil"/>
              <w:left w:val="single" w:sz="8" w:space="0" w:color="auto"/>
              <w:bottom w:val="single" w:sz="4" w:space="0" w:color="auto"/>
              <w:right w:val="single" w:sz="4" w:space="0" w:color="auto"/>
            </w:tcBorders>
            <w:shd w:val="clear" w:color="000000" w:fill="FFF2CC"/>
            <w:hideMark/>
          </w:tcPr>
          <w:p w14:paraId="5CC07F7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nil"/>
              <w:left w:val="single" w:sz="8" w:space="0" w:color="auto"/>
              <w:bottom w:val="single" w:sz="4" w:space="0" w:color="auto"/>
              <w:right w:val="single" w:sz="4" w:space="0" w:color="auto"/>
            </w:tcBorders>
            <w:shd w:val="clear" w:color="000000" w:fill="FFF2CC"/>
            <w:hideMark/>
          </w:tcPr>
          <w:p w14:paraId="5FE626D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single" w:sz="8" w:space="0" w:color="auto"/>
              <w:bottom w:val="single" w:sz="4" w:space="0" w:color="auto"/>
              <w:right w:val="single" w:sz="4" w:space="0" w:color="auto"/>
            </w:tcBorders>
            <w:shd w:val="clear" w:color="000000" w:fill="FFF2CC"/>
            <w:hideMark/>
          </w:tcPr>
          <w:p w14:paraId="1B6D95B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4" w:space="0" w:color="auto"/>
              <w:right w:val="single" w:sz="4" w:space="0" w:color="auto"/>
            </w:tcBorders>
            <w:shd w:val="clear" w:color="000000" w:fill="FFF2CC"/>
            <w:hideMark/>
          </w:tcPr>
          <w:p w14:paraId="56159ED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single" w:sz="8" w:space="0" w:color="auto"/>
              <w:bottom w:val="single" w:sz="4" w:space="0" w:color="auto"/>
              <w:right w:val="single" w:sz="4" w:space="0" w:color="auto"/>
            </w:tcBorders>
            <w:shd w:val="clear" w:color="000000" w:fill="FFF2CC"/>
            <w:hideMark/>
          </w:tcPr>
          <w:p w14:paraId="167B86A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nil"/>
              <w:left w:val="single" w:sz="8" w:space="0" w:color="auto"/>
              <w:bottom w:val="single" w:sz="4" w:space="0" w:color="auto"/>
              <w:right w:val="single" w:sz="4" w:space="0" w:color="auto"/>
            </w:tcBorders>
            <w:shd w:val="clear" w:color="000000" w:fill="FFF2CC"/>
            <w:hideMark/>
          </w:tcPr>
          <w:p w14:paraId="1BE8B73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nil"/>
              <w:left w:val="single" w:sz="8" w:space="0" w:color="auto"/>
              <w:bottom w:val="single" w:sz="4" w:space="0" w:color="auto"/>
              <w:right w:val="single" w:sz="4" w:space="0" w:color="auto"/>
            </w:tcBorders>
            <w:shd w:val="clear" w:color="000000" w:fill="FFF2CC"/>
            <w:hideMark/>
          </w:tcPr>
          <w:p w14:paraId="49CA767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2CC"/>
            <w:hideMark/>
          </w:tcPr>
          <w:p w14:paraId="772F0B1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2CC"/>
            <w:hideMark/>
          </w:tcPr>
          <w:p w14:paraId="62C87D9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nil"/>
              <w:left w:val="single" w:sz="8" w:space="0" w:color="auto"/>
              <w:bottom w:val="single" w:sz="4" w:space="0" w:color="auto"/>
              <w:right w:val="single" w:sz="4" w:space="0" w:color="auto"/>
            </w:tcBorders>
            <w:shd w:val="clear" w:color="000000" w:fill="FFF2CC"/>
            <w:hideMark/>
          </w:tcPr>
          <w:p w14:paraId="4086F1C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21396</w:t>
            </w:r>
          </w:p>
        </w:tc>
        <w:tc>
          <w:tcPr>
            <w:tcW w:w="618" w:type="dxa"/>
            <w:tcBorders>
              <w:top w:val="nil"/>
              <w:left w:val="single" w:sz="8" w:space="0" w:color="auto"/>
              <w:bottom w:val="single" w:sz="4" w:space="0" w:color="auto"/>
              <w:right w:val="single" w:sz="4" w:space="0" w:color="auto"/>
            </w:tcBorders>
            <w:shd w:val="clear" w:color="000000" w:fill="FFF2CC"/>
            <w:hideMark/>
          </w:tcPr>
          <w:p w14:paraId="13F65D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single" w:sz="8" w:space="0" w:color="auto"/>
              <w:bottom w:val="single" w:sz="4" w:space="0" w:color="auto"/>
              <w:right w:val="single" w:sz="4" w:space="0" w:color="auto"/>
            </w:tcBorders>
            <w:shd w:val="clear" w:color="000000" w:fill="FFF2CC"/>
            <w:hideMark/>
          </w:tcPr>
          <w:p w14:paraId="6D5B81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18396</w:t>
            </w:r>
          </w:p>
        </w:tc>
        <w:tc>
          <w:tcPr>
            <w:tcW w:w="605" w:type="dxa"/>
            <w:tcBorders>
              <w:top w:val="nil"/>
              <w:left w:val="single" w:sz="8" w:space="0" w:color="auto"/>
              <w:bottom w:val="single" w:sz="4" w:space="0" w:color="auto"/>
              <w:right w:val="single" w:sz="4" w:space="0" w:color="auto"/>
            </w:tcBorders>
            <w:shd w:val="clear" w:color="000000" w:fill="FFF2CC"/>
            <w:hideMark/>
          </w:tcPr>
          <w:p w14:paraId="6A73A4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3000</w:t>
            </w:r>
          </w:p>
        </w:tc>
        <w:tc>
          <w:tcPr>
            <w:tcW w:w="372" w:type="dxa"/>
            <w:tcBorders>
              <w:top w:val="nil"/>
              <w:left w:val="single" w:sz="8" w:space="0" w:color="auto"/>
              <w:bottom w:val="single" w:sz="4" w:space="0" w:color="auto"/>
              <w:right w:val="single" w:sz="4" w:space="0" w:color="auto"/>
            </w:tcBorders>
            <w:shd w:val="clear" w:color="000000" w:fill="FFF2CC"/>
            <w:hideMark/>
          </w:tcPr>
          <w:p w14:paraId="716EFA6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2CC"/>
            <w:hideMark/>
          </w:tcPr>
          <w:p w14:paraId="49889B3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single" w:sz="8" w:space="0" w:color="auto"/>
              <w:bottom w:val="single" w:sz="4" w:space="0" w:color="auto"/>
              <w:right w:val="single" w:sz="4" w:space="0" w:color="auto"/>
            </w:tcBorders>
            <w:shd w:val="clear" w:color="000000" w:fill="FFF2CC"/>
            <w:hideMark/>
          </w:tcPr>
          <w:p w14:paraId="18B701D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220378</w:t>
            </w:r>
          </w:p>
        </w:tc>
        <w:tc>
          <w:tcPr>
            <w:tcW w:w="382" w:type="dxa"/>
            <w:tcBorders>
              <w:top w:val="nil"/>
              <w:left w:val="single" w:sz="8" w:space="0" w:color="auto"/>
              <w:bottom w:val="single" w:sz="4" w:space="0" w:color="auto"/>
              <w:right w:val="single" w:sz="4" w:space="0" w:color="auto"/>
            </w:tcBorders>
            <w:shd w:val="clear" w:color="000000" w:fill="FFF2CC"/>
            <w:hideMark/>
          </w:tcPr>
          <w:p w14:paraId="3FCD864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single" w:sz="8" w:space="0" w:color="auto"/>
              <w:bottom w:val="single" w:sz="4" w:space="0" w:color="auto"/>
              <w:right w:val="single" w:sz="4" w:space="0" w:color="auto"/>
            </w:tcBorders>
            <w:shd w:val="clear" w:color="000000" w:fill="FFF2CC"/>
            <w:hideMark/>
          </w:tcPr>
          <w:p w14:paraId="4AA5BD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215378</w:t>
            </w:r>
          </w:p>
        </w:tc>
        <w:tc>
          <w:tcPr>
            <w:tcW w:w="369" w:type="dxa"/>
            <w:tcBorders>
              <w:top w:val="nil"/>
              <w:left w:val="single" w:sz="8" w:space="0" w:color="auto"/>
              <w:bottom w:val="single" w:sz="4" w:space="0" w:color="auto"/>
              <w:right w:val="single" w:sz="4" w:space="0" w:color="auto"/>
            </w:tcBorders>
            <w:shd w:val="clear" w:color="000000" w:fill="FFF2CC"/>
            <w:hideMark/>
          </w:tcPr>
          <w:p w14:paraId="5355FC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72" w:type="dxa"/>
            <w:tcBorders>
              <w:top w:val="single" w:sz="4" w:space="0" w:color="auto"/>
              <w:left w:val="single" w:sz="8" w:space="0" w:color="auto"/>
              <w:bottom w:val="single" w:sz="4" w:space="0" w:color="auto"/>
              <w:right w:val="single" w:sz="4" w:space="0" w:color="auto"/>
            </w:tcBorders>
            <w:shd w:val="clear" w:color="000000" w:fill="FFF2CC"/>
            <w:hideMark/>
          </w:tcPr>
          <w:p w14:paraId="24BFB0B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single" w:sz="8" w:space="0" w:color="auto"/>
              <w:bottom w:val="single" w:sz="4" w:space="0" w:color="auto"/>
              <w:right w:val="single" w:sz="4" w:space="0" w:color="auto"/>
            </w:tcBorders>
            <w:shd w:val="clear" w:color="000000" w:fill="FFF2CC"/>
            <w:hideMark/>
          </w:tcPr>
          <w:p w14:paraId="68EC0F8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single" w:sz="4" w:space="0" w:color="auto"/>
              <w:left w:val="single" w:sz="8" w:space="0" w:color="auto"/>
              <w:bottom w:val="single" w:sz="4" w:space="0" w:color="auto"/>
              <w:right w:val="single" w:sz="4" w:space="0" w:color="auto"/>
            </w:tcBorders>
            <w:shd w:val="clear" w:color="000000" w:fill="FFF2CC"/>
            <w:hideMark/>
          </w:tcPr>
          <w:p w14:paraId="431CE28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7500</w:t>
            </w:r>
          </w:p>
        </w:tc>
        <w:tc>
          <w:tcPr>
            <w:tcW w:w="382" w:type="dxa"/>
            <w:tcBorders>
              <w:top w:val="single" w:sz="4" w:space="0" w:color="auto"/>
              <w:left w:val="single" w:sz="8" w:space="0" w:color="auto"/>
              <w:bottom w:val="single" w:sz="4" w:space="0" w:color="auto"/>
              <w:right w:val="single" w:sz="4" w:space="0" w:color="auto"/>
            </w:tcBorders>
            <w:shd w:val="clear" w:color="000000" w:fill="FFF2CC"/>
            <w:hideMark/>
          </w:tcPr>
          <w:p w14:paraId="462BDE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82" w:type="dxa"/>
            <w:tcBorders>
              <w:top w:val="single" w:sz="4" w:space="0" w:color="auto"/>
              <w:left w:val="single" w:sz="8" w:space="0" w:color="auto"/>
              <w:bottom w:val="single" w:sz="4" w:space="0" w:color="auto"/>
              <w:right w:val="single" w:sz="4" w:space="0" w:color="auto"/>
            </w:tcBorders>
            <w:shd w:val="clear" w:color="000000" w:fill="FFF2CC"/>
            <w:hideMark/>
          </w:tcPr>
          <w:p w14:paraId="1BFB970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69" w:type="dxa"/>
            <w:tcBorders>
              <w:top w:val="single" w:sz="4" w:space="0" w:color="auto"/>
              <w:left w:val="single" w:sz="8" w:space="0" w:color="auto"/>
              <w:bottom w:val="single" w:sz="4" w:space="0" w:color="auto"/>
              <w:right w:val="single" w:sz="4" w:space="0" w:color="auto"/>
            </w:tcBorders>
            <w:shd w:val="clear" w:color="000000" w:fill="FFF2CC"/>
            <w:hideMark/>
          </w:tcPr>
          <w:p w14:paraId="1DDD88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7000</w:t>
            </w:r>
          </w:p>
        </w:tc>
        <w:tc>
          <w:tcPr>
            <w:tcW w:w="464" w:type="dxa"/>
            <w:tcBorders>
              <w:top w:val="nil"/>
              <w:left w:val="single" w:sz="8" w:space="0" w:color="auto"/>
              <w:bottom w:val="single" w:sz="4" w:space="0" w:color="auto"/>
              <w:right w:val="single" w:sz="4" w:space="0" w:color="auto"/>
            </w:tcBorders>
            <w:shd w:val="clear" w:color="000000" w:fill="FFF2CC"/>
            <w:hideMark/>
          </w:tcPr>
          <w:p w14:paraId="56C520B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nil"/>
              <w:left w:val="single" w:sz="8" w:space="0" w:color="auto"/>
              <w:bottom w:val="single" w:sz="4" w:space="0" w:color="auto"/>
              <w:right w:val="single" w:sz="4" w:space="0" w:color="auto"/>
            </w:tcBorders>
            <w:shd w:val="clear" w:color="000000" w:fill="FFF2CC"/>
            <w:hideMark/>
          </w:tcPr>
          <w:p w14:paraId="6383F60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nil"/>
              <w:left w:val="single" w:sz="8" w:space="0" w:color="auto"/>
              <w:bottom w:val="single" w:sz="4" w:space="0" w:color="auto"/>
              <w:right w:val="single" w:sz="4" w:space="0" w:color="auto"/>
            </w:tcBorders>
            <w:shd w:val="clear" w:color="000000" w:fill="FFF2CC"/>
            <w:hideMark/>
          </w:tcPr>
          <w:p w14:paraId="5882283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single" w:sz="4" w:space="0" w:color="auto"/>
              <w:left w:val="single" w:sz="8" w:space="0" w:color="auto"/>
              <w:bottom w:val="single" w:sz="4" w:space="0" w:color="auto"/>
              <w:right w:val="single" w:sz="4" w:space="0" w:color="auto"/>
            </w:tcBorders>
            <w:shd w:val="clear" w:color="000000" w:fill="FFF2CC"/>
            <w:hideMark/>
          </w:tcPr>
          <w:p w14:paraId="144D65E7"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249274</w:t>
            </w:r>
          </w:p>
        </w:tc>
      </w:tr>
      <w:tr w:rsidR="00962754" w:rsidRPr="00B907A3" w14:paraId="11470B0F" w14:textId="77777777" w:rsidTr="00962754">
        <w:trPr>
          <w:trHeight w:val="20"/>
        </w:trPr>
        <w:tc>
          <w:tcPr>
            <w:tcW w:w="718" w:type="dxa"/>
            <w:tcBorders>
              <w:top w:val="nil"/>
              <w:left w:val="nil"/>
              <w:bottom w:val="nil"/>
              <w:right w:val="nil"/>
            </w:tcBorders>
            <w:shd w:val="clear" w:color="auto" w:fill="auto"/>
            <w:noWrap/>
            <w:vAlign w:val="bottom"/>
            <w:hideMark/>
          </w:tcPr>
          <w:p w14:paraId="72D55545" w14:textId="77777777" w:rsidR="00962754" w:rsidRPr="00B907A3" w:rsidRDefault="00962754" w:rsidP="00962754">
            <w:pPr>
              <w:spacing w:after="0"/>
              <w:jc w:val="right"/>
              <w:rPr>
                <w:rFonts w:ascii="Garamond" w:hAnsi="Garamond" w:cs="Arial"/>
                <w:b/>
                <w:bCs/>
                <w:color w:val="000000"/>
                <w:sz w:val="6"/>
                <w:szCs w:val="12"/>
                <w:lang w:eastAsia="en-US"/>
              </w:rPr>
            </w:pPr>
          </w:p>
        </w:tc>
        <w:tc>
          <w:tcPr>
            <w:tcW w:w="571" w:type="dxa"/>
            <w:tcBorders>
              <w:top w:val="nil"/>
              <w:left w:val="nil"/>
              <w:bottom w:val="nil"/>
              <w:right w:val="nil"/>
            </w:tcBorders>
            <w:shd w:val="clear" w:color="auto" w:fill="auto"/>
            <w:noWrap/>
            <w:vAlign w:val="bottom"/>
            <w:hideMark/>
          </w:tcPr>
          <w:p w14:paraId="7D353DF6"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7E96F6FB"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008DFBB1"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1FD5631"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EE08C0A"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176932B4"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39CAD96A"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36038FED"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41B53776"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601D84D4"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677DA67C"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5A68CB59"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014DE92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4F74701"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D6BBB2B"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68F842BD"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17253437"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950D682"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7D41F95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708513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52031CD"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F234D40"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85790E8"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25EC31D"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86FF72B"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A69F8F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E8145D0"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4060493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8E5277B"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A28807D"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1ED5F6FB"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1170BE2C"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2D3C604C"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004713F0"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41D486E0" w14:textId="77777777" w:rsidR="00962754" w:rsidRPr="00B907A3" w:rsidRDefault="00962754" w:rsidP="00962754">
            <w:pPr>
              <w:spacing w:after="0"/>
              <w:jc w:val="left"/>
              <w:rPr>
                <w:rFonts w:ascii="Garamond" w:hAnsi="Garamond"/>
                <w:sz w:val="6"/>
                <w:szCs w:val="12"/>
                <w:lang w:eastAsia="en-US"/>
              </w:rPr>
            </w:pPr>
          </w:p>
        </w:tc>
      </w:tr>
      <w:tr w:rsidR="00962754" w:rsidRPr="00B907A3" w14:paraId="1DCBC301" w14:textId="77777777" w:rsidTr="00962754">
        <w:trPr>
          <w:trHeight w:val="20"/>
        </w:trPr>
        <w:tc>
          <w:tcPr>
            <w:tcW w:w="718" w:type="dxa"/>
            <w:tcBorders>
              <w:top w:val="nil"/>
              <w:left w:val="nil"/>
              <w:bottom w:val="nil"/>
              <w:right w:val="nil"/>
            </w:tcBorders>
            <w:shd w:val="clear" w:color="auto" w:fill="auto"/>
            <w:noWrap/>
            <w:vAlign w:val="bottom"/>
            <w:hideMark/>
          </w:tcPr>
          <w:p w14:paraId="6D7FEB7B"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5F79ADE4"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5A10E65C"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55622BCA"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236D274"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C347F75"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050AAB1C"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0553118A"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5ED48FBB"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1B9AE668"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2085E5B8"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4BCA97B0"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362A1E98"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08E4770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FB6F7CC"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94D260C"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4FB98B80"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1C2991FB"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1D213EB"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7352C7A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9C2551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F475B33"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2F82996E"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044EC00"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F1E8A14"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41A3DF1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6B1FCD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53DF0F7"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24520F4B"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B2188B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08781FE"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7992C41D"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0E7A7A62"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0BB5C02C"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5699FECC"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6CD0B565" w14:textId="77777777" w:rsidR="00962754" w:rsidRPr="00B907A3" w:rsidRDefault="00962754" w:rsidP="00962754">
            <w:pPr>
              <w:spacing w:after="0"/>
              <w:jc w:val="left"/>
              <w:rPr>
                <w:rFonts w:ascii="Garamond" w:hAnsi="Garamond"/>
                <w:sz w:val="6"/>
                <w:szCs w:val="12"/>
                <w:lang w:eastAsia="en-US"/>
              </w:rPr>
            </w:pPr>
          </w:p>
        </w:tc>
      </w:tr>
      <w:tr w:rsidR="00962754" w:rsidRPr="00B907A3" w14:paraId="0F76F2D7" w14:textId="77777777" w:rsidTr="00962754">
        <w:trPr>
          <w:trHeight w:val="20"/>
        </w:trPr>
        <w:tc>
          <w:tcPr>
            <w:tcW w:w="3526" w:type="dxa"/>
            <w:gridSpan w:val="7"/>
            <w:tcBorders>
              <w:top w:val="nil"/>
              <w:left w:val="nil"/>
              <w:bottom w:val="nil"/>
              <w:right w:val="nil"/>
            </w:tcBorders>
            <w:shd w:val="clear" w:color="auto" w:fill="auto"/>
            <w:noWrap/>
            <w:vAlign w:val="bottom"/>
            <w:hideMark/>
          </w:tcPr>
          <w:p w14:paraId="2D04B2A4" w14:textId="40039C2C" w:rsidR="00962754" w:rsidRPr="00B907A3" w:rsidRDefault="00962754" w:rsidP="00962754">
            <w:pPr>
              <w:spacing w:after="0"/>
              <w:jc w:val="left"/>
              <w:rPr>
                <w:rFonts w:ascii="Garamond" w:hAnsi="Garamond" w:cs="Arial"/>
                <w:b/>
                <w:bCs/>
                <w:color w:val="000000"/>
                <w:sz w:val="6"/>
                <w:szCs w:val="12"/>
                <w:lang w:eastAsia="en-US"/>
              </w:rPr>
            </w:pPr>
            <w:bookmarkStart w:id="193" w:name="RANGE!A25"/>
            <w:r w:rsidRPr="00B907A3">
              <w:rPr>
                <w:rFonts w:ascii="Garamond" w:hAnsi="Garamond" w:cs="Arial"/>
                <w:b/>
                <w:bCs/>
                <w:color w:val="000000"/>
                <w:sz w:val="6"/>
                <w:szCs w:val="12"/>
                <w:lang w:eastAsia="en-US"/>
              </w:rPr>
              <w:t xml:space="preserve">Komponenti 2: Rrugë dhe </w:t>
            </w:r>
            <w:r w:rsidR="005C1DD9" w:rsidRPr="00B907A3">
              <w:rPr>
                <w:rFonts w:ascii="Garamond" w:hAnsi="Garamond" w:cs="Arial"/>
                <w:b/>
                <w:bCs/>
                <w:color w:val="000000"/>
                <w:sz w:val="6"/>
                <w:szCs w:val="12"/>
                <w:lang w:eastAsia="en-US"/>
              </w:rPr>
              <w:t>lëvizshmëri më të sigurta</w:t>
            </w:r>
            <w:r w:rsidRPr="00B907A3">
              <w:rPr>
                <w:rFonts w:ascii="Garamond" w:hAnsi="Garamond" w:cs="Arial"/>
                <w:b/>
                <w:bCs/>
                <w:color w:val="000000"/>
                <w:sz w:val="6"/>
                <w:szCs w:val="12"/>
                <w:lang w:eastAsia="en-US"/>
              </w:rPr>
              <w:t>, duke përfshirë shpejtësi të sigurta</w:t>
            </w:r>
            <w:bookmarkEnd w:id="193"/>
          </w:p>
        </w:tc>
        <w:tc>
          <w:tcPr>
            <w:tcW w:w="359" w:type="dxa"/>
            <w:tcBorders>
              <w:top w:val="nil"/>
              <w:left w:val="nil"/>
              <w:bottom w:val="nil"/>
              <w:right w:val="nil"/>
            </w:tcBorders>
            <w:shd w:val="clear" w:color="auto" w:fill="auto"/>
            <w:noWrap/>
            <w:vAlign w:val="bottom"/>
            <w:hideMark/>
          </w:tcPr>
          <w:p w14:paraId="2845F6AD" w14:textId="77777777" w:rsidR="00962754" w:rsidRPr="00B907A3" w:rsidRDefault="00962754" w:rsidP="00962754">
            <w:pPr>
              <w:spacing w:after="0"/>
              <w:jc w:val="left"/>
              <w:rPr>
                <w:rFonts w:ascii="Garamond" w:hAnsi="Garamond" w:cs="Arial"/>
                <w:b/>
                <w:bCs/>
                <w:color w:val="000000"/>
                <w:sz w:val="6"/>
                <w:szCs w:val="12"/>
                <w:lang w:eastAsia="en-US"/>
              </w:rPr>
            </w:pPr>
          </w:p>
        </w:tc>
        <w:tc>
          <w:tcPr>
            <w:tcW w:w="525" w:type="dxa"/>
            <w:tcBorders>
              <w:top w:val="nil"/>
              <w:left w:val="nil"/>
              <w:bottom w:val="nil"/>
              <w:right w:val="nil"/>
            </w:tcBorders>
            <w:shd w:val="clear" w:color="auto" w:fill="auto"/>
            <w:noWrap/>
            <w:vAlign w:val="bottom"/>
            <w:hideMark/>
          </w:tcPr>
          <w:p w14:paraId="1F150E10"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05C92CAB"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11C36016"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0F49D5CE"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1E9C00F3"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61DD3E32"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FA7EEC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8808110"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24E44052"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638446C7"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649C3AF3"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588E6361"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98757A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83B8714"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6EB9CE1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9239780"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577F939"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6A0AC8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D070F41"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2E11F82"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31829179"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913A13A"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11D18D9"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44EEA2A"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727A22F9"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529CAE54"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5FD8C0BA"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19669536" w14:textId="77777777" w:rsidR="00962754" w:rsidRPr="00B907A3" w:rsidRDefault="00962754" w:rsidP="00962754">
            <w:pPr>
              <w:spacing w:after="0"/>
              <w:jc w:val="left"/>
              <w:rPr>
                <w:rFonts w:ascii="Garamond" w:hAnsi="Garamond"/>
                <w:sz w:val="6"/>
                <w:szCs w:val="12"/>
                <w:lang w:eastAsia="en-US"/>
              </w:rPr>
            </w:pPr>
          </w:p>
        </w:tc>
      </w:tr>
      <w:tr w:rsidR="00962754" w:rsidRPr="00B907A3" w14:paraId="6E7D2656" w14:textId="77777777" w:rsidTr="00962754">
        <w:trPr>
          <w:trHeight w:val="20"/>
        </w:trPr>
        <w:tc>
          <w:tcPr>
            <w:tcW w:w="718" w:type="dxa"/>
            <w:tcBorders>
              <w:top w:val="nil"/>
              <w:left w:val="nil"/>
              <w:bottom w:val="nil"/>
              <w:right w:val="nil"/>
            </w:tcBorders>
            <w:shd w:val="clear" w:color="auto" w:fill="auto"/>
            <w:noWrap/>
            <w:vAlign w:val="bottom"/>
            <w:hideMark/>
          </w:tcPr>
          <w:p w14:paraId="614EDAC0"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292ADDE1"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6C8ECA51"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3CF46D80"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0819ACE2"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C0A045C"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07562859"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0F569987"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084C968E"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7D387623"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7A191186"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2EC248C7"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6E6EC0F3"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29ED0F22"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66A51B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7CD7C19"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611EA1C6"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6F3108D6"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472CE6C3"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209DABC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BD371B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9BF634F"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1E51AD0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E67015D"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0AC2C3F"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82A301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584064C"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4F27BEE"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15895000"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FCED14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C3ED932"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21F358C"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2256024B"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58A2C732"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77C09BBB"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33235B95" w14:textId="77777777" w:rsidR="00962754" w:rsidRPr="00B907A3" w:rsidRDefault="00962754" w:rsidP="00962754">
            <w:pPr>
              <w:spacing w:after="0"/>
              <w:jc w:val="left"/>
              <w:rPr>
                <w:rFonts w:ascii="Garamond" w:hAnsi="Garamond"/>
                <w:sz w:val="6"/>
                <w:szCs w:val="12"/>
                <w:lang w:eastAsia="en-US"/>
              </w:rPr>
            </w:pPr>
          </w:p>
        </w:tc>
      </w:tr>
      <w:tr w:rsidR="00962754" w:rsidRPr="00B907A3" w14:paraId="5E38877B" w14:textId="77777777" w:rsidTr="00962754">
        <w:trPr>
          <w:trHeight w:val="20"/>
        </w:trPr>
        <w:tc>
          <w:tcPr>
            <w:tcW w:w="718" w:type="dxa"/>
            <w:tcBorders>
              <w:top w:val="single" w:sz="8" w:space="0" w:color="auto"/>
              <w:left w:val="single" w:sz="8" w:space="0" w:color="auto"/>
              <w:bottom w:val="nil"/>
              <w:right w:val="nil"/>
            </w:tcBorders>
            <w:shd w:val="clear" w:color="000000" w:fill="DAE9F8"/>
            <w:vAlign w:val="center"/>
            <w:hideMark/>
          </w:tcPr>
          <w:p w14:paraId="5234AED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8" w:space="0" w:color="auto"/>
              <w:left w:val="single" w:sz="4" w:space="0" w:color="auto"/>
              <w:bottom w:val="nil"/>
              <w:right w:val="nil"/>
            </w:tcBorders>
            <w:shd w:val="clear" w:color="000000" w:fill="DAE9F8"/>
            <w:hideMark/>
          </w:tcPr>
          <w:p w14:paraId="4A23989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8" w:space="0" w:color="auto"/>
              <w:left w:val="single" w:sz="4" w:space="0" w:color="auto"/>
              <w:bottom w:val="nil"/>
              <w:right w:val="nil"/>
            </w:tcBorders>
            <w:shd w:val="clear" w:color="000000" w:fill="DAE9F8"/>
            <w:vAlign w:val="center"/>
            <w:hideMark/>
          </w:tcPr>
          <w:p w14:paraId="52A28F3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single" w:sz="8" w:space="0" w:color="auto"/>
              <w:left w:val="single" w:sz="4" w:space="0" w:color="auto"/>
              <w:bottom w:val="nil"/>
              <w:right w:val="single" w:sz="4" w:space="0" w:color="auto"/>
            </w:tcBorders>
            <w:shd w:val="clear" w:color="000000" w:fill="DAE9F8"/>
            <w:vAlign w:val="center"/>
            <w:hideMark/>
          </w:tcPr>
          <w:p w14:paraId="415CCBB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8" w:space="0" w:color="auto"/>
              <w:left w:val="nil"/>
              <w:bottom w:val="single" w:sz="4" w:space="0" w:color="auto"/>
              <w:right w:val="nil"/>
            </w:tcBorders>
            <w:shd w:val="clear" w:color="000000" w:fill="DAE9F8"/>
            <w:vAlign w:val="center"/>
            <w:hideMark/>
          </w:tcPr>
          <w:p w14:paraId="200098D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bazë</w:t>
            </w:r>
          </w:p>
        </w:tc>
        <w:tc>
          <w:tcPr>
            <w:tcW w:w="1091" w:type="dxa"/>
            <w:gridSpan w:val="3"/>
            <w:tcBorders>
              <w:top w:val="single" w:sz="8" w:space="0" w:color="auto"/>
              <w:left w:val="single" w:sz="4" w:space="0" w:color="auto"/>
              <w:bottom w:val="single" w:sz="4" w:space="0" w:color="auto"/>
              <w:right w:val="nil"/>
            </w:tcBorders>
            <w:shd w:val="clear" w:color="000000" w:fill="DAE9F8"/>
            <w:noWrap/>
            <w:hideMark/>
          </w:tcPr>
          <w:p w14:paraId="51F4CDD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Vlerat e synuara të RM</w:t>
            </w:r>
          </w:p>
        </w:tc>
        <w:tc>
          <w:tcPr>
            <w:tcW w:w="525" w:type="dxa"/>
            <w:tcBorders>
              <w:top w:val="single" w:sz="8" w:space="0" w:color="auto"/>
              <w:left w:val="single" w:sz="4" w:space="0" w:color="auto"/>
              <w:bottom w:val="nil"/>
              <w:right w:val="single" w:sz="8" w:space="0" w:color="auto"/>
            </w:tcBorders>
            <w:shd w:val="clear" w:color="000000" w:fill="DAE9F8"/>
            <w:vAlign w:val="center"/>
            <w:hideMark/>
          </w:tcPr>
          <w:p w14:paraId="3788B6F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single" w:sz="8" w:space="0" w:color="auto"/>
              <w:left w:val="nil"/>
              <w:bottom w:val="single" w:sz="4" w:space="0" w:color="auto"/>
              <w:right w:val="nil"/>
            </w:tcBorders>
            <w:shd w:val="clear" w:color="000000" w:fill="DAE9F8"/>
            <w:vAlign w:val="center"/>
            <w:hideMark/>
          </w:tcPr>
          <w:p w14:paraId="12E0457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single" w:sz="8" w:space="0" w:color="auto"/>
              <w:left w:val="single" w:sz="8" w:space="0" w:color="auto"/>
              <w:bottom w:val="nil"/>
              <w:right w:val="single" w:sz="4" w:space="0" w:color="auto"/>
            </w:tcBorders>
            <w:shd w:val="clear" w:color="000000" w:fill="DAE9F8"/>
            <w:vAlign w:val="center"/>
            <w:hideMark/>
          </w:tcPr>
          <w:p w14:paraId="40D5223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8" w:space="0" w:color="auto"/>
              <w:left w:val="nil"/>
              <w:bottom w:val="nil"/>
              <w:right w:val="single" w:sz="4" w:space="0" w:color="auto"/>
            </w:tcBorders>
            <w:shd w:val="clear" w:color="000000" w:fill="DAE9F8"/>
            <w:vAlign w:val="center"/>
            <w:hideMark/>
          </w:tcPr>
          <w:p w14:paraId="4B8DB4B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single" w:sz="8" w:space="0" w:color="auto"/>
              <w:left w:val="nil"/>
              <w:bottom w:val="nil"/>
              <w:right w:val="single" w:sz="4" w:space="0" w:color="auto"/>
            </w:tcBorders>
            <w:shd w:val="clear" w:color="000000" w:fill="DAE9F8"/>
            <w:vAlign w:val="center"/>
            <w:hideMark/>
          </w:tcPr>
          <w:p w14:paraId="165A1D6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single" w:sz="8" w:space="0" w:color="auto"/>
              <w:left w:val="nil"/>
              <w:bottom w:val="nil"/>
              <w:right w:val="single" w:sz="8" w:space="0" w:color="auto"/>
            </w:tcBorders>
            <w:shd w:val="clear" w:color="000000" w:fill="DAE9F8"/>
            <w:vAlign w:val="center"/>
            <w:hideMark/>
          </w:tcPr>
          <w:p w14:paraId="1A25F0B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8" w:space="0" w:color="auto"/>
              <w:left w:val="nil"/>
              <w:bottom w:val="single" w:sz="4" w:space="0" w:color="auto"/>
              <w:right w:val="nil"/>
            </w:tcBorders>
            <w:shd w:val="clear" w:color="000000" w:fill="DAE9F8"/>
            <w:vAlign w:val="center"/>
            <w:hideMark/>
          </w:tcPr>
          <w:p w14:paraId="3C90C4E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639" w:type="dxa"/>
            <w:gridSpan w:val="5"/>
            <w:tcBorders>
              <w:top w:val="single" w:sz="8" w:space="0" w:color="auto"/>
              <w:left w:val="nil"/>
              <w:bottom w:val="single" w:sz="4" w:space="0" w:color="auto"/>
              <w:right w:val="single" w:sz="8" w:space="0" w:color="000000"/>
            </w:tcBorders>
            <w:shd w:val="clear" w:color="000000" w:fill="DAE9F8"/>
            <w:noWrap/>
            <w:hideMark/>
          </w:tcPr>
          <w:p w14:paraId="18DF51CD" w14:textId="4A22B63F"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2027</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nil"/>
              <w:bottom w:val="single" w:sz="4" w:space="0" w:color="auto"/>
              <w:right w:val="nil"/>
            </w:tcBorders>
            <w:shd w:val="clear" w:color="000000" w:fill="DAE9F8"/>
            <w:noWrap/>
            <w:hideMark/>
          </w:tcPr>
          <w:p w14:paraId="4A51E49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1829" w:type="dxa"/>
            <w:gridSpan w:val="5"/>
            <w:tcBorders>
              <w:top w:val="single" w:sz="8" w:space="0" w:color="auto"/>
              <w:left w:val="nil"/>
              <w:bottom w:val="single" w:sz="4" w:space="0" w:color="auto"/>
              <w:right w:val="nil"/>
            </w:tcBorders>
            <w:shd w:val="clear" w:color="000000" w:fill="DAE9F8"/>
            <w:noWrap/>
            <w:hideMark/>
          </w:tcPr>
          <w:p w14:paraId="42BA3FE7" w14:textId="61217623"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2028</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single" w:sz="8" w:space="0" w:color="auto"/>
              <w:bottom w:val="single" w:sz="4" w:space="0" w:color="auto"/>
              <w:right w:val="nil"/>
            </w:tcBorders>
            <w:shd w:val="clear" w:color="000000" w:fill="DAE9F8"/>
            <w:hideMark/>
          </w:tcPr>
          <w:p w14:paraId="7E3267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1829" w:type="dxa"/>
            <w:gridSpan w:val="5"/>
            <w:tcBorders>
              <w:top w:val="single" w:sz="8" w:space="0" w:color="auto"/>
              <w:left w:val="nil"/>
              <w:bottom w:val="single" w:sz="4" w:space="0" w:color="auto"/>
              <w:right w:val="single" w:sz="8" w:space="0" w:color="000000"/>
            </w:tcBorders>
            <w:shd w:val="clear" w:color="000000" w:fill="DAE9F8"/>
            <w:noWrap/>
            <w:hideMark/>
          </w:tcPr>
          <w:p w14:paraId="6EC1DFC6" w14:textId="24041C1A"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2029</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464" w:type="dxa"/>
            <w:tcBorders>
              <w:top w:val="single" w:sz="8" w:space="0" w:color="auto"/>
              <w:left w:val="nil"/>
              <w:bottom w:val="nil"/>
              <w:right w:val="single" w:sz="4" w:space="0" w:color="auto"/>
            </w:tcBorders>
            <w:shd w:val="clear" w:color="000000" w:fill="DAE9F8"/>
            <w:hideMark/>
          </w:tcPr>
          <w:p w14:paraId="1EB298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single" w:sz="8" w:space="0" w:color="auto"/>
              <w:left w:val="nil"/>
              <w:bottom w:val="nil"/>
              <w:right w:val="single" w:sz="4" w:space="0" w:color="auto"/>
            </w:tcBorders>
            <w:shd w:val="clear" w:color="000000" w:fill="DAE9F8"/>
            <w:vAlign w:val="center"/>
            <w:hideMark/>
          </w:tcPr>
          <w:p w14:paraId="448BA46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single" w:sz="8" w:space="0" w:color="auto"/>
              <w:left w:val="nil"/>
              <w:bottom w:val="nil"/>
              <w:right w:val="single" w:sz="8" w:space="0" w:color="auto"/>
            </w:tcBorders>
            <w:shd w:val="clear" w:color="000000" w:fill="DAE9F8"/>
            <w:vAlign w:val="center"/>
            <w:hideMark/>
          </w:tcPr>
          <w:p w14:paraId="3C2F49A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D2A6383"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29AD0963" w14:textId="77777777" w:rsidTr="00962754">
        <w:trPr>
          <w:trHeight w:val="20"/>
        </w:trPr>
        <w:tc>
          <w:tcPr>
            <w:tcW w:w="718" w:type="dxa"/>
            <w:tcBorders>
              <w:top w:val="nil"/>
              <w:left w:val="single" w:sz="8" w:space="0" w:color="auto"/>
              <w:bottom w:val="single" w:sz="8" w:space="0" w:color="auto"/>
              <w:right w:val="nil"/>
            </w:tcBorders>
            <w:shd w:val="clear" w:color="000000" w:fill="DAE9F8"/>
            <w:vAlign w:val="center"/>
            <w:hideMark/>
          </w:tcPr>
          <w:p w14:paraId="39B2734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i Masës dhe Detajet</w:t>
            </w:r>
          </w:p>
        </w:tc>
        <w:tc>
          <w:tcPr>
            <w:tcW w:w="571" w:type="dxa"/>
            <w:tcBorders>
              <w:top w:val="nil"/>
              <w:left w:val="single" w:sz="4" w:space="0" w:color="auto"/>
              <w:bottom w:val="single" w:sz="8" w:space="0" w:color="auto"/>
              <w:right w:val="nil"/>
            </w:tcBorders>
            <w:shd w:val="clear" w:color="000000" w:fill="DAE9F8"/>
            <w:vAlign w:val="center"/>
            <w:hideMark/>
          </w:tcPr>
          <w:p w14:paraId="0DFDD685" w14:textId="2506D932"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rezultatit të masë</w:t>
            </w:r>
            <w:r w:rsidR="005C1DD9">
              <w:rPr>
                <w:rFonts w:ascii="Garamond" w:hAnsi="Garamond" w:cs="Arial"/>
                <w:b/>
                <w:bCs/>
                <w:color w:val="000000"/>
                <w:sz w:val="6"/>
                <w:szCs w:val="12"/>
                <w:lang w:eastAsia="en-US"/>
              </w:rPr>
              <w:t>s</w:t>
            </w:r>
            <w:r w:rsidRPr="00B907A3">
              <w:rPr>
                <w:rFonts w:ascii="Garamond" w:hAnsi="Garamond" w:cs="Arial"/>
                <w:b/>
                <w:bCs/>
                <w:color w:val="000000"/>
                <w:sz w:val="6"/>
                <w:szCs w:val="12"/>
                <w:lang w:eastAsia="en-US"/>
              </w:rPr>
              <w:t xml:space="preserve"> (MoI)</w:t>
            </w:r>
          </w:p>
        </w:tc>
        <w:tc>
          <w:tcPr>
            <w:tcW w:w="470" w:type="dxa"/>
            <w:tcBorders>
              <w:top w:val="nil"/>
              <w:left w:val="single" w:sz="4" w:space="0" w:color="auto"/>
              <w:bottom w:val="single" w:sz="8" w:space="0" w:color="auto"/>
              <w:right w:val="nil"/>
            </w:tcBorders>
            <w:shd w:val="clear" w:color="000000" w:fill="DAE9F8"/>
            <w:vAlign w:val="center"/>
            <w:hideMark/>
          </w:tcPr>
          <w:p w14:paraId="5E1B70B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(njësia)</w:t>
            </w:r>
          </w:p>
        </w:tc>
        <w:tc>
          <w:tcPr>
            <w:tcW w:w="668" w:type="dxa"/>
            <w:tcBorders>
              <w:top w:val="nil"/>
              <w:left w:val="single" w:sz="4" w:space="0" w:color="auto"/>
              <w:bottom w:val="single" w:sz="8" w:space="0" w:color="auto"/>
              <w:right w:val="single" w:sz="4" w:space="0" w:color="auto"/>
            </w:tcBorders>
            <w:shd w:val="clear" w:color="000000" w:fill="DAE9F8"/>
            <w:vAlign w:val="center"/>
            <w:hideMark/>
          </w:tcPr>
          <w:p w14:paraId="5DC0633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366" w:type="dxa"/>
            <w:tcBorders>
              <w:top w:val="nil"/>
              <w:left w:val="nil"/>
              <w:bottom w:val="single" w:sz="8" w:space="0" w:color="auto"/>
              <w:right w:val="single" w:sz="4" w:space="0" w:color="auto"/>
            </w:tcBorders>
            <w:shd w:val="clear" w:color="000000" w:fill="DAE9F8"/>
            <w:vAlign w:val="center"/>
            <w:hideMark/>
          </w:tcPr>
          <w:p w14:paraId="38AA1D8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2026</w:t>
            </w:r>
          </w:p>
        </w:tc>
        <w:tc>
          <w:tcPr>
            <w:tcW w:w="366" w:type="dxa"/>
            <w:tcBorders>
              <w:top w:val="nil"/>
              <w:left w:val="nil"/>
              <w:bottom w:val="single" w:sz="8" w:space="0" w:color="auto"/>
              <w:right w:val="single" w:sz="4" w:space="0" w:color="auto"/>
            </w:tcBorders>
            <w:shd w:val="clear" w:color="000000" w:fill="DAE9F8"/>
            <w:vAlign w:val="center"/>
            <w:hideMark/>
          </w:tcPr>
          <w:p w14:paraId="713C806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2027</w:t>
            </w:r>
          </w:p>
        </w:tc>
        <w:tc>
          <w:tcPr>
            <w:tcW w:w="366" w:type="dxa"/>
            <w:tcBorders>
              <w:top w:val="nil"/>
              <w:left w:val="nil"/>
              <w:bottom w:val="single" w:sz="8" w:space="0" w:color="auto"/>
              <w:right w:val="single" w:sz="4" w:space="0" w:color="auto"/>
            </w:tcBorders>
            <w:shd w:val="clear" w:color="000000" w:fill="DAE9F8"/>
            <w:vAlign w:val="center"/>
            <w:hideMark/>
          </w:tcPr>
          <w:p w14:paraId="391651D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2028</w:t>
            </w:r>
          </w:p>
        </w:tc>
        <w:tc>
          <w:tcPr>
            <w:tcW w:w="359" w:type="dxa"/>
            <w:tcBorders>
              <w:top w:val="nil"/>
              <w:left w:val="nil"/>
              <w:bottom w:val="single" w:sz="8" w:space="0" w:color="auto"/>
              <w:right w:val="nil"/>
            </w:tcBorders>
            <w:shd w:val="clear" w:color="000000" w:fill="DAE9F8"/>
            <w:vAlign w:val="center"/>
            <w:hideMark/>
          </w:tcPr>
          <w:p w14:paraId="284DC8D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2029</w:t>
            </w:r>
          </w:p>
        </w:tc>
        <w:tc>
          <w:tcPr>
            <w:tcW w:w="525" w:type="dxa"/>
            <w:tcBorders>
              <w:top w:val="nil"/>
              <w:left w:val="single" w:sz="4" w:space="0" w:color="auto"/>
              <w:bottom w:val="single" w:sz="8" w:space="0" w:color="auto"/>
              <w:right w:val="single" w:sz="8" w:space="0" w:color="auto"/>
            </w:tcBorders>
            <w:shd w:val="clear" w:color="000000" w:fill="DAE9F8"/>
            <w:vAlign w:val="center"/>
            <w:hideMark/>
          </w:tcPr>
          <w:p w14:paraId="4B1FD5D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36" w:type="dxa"/>
            <w:tcBorders>
              <w:top w:val="nil"/>
              <w:left w:val="nil"/>
              <w:bottom w:val="single" w:sz="8" w:space="0" w:color="auto"/>
              <w:right w:val="nil"/>
            </w:tcBorders>
            <w:shd w:val="clear" w:color="000000" w:fill="DAE9F8"/>
            <w:vAlign w:val="center"/>
            <w:hideMark/>
          </w:tcPr>
          <w:p w14:paraId="1F5BC09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DAE9F8"/>
            <w:vAlign w:val="center"/>
            <w:hideMark/>
          </w:tcPr>
          <w:p w14:paraId="1DF7799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dhe detajet e aktivitetit</w:t>
            </w:r>
          </w:p>
        </w:tc>
        <w:tc>
          <w:tcPr>
            <w:tcW w:w="520" w:type="dxa"/>
            <w:tcBorders>
              <w:top w:val="nil"/>
              <w:left w:val="nil"/>
              <w:bottom w:val="single" w:sz="8" w:space="0" w:color="auto"/>
              <w:right w:val="single" w:sz="4" w:space="0" w:color="auto"/>
            </w:tcBorders>
            <w:shd w:val="clear" w:color="000000" w:fill="DAE9F8"/>
            <w:vAlign w:val="center"/>
            <w:hideMark/>
          </w:tcPr>
          <w:p w14:paraId="3A00FD9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512" w:type="dxa"/>
            <w:tcBorders>
              <w:top w:val="nil"/>
              <w:left w:val="nil"/>
              <w:bottom w:val="single" w:sz="8" w:space="0" w:color="auto"/>
              <w:right w:val="single" w:sz="4" w:space="0" w:color="auto"/>
            </w:tcBorders>
            <w:shd w:val="clear" w:color="000000" w:fill="DAE9F8"/>
            <w:vAlign w:val="center"/>
            <w:hideMark/>
          </w:tcPr>
          <w:p w14:paraId="530E1C6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Mbështetës Viti i fillimit dhe i mbarimit</w:t>
            </w:r>
          </w:p>
        </w:tc>
        <w:tc>
          <w:tcPr>
            <w:tcW w:w="367" w:type="dxa"/>
            <w:tcBorders>
              <w:top w:val="nil"/>
              <w:left w:val="nil"/>
              <w:bottom w:val="single" w:sz="8" w:space="0" w:color="auto"/>
              <w:right w:val="single" w:sz="8" w:space="0" w:color="auto"/>
            </w:tcBorders>
            <w:shd w:val="clear" w:color="000000" w:fill="DAE9F8"/>
            <w:vAlign w:val="center"/>
            <w:hideMark/>
          </w:tcPr>
          <w:p w14:paraId="5F64168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i fillimit dhe i mbarimit</w:t>
            </w:r>
          </w:p>
        </w:tc>
        <w:tc>
          <w:tcPr>
            <w:tcW w:w="372" w:type="dxa"/>
            <w:tcBorders>
              <w:top w:val="nil"/>
              <w:left w:val="nil"/>
              <w:bottom w:val="single" w:sz="8" w:space="0" w:color="auto"/>
              <w:right w:val="single" w:sz="4" w:space="0" w:color="auto"/>
            </w:tcBorders>
            <w:shd w:val="clear" w:color="000000" w:fill="DAE9F8"/>
            <w:vAlign w:val="center"/>
            <w:hideMark/>
          </w:tcPr>
          <w:p w14:paraId="1DC1DA1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AE9F8"/>
            <w:vAlign w:val="center"/>
            <w:hideMark/>
          </w:tcPr>
          <w:p w14:paraId="30D981E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426" w:type="dxa"/>
            <w:tcBorders>
              <w:top w:val="nil"/>
              <w:left w:val="nil"/>
              <w:bottom w:val="single" w:sz="8" w:space="0" w:color="auto"/>
              <w:right w:val="single" w:sz="4" w:space="0" w:color="auto"/>
            </w:tcBorders>
            <w:shd w:val="clear" w:color="000000" w:fill="DAE9F8"/>
            <w:vAlign w:val="center"/>
            <w:hideMark/>
          </w:tcPr>
          <w:p w14:paraId="2359159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618" w:type="dxa"/>
            <w:tcBorders>
              <w:top w:val="nil"/>
              <w:left w:val="nil"/>
              <w:bottom w:val="single" w:sz="8" w:space="0" w:color="auto"/>
              <w:right w:val="single" w:sz="4" w:space="0" w:color="auto"/>
            </w:tcBorders>
            <w:shd w:val="clear" w:color="000000" w:fill="DAE9F8"/>
            <w:vAlign w:val="center"/>
            <w:hideMark/>
          </w:tcPr>
          <w:p w14:paraId="2B9E352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618" w:type="dxa"/>
            <w:tcBorders>
              <w:top w:val="nil"/>
              <w:left w:val="nil"/>
              <w:bottom w:val="single" w:sz="8" w:space="0" w:color="auto"/>
              <w:right w:val="single" w:sz="4" w:space="0" w:color="auto"/>
            </w:tcBorders>
            <w:shd w:val="clear" w:color="000000" w:fill="DAE9F8"/>
            <w:vAlign w:val="center"/>
            <w:hideMark/>
          </w:tcPr>
          <w:p w14:paraId="6F6AA15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 Banka Botërore</w:t>
            </w:r>
          </w:p>
        </w:tc>
        <w:tc>
          <w:tcPr>
            <w:tcW w:w="605" w:type="dxa"/>
            <w:tcBorders>
              <w:top w:val="nil"/>
              <w:left w:val="nil"/>
              <w:bottom w:val="single" w:sz="8" w:space="0" w:color="auto"/>
              <w:right w:val="single" w:sz="8" w:space="0" w:color="auto"/>
            </w:tcBorders>
            <w:shd w:val="clear" w:color="000000" w:fill="DAE9F8"/>
            <w:vAlign w:val="center"/>
            <w:hideMark/>
          </w:tcPr>
          <w:p w14:paraId="68BD587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nil"/>
              <w:bottom w:val="single" w:sz="8" w:space="0" w:color="auto"/>
              <w:right w:val="single" w:sz="4" w:space="0" w:color="auto"/>
            </w:tcBorders>
            <w:shd w:val="clear" w:color="000000" w:fill="DAE9F8"/>
            <w:vAlign w:val="center"/>
            <w:hideMark/>
          </w:tcPr>
          <w:p w14:paraId="42F75B1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AE9F8"/>
            <w:vAlign w:val="center"/>
            <w:hideMark/>
          </w:tcPr>
          <w:p w14:paraId="266E725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DAE9F8"/>
            <w:vAlign w:val="center"/>
            <w:hideMark/>
          </w:tcPr>
          <w:p w14:paraId="762596D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DAE9F8"/>
            <w:vAlign w:val="center"/>
            <w:hideMark/>
          </w:tcPr>
          <w:p w14:paraId="1B19E15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DAE9F8"/>
            <w:vAlign w:val="center"/>
            <w:hideMark/>
          </w:tcPr>
          <w:p w14:paraId="4AE6E26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nil"/>
            </w:tcBorders>
            <w:shd w:val="clear" w:color="000000" w:fill="DAE9F8"/>
            <w:vAlign w:val="center"/>
            <w:hideMark/>
          </w:tcPr>
          <w:p w14:paraId="1687954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single" w:sz="8" w:space="0" w:color="auto"/>
              <w:bottom w:val="single" w:sz="8" w:space="0" w:color="auto"/>
              <w:right w:val="single" w:sz="4" w:space="0" w:color="auto"/>
            </w:tcBorders>
            <w:shd w:val="clear" w:color="000000" w:fill="DAE9F8"/>
            <w:vAlign w:val="center"/>
            <w:hideMark/>
          </w:tcPr>
          <w:p w14:paraId="6A76B02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AE9F8"/>
            <w:vAlign w:val="center"/>
            <w:hideMark/>
          </w:tcPr>
          <w:p w14:paraId="6651204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DAE9F8"/>
            <w:vAlign w:val="center"/>
            <w:hideMark/>
          </w:tcPr>
          <w:p w14:paraId="514F7E7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DAE9F8"/>
            <w:vAlign w:val="center"/>
            <w:hideMark/>
          </w:tcPr>
          <w:p w14:paraId="71B4343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DAE9F8"/>
            <w:vAlign w:val="center"/>
            <w:hideMark/>
          </w:tcPr>
          <w:p w14:paraId="2943DB4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single" w:sz="8" w:space="0" w:color="auto"/>
            </w:tcBorders>
            <w:shd w:val="clear" w:color="000000" w:fill="DAE9F8"/>
            <w:vAlign w:val="center"/>
            <w:hideMark/>
          </w:tcPr>
          <w:p w14:paraId="2B40F12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464" w:type="dxa"/>
            <w:tcBorders>
              <w:top w:val="nil"/>
              <w:left w:val="nil"/>
              <w:bottom w:val="single" w:sz="8" w:space="0" w:color="auto"/>
              <w:right w:val="single" w:sz="4" w:space="0" w:color="auto"/>
            </w:tcBorders>
            <w:shd w:val="clear" w:color="000000" w:fill="DAE9F8"/>
            <w:vAlign w:val="center"/>
            <w:hideMark/>
          </w:tcPr>
          <w:p w14:paraId="7570AA1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Produktit të Aktivitetit</w:t>
            </w:r>
          </w:p>
        </w:tc>
        <w:tc>
          <w:tcPr>
            <w:tcW w:w="442" w:type="dxa"/>
            <w:tcBorders>
              <w:top w:val="nil"/>
              <w:left w:val="nil"/>
              <w:bottom w:val="single" w:sz="8" w:space="0" w:color="auto"/>
              <w:right w:val="single" w:sz="4" w:space="0" w:color="auto"/>
            </w:tcBorders>
            <w:shd w:val="clear" w:color="000000" w:fill="DAE9F8"/>
            <w:vAlign w:val="center"/>
            <w:hideMark/>
          </w:tcPr>
          <w:p w14:paraId="7E39A89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87" w:type="dxa"/>
            <w:tcBorders>
              <w:top w:val="nil"/>
              <w:left w:val="nil"/>
              <w:bottom w:val="single" w:sz="8" w:space="0" w:color="auto"/>
              <w:right w:val="single" w:sz="8" w:space="0" w:color="auto"/>
            </w:tcBorders>
            <w:shd w:val="clear" w:color="000000" w:fill="DAE9F8"/>
            <w:vAlign w:val="center"/>
            <w:hideMark/>
          </w:tcPr>
          <w:p w14:paraId="0505954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Shënime</w:t>
            </w:r>
          </w:p>
        </w:tc>
        <w:tc>
          <w:tcPr>
            <w:tcW w:w="394" w:type="dxa"/>
            <w:tcBorders>
              <w:top w:val="nil"/>
              <w:left w:val="nil"/>
              <w:bottom w:val="nil"/>
              <w:right w:val="nil"/>
            </w:tcBorders>
            <w:shd w:val="clear" w:color="auto" w:fill="auto"/>
            <w:noWrap/>
            <w:vAlign w:val="bottom"/>
            <w:hideMark/>
          </w:tcPr>
          <w:p w14:paraId="423C9857"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031F5078" w14:textId="77777777" w:rsidTr="00962754">
        <w:trPr>
          <w:trHeight w:val="20"/>
        </w:trPr>
        <w:tc>
          <w:tcPr>
            <w:tcW w:w="718" w:type="dxa"/>
            <w:tcBorders>
              <w:top w:val="nil"/>
              <w:left w:val="single" w:sz="8" w:space="0" w:color="auto"/>
              <w:bottom w:val="nil"/>
              <w:right w:val="single" w:sz="4" w:space="0" w:color="auto"/>
            </w:tcBorders>
            <w:shd w:val="clear" w:color="000000" w:fill="DEEAF6"/>
            <w:hideMark/>
          </w:tcPr>
          <w:p w14:paraId="6E4DF54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w:t>
            </w:r>
            <w:r w:rsidRPr="00B907A3">
              <w:rPr>
                <w:rFonts w:ascii="Garamond" w:hAnsi="Garamond" w:cs="Arial"/>
                <w:b/>
                <w:bCs/>
                <w:color w:val="000000"/>
                <w:sz w:val="6"/>
                <w:szCs w:val="12"/>
                <w:lang w:eastAsia="en-US"/>
              </w:rPr>
              <w:br/>
              <w:t>Përmirësimi i planifikimit, projektimit, ndërtimit dhe mirëmbajtjes së rrugëve</w:t>
            </w:r>
          </w:p>
        </w:tc>
        <w:tc>
          <w:tcPr>
            <w:tcW w:w="571" w:type="dxa"/>
            <w:tcBorders>
              <w:top w:val="nil"/>
              <w:left w:val="nil"/>
              <w:bottom w:val="single" w:sz="4" w:space="0" w:color="auto"/>
              <w:right w:val="single" w:sz="4" w:space="0" w:color="auto"/>
            </w:tcBorders>
            <w:shd w:val="clear" w:color="auto" w:fill="auto"/>
            <w:hideMark/>
          </w:tcPr>
          <w:p w14:paraId="3FC693BB" w14:textId="29DDC841" w:rsidR="00962754" w:rsidRPr="00B907A3" w:rsidRDefault="005C1DD9" w:rsidP="005C1DD9">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Përmirësimi</w:t>
            </w:r>
            <w:r w:rsidR="00962754" w:rsidRPr="00B907A3">
              <w:rPr>
                <w:rFonts w:ascii="Garamond" w:hAnsi="Garamond" w:cs="Arial"/>
                <w:color w:val="000000"/>
                <w:sz w:val="6"/>
                <w:szCs w:val="12"/>
                <w:lang w:eastAsia="en-US"/>
              </w:rPr>
              <w:t xml:space="preserve"> </w:t>
            </w:r>
            <w:r>
              <w:rPr>
                <w:rFonts w:ascii="Garamond" w:hAnsi="Garamond" w:cs="Arial"/>
                <w:color w:val="000000"/>
                <w:sz w:val="6"/>
                <w:szCs w:val="12"/>
                <w:lang w:eastAsia="en-US"/>
              </w:rPr>
              <w:t>i</w:t>
            </w:r>
            <w:r w:rsidR="00962754" w:rsidRPr="00B907A3">
              <w:rPr>
                <w:rFonts w:ascii="Garamond" w:hAnsi="Garamond" w:cs="Arial"/>
                <w:color w:val="000000"/>
                <w:sz w:val="6"/>
                <w:szCs w:val="12"/>
                <w:lang w:eastAsia="en-US"/>
              </w:rPr>
              <w:t xml:space="preserve"> legjislacionit me qëllim përputhjen e plotë me direktivën 2019/1936 </w:t>
            </w:r>
            <w:r w:rsidR="00962754" w:rsidRPr="00B907A3">
              <w:rPr>
                <w:rFonts w:ascii="Garamond" w:hAnsi="Garamond" w:cs="Arial"/>
                <w:color w:val="000000"/>
                <w:sz w:val="6"/>
                <w:szCs w:val="12"/>
                <w:lang w:eastAsia="en-US"/>
              </w:rPr>
              <w:lastRenderedPageBreak/>
              <w:t>(BE) për menaxhimin e sigurisë së infrastrukturës rrugore</w:t>
            </w:r>
          </w:p>
        </w:tc>
        <w:tc>
          <w:tcPr>
            <w:tcW w:w="470" w:type="dxa"/>
            <w:tcBorders>
              <w:top w:val="nil"/>
              <w:left w:val="nil"/>
              <w:bottom w:val="single" w:sz="4" w:space="0" w:color="auto"/>
              <w:right w:val="single" w:sz="4" w:space="0" w:color="auto"/>
            </w:tcBorders>
            <w:shd w:val="clear" w:color="auto" w:fill="auto"/>
            <w:hideMark/>
          </w:tcPr>
          <w:p w14:paraId="401E53F6" w14:textId="6D8494BF"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lastRenderedPageBreak/>
              <w:t>P</w:t>
            </w:r>
            <w:r w:rsidR="00FB5830">
              <w:rPr>
                <w:rFonts w:ascii="Garamond" w:hAnsi="Garamond" w:cs="Arial"/>
                <w:color w:val="000000"/>
                <w:sz w:val="6"/>
                <w:szCs w:val="12"/>
                <w:lang w:eastAsia="en-US"/>
              </w:rPr>
              <w:t>o/jo/</w:t>
            </w:r>
            <w:r w:rsidR="00FB5830"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6687D4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nil"/>
            </w:tcBorders>
            <w:shd w:val="clear" w:color="auto" w:fill="auto"/>
            <w:hideMark/>
          </w:tcPr>
          <w:p w14:paraId="03FD19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single" w:sz="4" w:space="0" w:color="auto"/>
              <w:bottom w:val="single" w:sz="4" w:space="0" w:color="auto"/>
              <w:right w:val="single" w:sz="4" w:space="0" w:color="auto"/>
            </w:tcBorders>
            <w:shd w:val="clear" w:color="auto" w:fill="auto"/>
            <w:hideMark/>
          </w:tcPr>
          <w:p w14:paraId="1FB871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01D9D14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1C3EE1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nil"/>
              <w:right w:val="single" w:sz="8" w:space="0" w:color="auto"/>
            </w:tcBorders>
            <w:shd w:val="clear" w:color="auto" w:fill="auto"/>
            <w:hideMark/>
          </w:tcPr>
          <w:p w14:paraId="336AECC5" w14:textId="05D55A3A"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 xml:space="preserve">Raportimi i </w:t>
            </w:r>
            <w:r>
              <w:rPr>
                <w:rFonts w:ascii="Garamond" w:hAnsi="Garamond" w:cs="Arial"/>
                <w:color w:val="000000"/>
                <w:sz w:val="6"/>
                <w:szCs w:val="12"/>
                <w:lang w:eastAsia="en-US"/>
              </w:rPr>
              <w:br/>
              <w:t>MIE-s</w:t>
            </w:r>
          </w:p>
        </w:tc>
        <w:tc>
          <w:tcPr>
            <w:tcW w:w="236" w:type="dxa"/>
            <w:tcBorders>
              <w:top w:val="nil"/>
              <w:left w:val="nil"/>
              <w:bottom w:val="single" w:sz="4" w:space="0" w:color="auto"/>
              <w:right w:val="nil"/>
            </w:tcBorders>
            <w:shd w:val="clear" w:color="000000" w:fill="EE0000"/>
            <w:hideMark/>
          </w:tcPr>
          <w:p w14:paraId="280A0F1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DEEAF6"/>
            <w:hideMark/>
          </w:tcPr>
          <w:p w14:paraId="24F2CBA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2.1.1</w:t>
            </w:r>
            <w:r w:rsidRPr="00B907A3">
              <w:rPr>
                <w:rFonts w:ascii="Garamond" w:hAnsi="Garamond" w:cs="Arial"/>
                <w:b/>
                <w:bCs/>
                <w:color w:val="000000"/>
                <w:sz w:val="6"/>
                <w:szCs w:val="12"/>
                <w:lang w:eastAsia="en-US"/>
              </w:rPr>
              <w:br/>
              <w:t>Përgatitja e akteve ligjore që përputhin plotësisht direktivën e BE-së 2019/1936</w:t>
            </w:r>
          </w:p>
        </w:tc>
        <w:tc>
          <w:tcPr>
            <w:tcW w:w="520" w:type="dxa"/>
            <w:tcBorders>
              <w:top w:val="nil"/>
              <w:left w:val="nil"/>
              <w:bottom w:val="single" w:sz="4" w:space="0" w:color="auto"/>
              <w:right w:val="single" w:sz="4" w:space="0" w:color="auto"/>
            </w:tcBorders>
            <w:shd w:val="clear" w:color="auto" w:fill="auto"/>
            <w:hideMark/>
          </w:tcPr>
          <w:p w14:paraId="117C03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512" w:type="dxa"/>
            <w:tcBorders>
              <w:top w:val="nil"/>
              <w:left w:val="nil"/>
              <w:bottom w:val="nil"/>
              <w:right w:val="single" w:sz="4" w:space="0" w:color="auto"/>
            </w:tcBorders>
            <w:shd w:val="clear" w:color="auto" w:fill="auto"/>
            <w:hideMark/>
          </w:tcPr>
          <w:p w14:paraId="5D9DA3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ARRSH, </w:t>
            </w:r>
            <w:r w:rsidRPr="00B907A3">
              <w:rPr>
                <w:rFonts w:ascii="Garamond" w:hAnsi="Garamond" w:cs="Arial"/>
                <w:color w:val="000000"/>
                <w:sz w:val="6"/>
                <w:szCs w:val="12"/>
                <w:lang w:eastAsia="en-US"/>
              </w:rPr>
              <w:br/>
              <w:t xml:space="preserve">IT, </w:t>
            </w:r>
            <w:r w:rsidRPr="00B907A3">
              <w:rPr>
                <w:rFonts w:ascii="Garamond" w:hAnsi="Garamond" w:cs="Arial"/>
                <w:color w:val="000000"/>
                <w:sz w:val="6"/>
                <w:szCs w:val="12"/>
                <w:lang w:eastAsia="en-US"/>
              </w:rPr>
              <w:br/>
              <w:t>MPB/PRr, Universiteti Politeknik I Tiranës</w:t>
            </w:r>
          </w:p>
        </w:tc>
        <w:tc>
          <w:tcPr>
            <w:tcW w:w="367" w:type="dxa"/>
            <w:tcBorders>
              <w:top w:val="nil"/>
              <w:left w:val="nil"/>
              <w:bottom w:val="nil"/>
              <w:right w:val="single" w:sz="8" w:space="0" w:color="auto"/>
            </w:tcBorders>
            <w:shd w:val="clear" w:color="auto" w:fill="auto"/>
            <w:hideMark/>
          </w:tcPr>
          <w:p w14:paraId="03918E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 – 2028</w:t>
            </w:r>
          </w:p>
        </w:tc>
        <w:tc>
          <w:tcPr>
            <w:tcW w:w="372" w:type="dxa"/>
            <w:tcBorders>
              <w:top w:val="nil"/>
              <w:left w:val="nil"/>
              <w:bottom w:val="single" w:sz="4" w:space="0" w:color="auto"/>
              <w:right w:val="single" w:sz="4" w:space="0" w:color="auto"/>
            </w:tcBorders>
            <w:shd w:val="clear" w:color="auto" w:fill="auto"/>
            <w:hideMark/>
          </w:tcPr>
          <w:p w14:paraId="0204D7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0ED11C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072EBD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272AA0F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96EF0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201837E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C2617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3C6431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6AD0E0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6A47477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B8DE0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1CF8A4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09D631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92284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C3473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345C3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66547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67FEB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04719C9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Akt nënligjor i miratuar</w:t>
            </w:r>
          </w:p>
        </w:tc>
        <w:tc>
          <w:tcPr>
            <w:tcW w:w="442" w:type="dxa"/>
            <w:tcBorders>
              <w:top w:val="nil"/>
              <w:left w:val="nil"/>
              <w:bottom w:val="single" w:sz="4" w:space="0" w:color="auto"/>
              <w:right w:val="single" w:sz="4" w:space="0" w:color="auto"/>
            </w:tcBorders>
            <w:shd w:val="clear" w:color="000000" w:fill="FFFFFF"/>
            <w:hideMark/>
          </w:tcPr>
          <w:p w14:paraId="159053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MIE-së</w:t>
            </w:r>
          </w:p>
        </w:tc>
        <w:tc>
          <w:tcPr>
            <w:tcW w:w="287" w:type="dxa"/>
            <w:tcBorders>
              <w:top w:val="nil"/>
              <w:left w:val="nil"/>
              <w:bottom w:val="single" w:sz="4" w:space="0" w:color="auto"/>
              <w:right w:val="single" w:sz="8" w:space="0" w:color="auto"/>
            </w:tcBorders>
            <w:shd w:val="clear" w:color="000000" w:fill="FFFFFF"/>
            <w:hideMark/>
          </w:tcPr>
          <w:p w14:paraId="5CD0B9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E6B3D66"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7E2D10F"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DEEAF6"/>
            <w:hideMark/>
          </w:tcPr>
          <w:p w14:paraId="635EB9F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4411700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6C02D2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435031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68651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9FD59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2751F6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0E76C5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4" w:space="0" w:color="auto"/>
              <w:right w:val="single" w:sz="8" w:space="0" w:color="auto"/>
            </w:tcBorders>
            <w:shd w:val="clear" w:color="auto" w:fill="auto"/>
            <w:hideMark/>
          </w:tcPr>
          <w:p w14:paraId="7D7D2F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468342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34A81DA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2.1.2</w:t>
            </w:r>
            <w:r w:rsidRPr="00B907A3">
              <w:rPr>
                <w:rFonts w:ascii="Garamond" w:hAnsi="Garamond" w:cs="Arial"/>
                <w:b/>
                <w:bCs/>
                <w:color w:val="000000"/>
                <w:sz w:val="6"/>
                <w:szCs w:val="12"/>
                <w:lang w:eastAsia="en-US"/>
              </w:rPr>
              <w:br/>
              <w:t>Prezantimi dhe përdorimi i procedurës së Vlerësimit të Impaktit të Sigurisë Rrugore (VISR) në praktikë për rrugët kombëtare në 2 projekte (studime fizibiliteti). Ndjekja e masave të propozuara dhe vlerësimi i tyre.</w:t>
            </w:r>
          </w:p>
        </w:tc>
        <w:tc>
          <w:tcPr>
            <w:tcW w:w="520" w:type="dxa"/>
            <w:tcBorders>
              <w:top w:val="nil"/>
              <w:left w:val="nil"/>
              <w:bottom w:val="single" w:sz="4" w:space="0" w:color="auto"/>
              <w:right w:val="single" w:sz="4" w:space="0" w:color="auto"/>
            </w:tcBorders>
            <w:shd w:val="clear" w:color="auto" w:fill="auto"/>
            <w:hideMark/>
          </w:tcPr>
          <w:p w14:paraId="308576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single" w:sz="4" w:space="0" w:color="auto"/>
              <w:left w:val="nil"/>
              <w:bottom w:val="nil"/>
              <w:right w:val="single" w:sz="4" w:space="0" w:color="auto"/>
            </w:tcBorders>
            <w:shd w:val="clear" w:color="auto" w:fill="auto"/>
            <w:hideMark/>
          </w:tcPr>
          <w:p w14:paraId="0B0F36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r w:rsidRPr="00B907A3">
              <w:rPr>
                <w:rFonts w:ascii="Garamond" w:hAnsi="Garamond" w:cs="Arial"/>
                <w:color w:val="000000"/>
                <w:sz w:val="6"/>
                <w:szCs w:val="12"/>
                <w:lang w:eastAsia="en-US"/>
              </w:rPr>
              <w:br/>
              <w:t>Auditues të certifikuar / Projektues</w:t>
            </w:r>
          </w:p>
        </w:tc>
        <w:tc>
          <w:tcPr>
            <w:tcW w:w="367" w:type="dxa"/>
            <w:tcBorders>
              <w:top w:val="single" w:sz="4" w:space="0" w:color="auto"/>
              <w:left w:val="nil"/>
              <w:bottom w:val="single" w:sz="4" w:space="0" w:color="auto"/>
              <w:right w:val="single" w:sz="8" w:space="0" w:color="auto"/>
            </w:tcBorders>
            <w:shd w:val="clear" w:color="auto" w:fill="auto"/>
            <w:hideMark/>
          </w:tcPr>
          <w:p w14:paraId="619A772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2028-2029</w:t>
            </w:r>
          </w:p>
        </w:tc>
        <w:tc>
          <w:tcPr>
            <w:tcW w:w="372" w:type="dxa"/>
            <w:tcBorders>
              <w:top w:val="nil"/>
              <w:left w:val="nil"/>
              <w:bottom w:val="nil"/>
              <w:right w:val="single" w:sz="4" w:space="0" w:color="auto"/>
            </w:tcBorders>
            <w:shd w:val="clear" w:color="auto" w:fill="auto"/>
            <w:hideMark/>
          </w:tcPr>
          <w:p w14:paraId="7DDAF8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single" w:sz="4" w:space="0" w:color="auto"/>
            </w:tcBorders>
            <w:shd w:val="clear" w:color="auto" w:fill="auto"/>
            <w:hideMark/>
          </w:tcPr>
          <w:p w14:paraId="547669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5DCBF7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4E1FF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D2123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1B62FA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F3183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w:t>
            </w:r>
          </w:p>
        </w:tc>
        <w:tc>
          <w:tcPr>
            <w:tcW w:w="372" w:type="dxa"/>
            <w:tcBorders>
              <w:top w:val="nil"/>
              <w:left w:val="nil"/>
              <w:bottom w:val="single" w:sz="4" w:space="0" w:color="auto"/>
              <w:right w:val="single" w:sz="4" w:space="0" w:color="auto"/>
            </w:tcBorders>
            <w:shd w:val="clear" w:color="auto" w:fill="auto"/>
            <w:hideMark/>
          </w:tcPr>
          <w:p w14:paraId="698149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FFD21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w:t>
            </w:r>
          </w:p>
        </w:tc>
        <w:tc>
          <w:tcPr>
            <w:tcW w:w="382" w:type="dxa"/>
            <w:tcBorders>
              <w:top w:val="nil"/>
              <w:left w:val="nil"/>
              <w:bottom w:val="single" w:sz="4" w:space="0" w:color="auto"/>
              <w:right w:val="single" w:sz="4" w:space="0" w:color="auto"/>
            </w:tcBorders>
            <w:shd w:val="clear" w:color="000000" w:fill="FFFFFF"/>
            <w:hideMark/>
          </w:tcPr>
          <w:p w14:paraId="4D0850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w:t>
            </w:r>
          </w:p>
        </w:tc>
        <w:tc>
          <w:tcPr>
            <w:tcW w:w="382" w:type="dxa"/>
            <w:tcBorders>
              <w:top w:val="nil"/>
              <w:left w:val="nil"/>
              <w:bottom w:val="single" w:sz="4" w:space="0" w:color="auto"/>
              <w:right w:val="single" w:sz="4" w:space="0" w:color="auto"/>
            </w:tcBorders>
            <w:shd w:val="clear" w:color="000000" w:fill="FFFFFF"/>
            <w:hideMark/>
          </w:tcPr>
          <w:p w14:paraId="52F6FB1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680ACF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01D126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w:t>
            </w:r>
          </w:p>
        </w:tc>
        <w:tc>
          <w:tcPr>
            <w:tcW w:w="372" w:type="dxa"/>
            <w:tcBorders>
              <w:top w:val="nil"/>
              <w:left w:val="nil"/>
              <w:bottom w:val="single" w:sz="4" w:space="0" w:color="auto"/>
              <w:right w:val="single" w:sz="4" w:space="0" w:color="auto"/>
            </w:tcBorders>
            <w:shd w:val="clear" w:color="000000" w:fill="FFFFFF"/>
            <w:hideMark/>
          </w:tcPr>
          <w:p w14:paraId="4FC7CB4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ECEE3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w:t>
            </w:r>
          </w:p>
        </w:tc>
        <w:tc>
          <w:tcPr>
            <w:tcW w:w="382" w:type="dxa"/>
            <w:tcBorders>
              <w:top w:val="nil"/>
              <w:left w:val="nil"/>
              <w:bottom w:val="single" w:sz="4" w:space="0" w:color="auto"/>
              <w:right w:val="single" w:sz="4" w:space="0" w:color="auto"/>
            </w:tcBorders>
            <w:shd w:val="clear" w:color="000000" w:fill="FFFFFF"/>
            <w:hideMark/>
          </w:tcPr>
          <w:p w14:paraId="22003B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w:t>
            </w:r>
          </w:p>
        </w:tc>
        <w:tc>
          <w:tcPr>
            <w:tcW w:w="382" w:type="dxa"/>
            <w:tcBorders>
              <w:top w:val="nil"/>
              <w:left w:val="nil"/>
              <w:bottom w:val="single" w:sz="4" w:space="0" w:color="auto"/>
              <w:right w:val="single" w:sz="4" w:space="0" w:color="auto"/>
            </w:tcBorders>
            <w:shd w:val="clear" w:color="000000" w:fill="FFFFFF"/>
            <w:hideMark/>
          </w:tcPr>
          <w:p w14:paraId="7DEE38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7004B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215064B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Përgatitja e 2 raporteve të Vlerësimit të Sigurisë së Infrastruktura Rrugore (VSIR)</w:t>
            </w:r>
          </w:p>
        </w:tc>
        <w:tc>
          <w:tcPr>
            <w:tcW w:w="442" w:type="dxa"/>
            <w:tcBorders>
              <w:top w:val="nil"/>
              <w:left w:val="nil"/>
              <w:bottom w:val="single" w:sz="4" w:space="0" w:color="auto"/>
              <w:right w:val="single" w:sz="4" w:space="0" w:color="auto"/>
            </w:tcBorders>
            <w:shd w:val="clear" w:color="000000" w:fill="FFFFFF"/>
            <w:hideMark/>
          </w:tcPr>
          <w:p w14:paraId="2433E3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ARRSH-së</w:t>
            </w:r>
          </w:p>
        </w:tc>
        <w:tc>
          <w:tcPr>
            <w:tcW w:w="287" w:type="dxa"/>
            <w:tcBorders>
              <w:top w:val="nil"/>
              <w:left w:val="nil"/>
              <w:bottom w:val="single" w:sz="4" w:space="0" w:color="auto"/>
              <w:right w:val="single" w:sz="8" w:space="0" w:color="auto"/>
            </w:tcBorders>
            <w:shd w:val="clear" w:color="000000" w:fill="FFFFFF"/>
            <w:hideMark/>
          </w:tcPr>
          <w:p w14:paraId="75B3E8A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1F039B7"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0955AFEF"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DEEAF6"/>
            <w:hideMark/>
          </w:tcPr>
          <w:p w14:paraId="637B136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03A41F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4A6981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4CA6FE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D7F70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D12DC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79420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48AFBD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18F33F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46DB1E0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5F1AF54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2.1.3</w:t>
            </w:r>
            <w:r w:rsidRPr="00B907A3">
              <w:rPr>
                <w:rFonts w:ascii="Garamond" w:hAnsi="Garamond" w:cs="Arial"/>
                <w:b/>
                <w:bCs/>
                <w:color w:val="000000"/>
                <w:sz w:val="6"/>
                <w:szCs w:val="12"/>
                <w:lang w:eastAsia="en-US"/>
              </w:rPr>
              <w:br/>
              <w:t>Zbatimi i procedurës së Auditimit të Sigurisë Rrugore (ASRr) si një procedurë e rregullt për rrugët kombëtare për 6 skema projektimi. Ndjekja e masave të implementuara dhe vlerësimi i tyre.</w:t>
            </w:r>
          </w:p>
        </w:tc>
        <w:tc>
          <w:tcPr>
            <w:tcW w:w="520" w:type="dxa"/>
            <w:tcBorders>
              <w:top w:val="nil"/>
              <w:left w:val="nil"/>
              <w:bottom w:val="single" w:sz="4" w:space="0" w:color="auto"/>
              <w:right w:val="single" w:sz="4" w:space="0" w:color="auto"/>
            </w:tcBorders>
            <w:shd w:val="clear" w:color="auto" w:fill="auto"/>
            <w:hideMark/>
          </w:tcPr>
          <w:p w14:paraId="283FF0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single" w:sz="4" w:space="0" w:color="auto"/>
              <w:left w:val="nil"/>
              <w:bottom w:val="nil"/>
              <w:right w:val="single" w:sz="4" w:space="0" w:color="auto"/>
            </w:tcBorders>
            <w:shd w:val="clear" w:color="auto" w:fill="auto"/>
            <w:hideMark/>
          </w:tcPr>
          <w:p w14:paraId="37FCD3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r w:rsidRPr="00B907A3">
              <w:rPr>
                <w:rFonts w:ascii="Garamond" w:hAnsi="Garamond" w:cs="Arial"/>
                <w:color w:val="000000"/>
                <w:sz w:val="6"/>
                <w:szCs w:val="12"/>
                <w:lang w:eastAsia="en-US"/>
              </w:rPr>
              <w:br/>
              <w:t>Auditues të certifikuar/ Projektues</w:t>
            </w:r>
          </w:p>
        </w:tc>
        <w:tc>
          <w:tcPr>
            <w:tcW w:w="367" w:type="dxa"/>
            <w:tcBorders>
              <w:top w:val="nil"/>
              <w:left w:val="nil"/>
              <w:bottom w:val="single" w:sz="4" w:space="0" w:color="auto"/>
              <w:right w:val="single" w:sz="8" w:space="0" w:color="auto"/>
            </w:tcBorders>
            <w:shd w:val="clear" w:color="auto" w:fill="auto"/>
            <w:hideMark/>
          </w:tcPr>
          <w:p w14:paraId="795353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nil"/>
              <w:right w:val="single" w:sz="4" w:space="0" w:color="auto"/>
            </w:tcBorders>
            <w:shd w:val="clear" w:color="auto" w:fill="auto"/>
            <w:hideMark/>
          </w:tcPr>
          <w:p w14:paraId="0CB244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72" w:type="dxa"/>
            <w:tcBorders>
              <w:top w:val="single" w:sz="4" w:space="0" w:color="auto"/>
              <w:left w:val="nil"/>
              <w:bottom w:val="nil"/>
              <w:right w:val="single" w:sz="4" w:space="0" w:color="auto"/>
            </w:tcBorders>
            <w:shd w:val="clear" w:color="auto" w:fill="auto"/>
            <w:hideMark/>
          </w:tcPr>
          <w:p w14:paraId="2DF3CB5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7CCCA2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618" w:type="dxa"/>
            <w:tcBorders>
              <w:top w:val="nil"/>
              <w:left w:val="nil"/>
              <w:bottom w:val="single" w:sz="4" w:space="0" w:color="auto"/>
              <w:right w:val="single" w:sz="4" w:space="0" w:color="auto"/>
            </w:tcBorders>
            <w:shd w:val="clear" w:color="auto" w:fill="auto"/>
            <w:hideMark/>
          </w:tcPr>
          <w:p w14:paraId="517DE1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618" w:type="dxa"/>
            <w:tcBorders>
              <w:top w:val="nil"/>
              <w:left w:val="nil"/>
              <w:bottom w:val="single" w:sz="4" w:space="0" w:color="auto"/>
              <w:right w:val="single" w:sz="4" w:space="0" w:color="auto"/>
            </w:tcBorders>
            <w:shd w:val="clear" w:color="auto" w:fill="auto"/>
            <w:hideMark/>
          </w:tcPr>
          <w:p w14:paraId="6535D8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5DC207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7A65E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72" w:type="dxa"/>
            <w:tcBorders>
              <w:top w:val="nil"/>
              <w:left w:val="nil"/>
              <w:bottom w:val="single" w:sz="4" w:space="0" w:color="auto"/>
              <w:right w:val="single" w:sz="4" w:space="0" w:color="auto"/>
            </w:tcBorders>
            <w:shd w:val="clear" w:color="auto" w:fill="auto"/>
            <w:hideMark/>
          </w:tcPr>
          <w:p w14:paraId="447C1D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68919C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82" w:type="dxa"/>
            <w:tcBorders>
              <w:top w:val="nil"/>
              <w:left w:val="nil"/>
              <w:bottom w:val="single" w:sz="4" w:space="0" w:color="auto"/>
              <w:right w:val="single" w:sz="4" w:space="0" w:color="auto"/>
            </w:tcBorders>
            <w:shd w:val="clear" w:color="000000" w:fill="FFFFFF"/>
            <w:hideMark/>
          </w:tcPr>
          <w:p w14:paraId="353704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82" w:type="dxa"/>
            <w:tcBorders>
              <w:top w:val="nil"/>
              <w:left w:val="nil"/>
              <w:bottom w:val="single" w:sz="4" w:space="0" w:color="auto"/>
              <w:right w:val="single" w:sz="4" w:space="0" w:color="auto"/>
            </w:tcBorders>
            <w:shd w:val="clear" w:color="000000" w:fill="FFFFFF"/>
            <w:hideMark/>
          </w:tcPr>
          <w:p w14:paraId="1AB3CC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7EAFD7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3ADF5D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72" w:type="dxa"/>
            <w:tcBorders>
              <w:top w:val="nil"/>
              <w:left w:val="nil"/>
              <w:bottom w:val="single" w:sz="4" w:space="0" w:color="auto"/>
              <w:right w:val="single" w:sz="4" w:space="0" w:color="auto"/>
            </w:tcBorders>
            <w:shd w:val="clear" w:color="000000" w:fill="FFFFFF"/>
            <w:hideMark/>
          </w:tcPr>
          <w:p w14:paraId="260464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19EAD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82" w:type="dxa"/>
            <w:tcBorders>
              <w:top w:val="nil"/>
              <w:left w:val="nil"/>
              <w:bottom w:val="single" w:sz="4" w:space="0" w:color="auto"/>
              <w:right w:val="single" w:sz="4" w:space="0" w:color="auto"/>
            </w:tcBorders>
            <w:shd w:val="clear" w:color="000000" w:fill="FFFFFF"/>
            <w:hideMark/>
          </w:tcPr>
          <w:p w14:paraId="0F7131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82" w:type="dxa"/>
            <w:tcBorders>
              <w:top w:val="nil"/>
              <w:left w:val="nil"/>
              <w:bottom w:val="single" w:sz="4" w:space="0" w:color="auto"/>
              <w:right w:val="single" w:sz="4" w:space="0" w:color="auto"/>
            </w:tcBorders>
            <w:shd w:val="clear" w:color="000000" w:fill="FFFFFF"/>
            <w:hideMark/>
          </w:tcPr>
          <w:p w14:paraId="047D41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458AF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95629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Përgatitja e 6 raporteve të Auditeve të Sigurisë Rrugore (ASR) </w:t>
            </w:r>
          </w:p>
        </w:tc>
        <w:tc>
          <w:tcPr>
            <w:tcW w:w="442" w:type="dxa"/>
            <w:tcBorders>
              <w:top w:val="nil"/>
              <w:left w:val="nil"/>
              <w:bottom w:val="single" w:sz="4" w:space="0" w:color="auto"/>
              <w:right w:val="single" w:sz="4" w:space="0" w:color="auto"/>
            </w:tcBorders>
            <w:shd w:val="clear" w:color="000000" w:fill="FFFFFF"/>
            <w:hideMark/>
          </w:tcPr>
          <w:p w14:paraId="29756E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ARSH-së</w:t>
            </w:r>
          </w:p>
        </w:tc>
        <w:tc>
          <w:tcPr>
            <w:tcW w:w="287" w:type="dxa"/>
            <w:tcBorders>
              <w:top w:val="nil"/>
              <w:left w:val="nil"/>
              <w:bottom w:val="single" w:sz="4" w:space="0" w:color="auto"/>
              <w:right w:val="single" w:sz="8" w:space="0" w:color="auto"/>
            </w:tcBorders>
            <w:shd w:val="clear" w:color="000000" w:fill="FFFFFF"/>
            <w:hideMark/>
          </w:tcPr>
          <w:p w14:paraId="190D80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5F4BF25"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4BE3B48"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374B0DD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555F86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4CC8931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45C05E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FF84F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3FE25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7E14B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1912BD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7EFC29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2AC813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5892DBE3" w14:textId="1D25C6F5"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2.1.4</w:t>
            </w:r>
            <w:r w:rsidRPr="00B907A3">
              <w:rPr>
                <w:rFonts w:ascii="Garamond" w:hAnsi="Garamond" w:cs="Arial"/>
                <w:b/>
                <w:bCs/>
                <w:color w:val="000000"/>
                <w:sz w:val="6"/>
                <w:szCs w:val="12"/>
                <w:lang w:eastAsia="en-US"/>
              </w:rPr>
              <w:br/>
              <w:t>Zbatimi i procedurës së Inspektimit të Sigurisë Rrugore (ISR) si një procedurë e rregullt për rrugët kombëtare për</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6 seksione. Ndjekja e masave të zbatuara dhe vlerësimi i tyre.</w:t>
            </w:r>
          </w:p>
        </w:tc>
        <w:tc>
          <w:tcPr>
            <w:tcW w:w="520" w:type="dxa"/>
            <w:tcBorders>
              <w:top w:val="nil"/>
              <w:left w:val="nil"/>
              <w:bottom w:val="single" w:sz="4" w:space="0" w:color="auto"/>
              <w:right w:val="single" w:sz="4" w:space="0" w:color="auto"/>
            </w:tcBorders>
            <w:shd w:val="clear" w:color="auto" w:fill="auto"/>
            <w:hideMark/>
          </w:tcPr>
          <w:p w14:paraId="150A79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ARRSH </w:t>
            </w:r>
          </w:p>
        </w:tc>
        <w:tc>
          <w:tcPr>
            <w:tcW w:w="512" w:type="dxa"/>
            <w:tcBorders>
              <w:top w:val="single" w:sz="4" w:space="0" w:color="auto"/>
              <w:left w:val="nil"/>
              <w:bottom w:val="nil"/>
              <w:right w:val="single" w:sz="4" w:space="0" w:color="auto"/>
            </w:tcBorders>
            <w:shd w:val="clear" w:color="auto" w:fill="auto"/>
            <w:hideMark/>
          </w:tcPr>
          <w:p w14:paraId="4DF02569" w14:textId="0F0C18DD"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 xml:space="preserve">IT, </w:t>
            </w:r>
            <w:r>
              <w:rPr>
                <w:rFonts w:ascii="Garamond" w:hAnsi="Garamond" w:cs="Arial"/>
                <w:color w:val="000000"/>
                <w:sz w:val="6"/>
                <w:szCs w:val="12"/>
                <w:lang w:eastAsia="en-US"/>
              </w:rPr>
              <w:br/>
              <w:t>Auditues të certifikuar</w:t>
            </w:r>
            <w:r w:rsidR="00962754" w:rsidRPr="00B907A3">
              <w:rPr>
                <w:rFonts w:ascii="Garamond" w:hAnsi="Garamond" w:cs="Arial"/>
                <w:color w:val="000000"/>
                <w:sz w:val="6"/>
                <w:szCs w:val="12"/>
                <w:lang w:eastAsia="en-US"/>
              </w:rPr>
              <w:t xml:space="preserve">/ </w:t>
            </w:r>
            <w:r w:rsidR="00962754" w:rsidRPr="00B907A3">
              <w:rPr>
                <w:rFonts w:ascii="Garamond" w:hAnsi="Garamond" w:cs="Arial"/>
                <w:color w:val="000000"/>
                <w:sz w:val="6"/>
                <w:szCs w:val="12"/>
                <w:lang w:eastAsia="en-US"/>
              </w:rPr>
              <w:br/>
              <w:t xml:space="preserve">Kontraktorë </w:t>
            </w:r>
          </w:p>
        </w:tc>
        <w:tc>
          <w:tcPr>
            <w:tcW w:w="367" w:type="dxa"/>
            <w:tcBorders>
              <w:top w:val="nil"/>
              <w:left w:val="nil"/>
              <w:bottom w:val="single" w:sz="4" w:space="0" w:color="auto"/>
              <w:right w:val="single" w:sz="8" w:space="0" w:color="auto"/>
            </w:tcBorders>
            <w:shd w:val="clear" w:color="auto" w:fill="auto"/>
            <w:hideMark/>
          </w:tcPr>
          <w:p w14:paraId="10D808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nil"/>
              <w:right w:val="single" w:sz="4" w:space="0" w:color="auto"/>
            </w:tcBorders>
            <w:shd w:val="clear" w:color="auto" w:fill="auto"/>
            <w:hideMark/>
          </w:tcPr>
          <w:p w14:paraId="4AD89FF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single" w:sz="4" w:space="0" w:color="auto"/>
              <w:left w:val="nil"/>
              <w:bottom w:val="nil"/>
              <w:right w:val="single" w:sz="4" w:space="0" w:color="auto"/>
            </w:tcBorders>
            <w:shd w:val="clear" w:color="auto" w:fill="auto"/>
            <w:hideMark/>
          </w:tcPr>
          <w:p w14:paraId="737E6BF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540213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618" w:type="dxa"/>
            <w:tcBorders>
              <w:top w:val="nil"/>
              <w:left w:val="nil"/>
              <w:bottom w:val="single" w:sz="4" w:space="0" w:color="auto"/>
              <w:right w:val="single" w:sz="4" w:space="0" w:color="auto"/>
            </w:tcBorders>
            <w:shd w:val="clear" w:color="auto" w:fill="auto"/>
            <w:hideMark/>
          </w:tcPr>
          <w:p w14:paraId="6EB66E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618" w:type="dxa"/>
            <w:tcBorders>
              <w:top w:val="nil"/>
              <w:left w:val="nil"/>
              <w:bottom w:val="single" w:sz="4" w:space="0" w:color="auto"/>
              <w:right w:val="single" w:sz="4" w:space="0" w:color="auto"/>
            </w:tcBorders>
            <w:shd w:val="clear" w:color="auto" w:fill="auto"/>
            <w:hideMark/>
          </w:tcPr>
          <w:p w14:paraId="67C2E4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AD1A4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7A4B75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4" w:space="0" w:color="auto"/>
              <w:right w:val="single" w:sz="4" w:space="0" w:color="auto"/>
            </w:tcBorders>
            <w:shd w:val="clear" w:color="auto" w:fill="auto"/>
            <w:hideMark/>
          </w:tcPr>
          <w:p w14:paraId="251B11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A70988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4" w:space="0" w:color="auto"/>
              <w:right w:val="single" w:sz="4" w:space="0" w:color="auto"/>
            </w:tcBorders>
            <w:shd w:val="clear" w:color="000000" w:fill="FFFFFF"/>
            <w:hideMark/>
          </w:tcPr>
          <w:p w14:paraId="6C97CD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4" w:space="0" w:color="auto"/>
              <w:right w:val="single" w:sz="4" w:space="0" w:color="auto"/>
            </w:tcBorders>
            <w:shd w:val="clear" w:color="000000" w:fill="FFFFFF"/>
            <w:hideMark/>
          </w:tcPr>
          <w:p w14:paraId="16B3A7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053296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00BE73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4" w:space="0" w:color="auto"/>
              <w:right w:val="single" w:sz="4" w:space="0" w:color="auto"/>
            </w:tcBorders>
            <w:shd w:val="clear" w:color="000000" w:fill="FFFFFF"/>
            <w:hideMark/>
          </w:tcPr>
          <w:p w14:paraId="2550A5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21F16D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4" w:space="0" w:color="auto"/>
              <w:right w:val="single" w:sz="4" w:space="0" w:color="auto"/>
            </w:tcBorders>
            <w:shd w:val="clear" w:color="000000" w:fill="FFFFFF"/>
            <w:hideMark/>
          </w:tcPr>
          <w:p w14:paraId="4609DD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4" w:space="0" w:color="auto"/>
              <w:right w:val="single" w:sz="4" w:space="0" w:color="auto"/>
            </w:tcBorders>
            <w:shd w:val="clear" w:color="000000" w:fill="FFFFFF"/>
            <w:hideMark/>
          </w:tcPr>
          <w:p w14:paraId="0395AA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1FBFCC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1C1E37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Përgatitja e 6 raporteve të Inspektimeve të Sigurisë Rrugore (ISR) </w:t>
            </w:r>
          </w:p>
        </w:tc>
        <w:tc>
          <w:tcPr>
            <w:tcW w:w="442" w:type="dxa"/>
            <w:tcBorders>
              <w:top w:val="nil"/>
              <w:left w:val="nil"/>
              <w:bottom w:val="single" w:sz="4" w:space="0" w:color="auto"/>
              <w:right w:val="single" w:sz="4" w:space="0" w:color="auto"/>
            </w:tcBorders>
            <w:shd w:val="clear" w:color="000000" w:fill="FFFFFF"/>
            <w:hideMark/>
          </w:tcPr>
          <w:p w14:paraId="4E5204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ARSH-së, </w:t>
            </w:r>
          </w:p>
        </w:tc>
        <w:tc>
          <w:tcPr>
            <w:tcW w:w="287" w:type="dxa"/>
            <w:tcBorders>
              <w:top w:val="nil"/>
              <w:left w:val="nil"/>
              <w:bottom w:val="single" w:sz="4" w:space="0" w:color="auto"/>
              <w:right w:val="single" w:sz="8" w:space="0" w:color="auto"/>
            </w:tcBorders>
            <w:shd w:val="clear" w:color="000000" w:fill="FFFFFF"/>
            <w:hideMark/>
          </w:tcPr>
          <w:p w14:paraId="3B9225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0BB1915"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A117462"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20F50E5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74345A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177A14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417F66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F7C20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680604C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49F1D9C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nil"/>
              <w:right w:val="single" w:sz="4" w:space="0" w:color="auto"/>
            </w:tcBorders>
            <w:shd w:val="clear" w:color="auto" w:fill="auto"/>
            <w:hideMark/>
          </w:tcPr>
          <w:p w14:paraId="5E3C63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4DC07A3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6C1E3D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5F3840F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2.1.5</w:t>
            </w:r>
            <w:r w:rsidRPr="00B907A3">
              <w:rPr>
                <w:rFonts w:ascii="Garamond" w:hAnsi="Garamond" w:cs="Arial"/>
                <w:b/>
                <w:bCs/>
                <w:color w:val="000000"/>
                <w:sz w:val="6"/>
                <w:szCs w:val="12"/>
                <w:lang w:eastAsia="en-US"/>
              </w:rPr>
              <w:br/>
              <w:t>Përmirësime të sigurisë rrugore të bazuara në korridore dhe menaxhimi i sigurisë së infrastrukturës rrugore sipas BE-së</w:t>
            </w:r>
          </w:p>
        </w:tc>
        <w:tc>
          <w:tcPr>
            <w:tcW w:w="520" w:type="dxa"/>
            <w:tcBorders>
              <w:top w:val="nil"/>
              <w:left w:val="nil"/>
              <w:bottom w:val="single" w:sz="4" w:space="0" w:color="auto"/>
              <w:right w:val="single" w:sz="4" w:space="0" w:color="auto"/>
            </w:tcBorders>
            <w:shd w:val="clear" w:color="auto" w:fill="auto"/>
            <w:hideMark/>
          </w:tcPr>
          <w:p w14:paraId="0C2143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ARRSH </w:t>
            </w:r>
          </w:p>
        </w:tc>
        <w:tc>
          <w:tcPr>
            <w:tcW w:w="512" w:type="dxa"/>
            <w:tcBorders>
              <w:top w:val="single" w:sz="4" w:space="0" w:color="auto"/>
              <w:left w:val="nil"/>
              <w:bottom w:val="nil"/>
              <w:right w:val="single" w:sz="4" w:space="0" w:color="auto"/>
            </w:tcBorders>
            <w:shd w:val="clear" w:color="auto" w:fill="auto"/>
            <w:hideMark/>
          </w:tcPr>
          <w:p w14:paraId="7320FA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 auditorë/projektues të certifikuar, kontraktorë</w:t>
            </w:r>
          </w:p>
        </w:tc>
        <w:tc>
          <w:tcPr>
            <w:tcW w:w="367" w:type="dxa"/>
            <w:tcBorders>
              <w:top w:val="nil"/>
              <w:left w:val="nil"/>
              <w:bottom w:val="single" w:sz="4" w:space="0" w:color="auto"/>
              <w:right w:val="single" w:sz="8" w:space="0" w:color="auto"/>
            </w:tcBorders>
            <w:shd w:val="clear" w:color="auto" w:fill="auto"/>
            <w:hideMark/>
          </w:tcPr>
          <w:p w14:paraId="533807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nil"/>
              <w:right w:val="single" w:sz="4" w:space="0" w:color="auto"/>
            </w:tcBorders>
            <w:shd w:val="clear" w:color="auto" w:fill="auto"/>
            <w:hideMark/>
          </w:tcPr>
          <w:p w14:paraId="2780C5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14156</w:t>
            </w:r>
          </w:p>
        </w:tc>
        <w:tc>
          <w:tcPr>
            <w:tcW w:w="372" w:type="dxa"/>
            <w:tcBorders>
              <w:top w:val="single" w:sz="4" w:space="0" w:color="auto"/>
              <w:left w:val="nil"/>
              <w:bottom w:val="nil"/>
              <w:right w:val="single" w:sz="4" w:space="0" w:color="auto"/>
            </w:tcBorders>
            <w:shd w:val="clear" w:color="auto" w:fill="auto"/>
            <w:hideMark/>
          </w:tcPr>
          <w:p w14:paraId="122E12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0C91AFE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14156</w:t>
            </w:r>
          </w:p>
        </w:tc>
        <w:tc>
          <w:tcPr>
            <w:tcW w:w="618" w:type="dxa"/>
            <w:tcBorders>
              <w:top w:val="nil"/>
              <w:left w:val="nil"/>
              <w:bottom w:val="single" w:sz="4" w:space="0" w:color="auto"/>
              <w:right w:val="single" w:sz="4" w:space="0" w:color="auto"/>
            </w:tcBorders>
            <w:shd w:val="clear" w:color="auto" w:fill="auto"/>
            <w:hideMark/>
          </w:tcPr>
          <w:p w14:paraId="4C1629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944F1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14156</w:t>
            </w:r>
          </w:p>
        </w:tc>
        <w:tc>
          <w:tcPr>
            <w:tcW w:w="605" w:type="dxa"/>
            <w:tcBorders>
              <w:top w:val="nil"/>
              <w:left w:val="nil"/>
              <w:bottom w:val="single" w:sz="4" w:space="0" w:color="auto"/>
              <w:right w:val="single" w:sz="8" w:space="0" w:color="auto"/>
            </w:tcBorders>
            <w:shd w:val="clear" w:color="auto" w:fill="auto"/>
            <w:hideMark/>
          </w:tcPr>
          <w:p w14:paraId="34DE3A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C6DC4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nil"/>
              <w:right w:val="single" w:sz="4" w:space="0" w:color="auto"/>
            </w:tcBorders>
            <w:shd w:val="clear" w:color="auto" w:fill="auto"/>
            <w:hideMark/>
          </w:tcPr>
          <w:p w14:paraId="2A20E9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114400</w:t>
            </w:r>
          </w:p>
        </w:tc>
        <w:tc>
          <w:tcPr>
            <w:tcW w:w="324" w:type="dxa"/>
            <w:tcBorders>
              <w:top w:val="nil"/>
              <w:left w:val="nil"/>
              <w:bottom w:val="single" w:sz="4" w:space="0" w:color="auto"/>
              <w:right w:val="single" w:sz="4" w:space="0" w:color="auto"/>
            </w:tcBorders>
            <w:shd w:val="clear" w:color="auto" w:fill="auto"/>
            <w:hideMark/>
          </w:tcPr>
          <w:p w14:paraId="4BB3CD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114400</w:t>
            </w:r>
          </w:p>
        </w:tc>
        <w:tc>
          <w:tcPr>
            <w:tcW w:w="382" w:type="dxa"/>
            <w:tcBorders>
              <w:top w:val="nil"/>
              <w:left w:val="nil"/>
              <w:bottom w:val="single" w:sz="4" w:space="0" w:color="auto"/>
              <w:right w:val="single" w:sz="4" w:space="0" w:color="auto"/>
            </w:tcBorders>
            <w:shd w:val="clear" w:color="auto" w:fill="auto"/>
            <w:hideMark/>
          </w:tcPr>
          <w:p w14:paraId="4BD234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A3B8C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114400</w:t>
            </w:r>
          </w:p>
        </w:tc>
        <w:tc>
          <w:tcPr>
            <w:tcW w:w="369" w:type="dxa"/>
            <w:tcBorders>
              <w:top w:val="nil"/>
              <w:left w:val="nil"/>
              <w:bottom w:val="single" w:sz="4" w:space="0" w:color="auto"/>
              <w:right w:val="nil"/>
            </w:tcBorders>
            <w:shd w:val="clear" w:color="auto" w:fill="auto"/>
            <w:hideMark/>
          </w:tcPr>
          <w:p w14:paraId="3992275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36FC0C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E83BF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266933</w:t>
            </w:r>
          </w:p>
        </w:tc>
        <w:tc>
          <w:tcPr>
            <w:tcW w:w="324" w:type="dxa"/>
            <w:tcBorders>
              <w:top w:val="nil"/>
              <w:left w:val="nil"/>
              <w:bottom w:val="single" w:sz="4" w:space="0" w:color="auto"/>
              <w:right w:val="single" w:sz="4" w:space="0" w:color="auto"/>
            </w:tcBorders>
            <w:shd w:val="clear" w:color="auto" w:fill="auto"/>
            <w:hideMark/>
          </w:tcPr>
          <w:p w14:paraId="1F66F4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266933</w:t>
            </w:r>
          </w:p>
        </w:tc>
        <w:tc>
          <w:tcPr>
            <w:tcW w:w="382" w:type="dxa"/>
            <w:tcBorders>
              <w:top w:val="nil"/>
              <w:left w:val="nil"/>
              <w:bottom w:val="single" w:sz="4" w:space="0" w:color="auto"/>
              <w:right w:val="single" w:sz="4" w:space="0" w:color="auto"/>
            </w:tcBorders>
            <w:shd w:val="clear" w:color="auto" w:fill="auto"/>
            <w:hideMark/>
          </w:tcPr>
          <w:p w14:paraId="4BC9AF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35C55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266933</w:t>
            </w:r>
          </w:p>
        </w:tc>
        <w:tc>
          <w:tcPr>
            <w:tcW w:w="369" w:type="dxa"/>
            <w:tcBorders>
              <w:top w:val="nil"/>
              <w:left w:val="nil"/>
              <w:bottom w:val="single" w:sz="4" w:space="0" w:color="auto"/>
              <w:right w:val="single" w:sz="8" w:space="0" w:color="auto"/>
            </w:tcBorders>
            <w:shd w:val="clear" w:color="auto" w:fill="auto"/>
            <w:hideMark/>
          </w:tcPr>
          <w:p w14:paraId="5849B6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1EEADE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Përgatitja dhe zbatimi i përmirësimeve të sigurisë rrugore të bazuara në korridore dhe i RISM të BE-së (Menaxhimi i Sigurisë së Infrastrukturës Rrugore të BE-së)</w:t>
            </w:r>
          </w:p>
        </w:tc>
        <w:tc>
          <w:tcPr>
            <w:tcW w:w="442" w:type="dxa"/>
            <w:tcBorders>
              <w:top w:val="nil"/>
              <w:left w:val="nil"/>
              <w:bottom w:val="single" w:sz="4" w:space="0" w:color="auto"/>
              <w:right w:val="single" w:sz="4" w:space="0" w:color="auto"/>
            </w:tcBorders>
            <w:shd w:val="clear" w:color="000000" w:fill="FFFFFF"/>
            <w:hideMark/>
          </w:tcPr>
          <w:p w14:paraId="335A85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ARSH-së, </w:t>
            </w:r>
          </w:p>
        </w:tc>
        <w:tc>
          <w:tcPr>
            <w:tcW w:w="287" w:type="dxa"/>
            <w:tcBorders>
              <w:top w:val="nil"/>
              <w:left w:val="nil"/>
              <w:bottom w:val="single" w:sz="4" w:space="0" w:color="auto"/>
              <w:right w:val="single" w:sz="8" w:space="0" w:color="auto"/>
            </w:tcBorders>
            <w:shd w:val="clear" w:color="000000" w:fill="FFFFFF"/>
            <w:hideMark/>
          </w:tcPr>
          <w:p w14:paraId="32CC8D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C5C4008"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BBB3612"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7AAAA8A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0014A201" w14:textId="6B19151D"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Përdori</w:t>
            </w:r>
            <w:r w:rsidR="001F3BCF">
              <w:rPr>
                <w:rFonts w:ascii="Garamond" w:hAnsi="Garamond" w:cs="Arial"/>
                <w:color w:val="000000"/>
                <w:sz w:val="6"/>
                <w:szCs w:val="12"/>
                <w:lang w:eastAsia="en-US"/>
              </w:rPr>
              <w:t>mi i indikatorit/indikatorëve të</w:t>
            </w:r>
            <w:r w:rsidRPr="00B907A3">
              <w:rPr>
                <w:rFonts w:ascii="Garamond" w:hAnsi="Garamond" w:cs="Arial"/>
                <w:color w:val="000000"/>
                <w:sz w:val="6"/>
                <w:szCs w:val="12"/>
                <w:lang w:eastAsia="en-US"/>
              </w:rPr>
              <w:t xml:space="preserve"> sigurisë infrastrukturës rrugore</w:t>
            </w:r>
          </w:p>
        </w:tc>
        <w:tc>
          <w:tcPr>
            <w:tcW w:w="470" w:type="dxa"/>
            <w:tcBorders>
              <w:top w:val="nil"/>
              <w:left w:val="nil"/>
              <w:bottom w:val="single" w:sz="4" w:space="0" w:color="auto"/>
              <w:right w:val="single" w:sz="4" w:space="0" w:color="auto"/>
            </w:tcBorders>
            <w:shd w:val="clear" w:color="auto" w:fill="auto"/>
            <w:hideMark/>
          </w:tcPr>
          <w:p w14:paraId="3297AEBF" w14:textId="73272F9E"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001799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246B68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noWrap/>
            <w:hideMark/>
          </w:tcPr>
          <w:p w14:paraId="479E91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single" w:sz="4" w:space="0" w:color="auto"/>
              <w:left w:val="nil"/>
              <w:bottom w:val="single" w:sz="4" w:space="0" w:color="auto"/>
              <w:right w:val="single" w:sz="4" w:space="0" w:color="auto"/>
            </w:tcBorders>
            <w:shd w:val="clear" w:color="auto" w:fill="auto"/>
            <w:hideMark/>
          </w:tcPr>
          <w:p w14:paraId="293FC2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single" w:sz="4" w:space="0" w:color="auto"/>
              <w:left w:val="nil"/>
              <w:bottom w:val="single" w:sz="4" w:space="0" w:color="auto"/>
              <w:right w:val="single" w:sz="4" w:space="0" w:color="auto"/>
            </w:tcBorders>
            <w:shd w:val="clear" w:color="auto" w:fill="auto"/>
            <w:hideMark/>
          </w:tcPr>
          <w:p w14:paraId="0E23BE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0C5AA300" w14:textId="00882E54"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p>
        </w:tc>
        <w:tc>
          <w:tcPr>
            <w:tcW w:w="236" w:type="dxa"/>
            <w:tcBorders>
              <w:top w:val="nil"/>
              <w:left w:val="nil"/>
              <w:bottom w:val="single" w:sz="4" w:space="0" w:color="auto"/>
              <w:right w:val="nil"/>
            </w:tcBorders>
            <w:shd w:val="clear" w:color="000000" w:fill="EE0000"/>
            <w:hideMark/>
          </w:tcPr>
          <w:p w14:paraId="0C2BEE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0C5BF5A9" w14:textId="53B060D1"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2.1.6</w:t>
            </w:r>
            <w:r w:rsidRPr="00B907A3">
              <w:rPr>
                <w:rFonts w:ascii="Garamond" w:hAnsi="Garamond" w:cs="Arial"/>
                <w:b/>
                <w:bCs/>
                <w:color w:val="000000"/>
                <w:sz w:val="6"/>
                <w:szCs w:val="12"/>
                <w:lang w:eastAsia="en-US"/>
              </w:rPr>
              <w:br/>
              <w:t>Monitorimi performancës së sigurisë rrugore (të paktën</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 xml:space="preserve">një TKP) </w:t>
            </w:r>
          </w:p>
        </w:tc>
        <w:tc>
          <w:tcPr>
            <w:tcW w:w="520" w:type="dxa"/>
            <w:tcBorders>
              <w:top w:val="nil"/>
              <w:left w:val="nil"/>
              <w:bottom w:val="single" w:sz="4" w:space="0" w:color="auto"/>
              <w:right w:val="single" w:sz="4" w:space="0" w:color="auto"/>
            </w:tcBorders>
            <w:shd w:val="clear" w:color="auto" w:fill="auto"/>
            <w:hideMark/>
          </w:tcPr>
          <w:p w14:paraId="3EEBFD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single" w:sz="4" w:space="0" w:color="auto"/>
              <w:left w:val="nil"/>
              <w:bottom w:val="single" w:sz="4" w:space="0" w:color="auto"/>
              <w:right w:val="single" w:sz="4" w:space="0" w:color="auto"/>
            </w:tcBorders>
            <w:shd w:val="clear" w:color="auto" w:fill="auto"/>
            <w:hideMark/>
          </w:tcPr>
          <w:p w14:paraId="7E6179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367" w:type="dxa"/>
            <w:tcBorders>
              <w:top w:val="nil"/>
              <w:left w:val="nil"/>
              <w:bottom w:val="single" w:sz="4" w:space="0" w:color="auto"/>
              <w:right w:val="single" w:sz="8" w:space="0" w:color="auto"/>
            </w:tcBorders>
            <w:shd w:val="clear" w:color="auto" w:fill="auto"/>
            <w:hideMark/>
          </w:tcPr>
          <w:p w14:paraId="7C8F0B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nil"/>
              <w:right w:val="single" w:sz="4" w:space="0" w:color="auto"/>
            </w:tcBorders>
            <w:shd w:val="clear" w:color="auto" w:fill="auto"/>
            <w:hideMark/>
          </w:tcPr>
          <w:p w14:paraId="16B46E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nil"/>
              <w:right w:val="single" w:sz="4" w:space="0" w:color="auto"/>
            </w:tcBorders>
            <w:shd w:val="clear" w:color="auto" w:fill="auto"/>
            <w:hideMark/>
          </w:tcPr>
          <w:p w14:paraId="22FAD5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0BE908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05F891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BE4B5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01D25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93638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single" w:sz="4" w:space="0" w:color="auto"/>
              <w:right w:val="single" w:sz="4" w:space="0" w:color="auto"/>
            </w:tcBorders>
            <w:shd w:val="clear" w:color="auto" w:fill="auto"/>
            <w:hideMark/>
          </w:tcPr>
          <w:p w14:paraId="301FEC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53C4453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2BA0C3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16F27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304824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5AA9C9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3EA803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auto" w:fill="auto"/>
            <w:hideMark/>
          </w:tcPr>
          <w:p w14:paraId="4EA09D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auto" w:fill="auto"/>
            <w:hideMark/>
          </w:tcPr>
          <w:p w14:paraId="02CAA3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2DF7F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431DAD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4A23A0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Indikator/ë i miratuar dhe i matshëm</w:t>
            </w:r>
          </w:p>
        </w:tc>
        <w:tc>
          <w:tcPr>
            <w:tcW w:w="442" w:type="dxa"/>
            <w:tcBorders>
              <w:top w:val="nil"/>
              <w:left w:val="nil"/>
              <w:bottom w:val="single" w:sz="4" w:space="0" w:color="auto"/>
              <w:right w:val="single" w:sz="4" w:space="0" w:color="auto"/>
            </w:tcBorders>
            <w:shd w:val="clear" w:color="000000" w:fill="FFFFFF"/>
            <w:hideMark/>
          </w:tcPr>
          <w:p w14:paraId="3E9968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ARRSH-së</w:t>
            </w:r>
          </w:p>
        </w:tc>
        <w:tc>
          <w:tcPr>
            <w:tcW w:w="287" w:type="dxa"/>
            <w:tcBorders>
              <w:top w:val="nil"/>
              <w:left w:val="nil"/>
              <w:bottom w:val="single" w:sz="4" w:space="0" w:color="auto"/>
              <w:right w:val="single" w:sz="8" w:space="0" w:color="auto"/>
            </w:tcBorders>
            <w:shd w:val="clear" w:color="000000" w:fill="FFFFFF"/>
            <w:hideMark/>
          </w:tcPr>
          <w:p w14:paraId="1E5B17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78F3399"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4647CA8"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181620F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23FA6D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593C51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7A1B5D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06EFEE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D997E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49D48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60E4E3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4809791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2E77D1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45AD33C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2.1.7</w:t>
            </w:r>
            <w:r w:rsidRPr="00B907A3">
              <w:rPr>
                <w:rFonts w:ascii="Garamond" w:hAnsi="Garamond" w:cs="Arial"/>
                <w:b/>
                <w:bCs/>
                <w:color w:val="000000"/>
                <w:sz w:val="6"/>
                <w:szCs w:val="12"/>
                <w:lang w:eastAsia="en-US"/>
              </w:rPr>
              <w:br/>
              <w:t>Caktimi dhe rregullimi i vendeve për kontrollin e mjeteve të rënda dhe të-peshave (kontrolli i shpejtësisë dhe peshës) në rrjetin rrugor kombëtar (p.sh., në rreth 4 vende).</w:t>
            </w:r>
          </w:p>
        </w:tc>
        <w:tc>
          <w:tcPr>
            <w:tcW w:w="520" w:type="dxa"/>
            <w:tcBorders>
              <w:top w:val="nil"/>
              <w:left w:val="nil"/>
              <w:bottom w:val="single" w:sz="4" w:space="0" w:color="auto"/>
              <w:right w:val="single" w:sz="4" w:space="0" w:color="auto"/>
            </w:tcBorders>
            <w:shd w:val="clear" w:color="auto" w:fill="auto"/>
            <w:hideMark/>
          </w:tcPr>
          <w:p w14:paraId="20A750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nil"/>
              <w:left w:val="nil"/>
              <w:bottom w:val="nil"/>
              <w:right w:val="single" w:sz="4" w:space="0" w:color="auto"/>
            </w:tcBorders>
            <w:shd w:val="clear" w:color="auto" w:fill="auto"/>
            <w:hideMark/>
          </w:tcPr>
          <w:p w14:paraId="4DC9F81B" w14:textId="58A7E11E" w:rsidR="00962754" w:rsidRPr="00B907A3" w:rsidRDefault="00DB76F6"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MPB/PRr,</w:t>
            </w:r>
            <w:r>
              <w:rPr>
                <w:rFonts w:ascii="Garamond" w:hAnsi="Garamond" w:cs="Arial"/>
                <w:color w:val="000000"/>
                <w:sz w:val="6"/>
                <w:szCs w:val="12"/>
                <w:lang w:eastAsia="en-US"/>
              </w:rPr>
              <w:br/>
              <w:t>Task--</w:t>
            </w:r>
            <w:r w:rsidR="00962754" w:rsidRPr="00B907A3">
              <w:rPr>
                <w:rFonts w:ascii="Garamond" w:hAnsi="Garamond" w:cs="Arial"/>
                <w:color w:val="000000"/>
                <w:sz w:val="6"/>
                <w:szCs w:val="12"/>
                <w:lang w:eastAsia="en-US"/>
              </w:rPr>
              <w:t>Forca</w:t>
            </w:r>
          </w:p>
        </w:tc>
        <w:tc>
          <w:tcPr>
            <w:tcW w:w="367" w:type="dxa"/>
            <w:tcBorders>
              <w:top w:val="nil"/>
              <w:left w:val="nil"/>
              <w:bottom w:val="single" w:sz="4" w:space="0" w:color="auto"/>
              <w:right w:val="single" w:sz="8" w:space="0" w:color="auto"/>
            </w:tcBorders>
            <w:shd w:val="clear" w:color="auto" w:fill="auto"/>
            <w:hideMark/>
          </w:tcPr>
          <w:p w14:paraId="583FF7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single" w:sz="4" w:space="0" w:color="auto"/>
              <w:right w:val="single" w:sz="4" w:space="0" w:color="auto"/>
            </w:tcBorders>
            <w:shd w:val="clear" w:color="auto" w:fill="auto"/>
            <w:hideMark/>
          </w:tcPr>
          <w:p w14:paraId="28FB66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7500</w:t>
            </w:r>
          </w:p>
        </w:tc>
        <w:tc>
          <w:tcPr>
            <w:tcW w:w="372" w:type="dxa"/>
            <w:tcBorders>
              <w:top w:val="single" w:sz="4" w:space="0" w:color="auto"/>
              <w:left w:val="nil"/>
              <w:bottom w:val="single" w:sz="4" w:space="0" w:color="auto"/>
              <w:right w:val="single" w:sz="4" w:space="0" w:color="auto"/>
            </w:tcBorders>
            <w:shd w:val="clear" w:color="auto" w:fill="auto"/>
            <w:hideMark/>
          </w:tcPr>
          <w:p w14:paraId="4F88AF9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49C5EE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7500</w:t>
            </w:r>
          </w:p>
        </w:tc>
        <w:tc>
          <w:tcPr>
            <w:tcW w:w="618" w:type="dxa"/>
            <w:tcBorders>
              <w:top w:val="nil"/>
              <w:left w:val="nil"/>
              <w:bottom w:val="single" w:sz="4" w:space="0" w:color="auto"/>
              <w:right w:val="single" w:sz="4" w:space="0" w:color="auto"/>
            </w:tcBorders>
            <w:shd w:val="clear" w:color="auto" w:fill="auto"/>
            <w:hideMark/>
          </w:tcPr>
          <w:p w14:paraId="4957D3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7500</w:t>
            </w:r>
          </w:p>
        </w:tc>
        <w:tc>
          <w:tcPr>
            <w:tcW w:w="618" w:type="dxa"/>
            <w:tcBorders>
              <w:top w:val="nil"/>
              <w:left w:val="nil"/>
              <w:bottom w:val="single" w:sz="4" w:space="0" w:color="auto"/>
              <w:right w:val="single" w:sz="4" w:space="0" w:color="auto"/>
            </w:tcBorders>
            <w:shd w:val="clear" w:color="auto" w:fill="auto"/>
            <w:hideMark/>
          </w:tcPr>
          <w:p w14:paraId="495935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E6F20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8321E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7500</w:t>
            </w:r>
          </w:p>
        </w:tc>
        <w:tc>
          <w:tcPr>
            <w:tcW w:w="372" w:type="dxa"/>
            <w:tcBorders>
              <w:top w:val="nil"/>
              <w:left w:val="nil"/>
              <w:bottom w:val="single" w:sz="4" w:space="0" w:color="auto"/>
              <w:right w:val="single" w:sz="4" w:space="0" w:color="auto"/>
            </w:tcBorders>
            <w:shd w:val="clear" w:color="auto" w:fill="auto"/>
            <w:hideMark/>
          </w:tcPr>
          <w:p w14:paraId="05CE27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50C8CD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7500</w:t>
            </w:r>
          </w:p>
        </w:tc>
        <w:tc>
          <w:tcPr>
            <w:tcW w:w="382" w:type="dxa"/>
            <w:tcBorders>
              <w:top w:val="nil"/>
              <w:left w:val="nil"/>
              <w:bottom w:val="single" w:sz="4" w:space="0" w:color="auto"/>
              <w:right w:val="single" w:sz="4" w:space="0" w:color="auto"/>
            </w:tcBorders>
            <w:shd w:val="clear" w:color="auto" w:fill="auto"/>
            <w:hideMark/>
          </w:tcPr>
          <w:p w14:paraId="4283D32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7500</w:t>
            </w:r>
          </w:p>
        </w:tc>
        <w:tc>
          <w:tcPr>
            <w:tcW w:w="382" w:type="dxa"/>
            <w:tcBorders>
              <w:top w:val="nil"/>
              <w:left w:val="nil"/>
              <w:bottom w:val="single" w:sz="4" w:space="0" w:color="auto"/>
              <w:right w:val="single" w:sz="4" w:space="0" w:color="auto"/>
            </w:tcBorders>
            <w:shd w:val="clear" w:color="auto" w:fill="auto"/>
            <w:hideMark/>
          </w:tcPr>
          <w:p w14:paraId="56493D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auto" w:fill="auto"/>
            <w:hideMark/>
          </w:tcPr>
          <w:p w14:paraId="52C7C9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auto" w:fill="auto"/>
            <w:hideMark/>
          </w:tcPr>
          <w:p w14:paraId="557A16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72" w:type="dxa"/>
            <w:tcBorders>
              <w:top w:val="nil"/>
              <w:left w:val="nil"/>
              <w:bottom w:val="single" w:sz="4" w:space="0" w:color="auto"/>
              <w:right w:val="single" w:sz="4" w:space="0" w:color="auto"/>
            </w:tcBorders>
            <w:shd w:val="clear" w:color="auto" w:fill="auto"/>
            <w:hideMark/>
          </w:tcPr>
          <w:p w14:paraId="47ADC2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7019DB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82" w:type="dxa"/>
            <w:tcBorders>
              <w:top w:val="nil"/>
              <w:left w:val="nil"/>
              <w:bottom w:val="single" w:sz="4" w:space="0" w:color="auto"/>
              <w:right w:val="single" w:sz="4" w:space="0" w:color="auto"/>
            </w:tcBorders>
            <w:shd w:val="clear" w:color="auto" w:fill="auto"/>
            <w:hideMark/>
          </w:tcPr>
          <w:p w14:paraId="2B02B198"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5000</w:t>
            </w:r>
          </w:p>
        </w:tc>
        <w:tc>
          <w:tcPr>
            <w:tcW w:w="382" w:type="dxa"/>
            <w:tcBorders>
              <w:top w:val="nil"/>
              <w:left w:val="nil"/>
              <w:bottom w:val="single" w:sz="4" w:space="0" w:color="auto"/>
              <w:right w:val="single" w:sz="4" w:space="0" w:color="auto"/>
            </w:tcBorders>
            <w:shd w:val="clear" w:color="auto" w:fill="auto"/>
            <w:hideMark/>
          </w:tcPr>
          <w:p w14:paraId="2163F0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auto" w:fill="auto"/>
            <w:hideMark/>
          </w:tcPr>
          <w:p w14:paraId="120C82F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0509C6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 vende të sigurta për kontrollin e mjeteve të rënda (kontrolli i peshës dhe shpejtësisë) të ndërtuara.</w:t>
            </w:r>
          </w:p>
        </w:tc>
        <w:tc>
          <w:tcPr>
            <w:tcW w:w="442" w:type="dxa"/>
            <w:tcBorders>
              <w:top w:val="nil"/>
              <w:left w:val="nil"/>
              <w:bottom w:val="single" w:sz="4" w:space="0" w:color="auto"/>
              <w:right w:val="single" w:sz="4" w:space="0" w:color="auto"/>
            </w:tcBorders>
            <w:shd w:val="clear" w:color="000000" w:fill="FFFFFF"/>
            <w:hideMark/>
          </w:tcPr>
          <w:p w14:paraId="6303A0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ARRSH-së</w:t>
            </w:r>
          </w:p>
        </w:tc>
        <w:tc>
          <w:tcPr>
            <w:tcW w:w="287" w:type="dxa"/>
            <w:tcBorders>
              <w:top w:val="nil"/>
              <w:left w:val="nil"/>
              <w:bottom w:val="single" w:sz="4" w:space="0" w:color="auto"/>
              <w:right w:val="single" w:sz="8" w:space="0" w:color="auto"/>
            </w:tcBorders>
            <w:shd w:val="clear" w:color="000000" w:fill="FFFFFF"/>
            <w:hideMark/>
          </w:tcPr>
          <w:p w14:paraId="1D2C9D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53ACB9E6"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89DAC83"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3E0EF32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5E93DD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69A109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61EB4C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AD692A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4C5A4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D328E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3798D0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7C7916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4C5516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DEEAF6"/>
            <w:hideMark/>
          </w:tcPr>
          <w:p w14:paraId="774BA3C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2BD6ED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auto" w:fill="auto"/>
            <w:hideMark/>
          </w:tcPr>
          <w:p w14:paraId="6F586F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2EC293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9A35A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AD65E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5CF0FE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46111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3AE480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6B27FB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7EB3B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647224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1FB8C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A5B7A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279747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18762C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089470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41BD07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0BD82C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F3D85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63B60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EE0BD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ECCC5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hideMark/>
          </w:tcPr>
          <w:p w14:paraId="40B1E1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hideMark/>
          </w:tcPr>
          <w:p w14:paraId="031DB1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53DA2DD"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CA065D5" w14:textId="77777777" w:rsidTr="00962754">
        <w:trPr>
          <w:trHeight w:val="20"/>
        </w:trPr>
        <w:tc>
          <w:tcPr>
            <w:tcW w:w="718" w:type="dxa"/>
            <w:tcBorders>
              <w:top w:val="nil"/>
              <w:left w:val="single" w:sz="8" w:space="0" w:color="auto"/>
              <w:bottom w:val="nil"/>
              <w:right w:val="single" w:sz="4" w:space="0" w:color="auto"/>
            </w:tcBorders>
            <w:shd w:val="clear" w:color="000000" w:fill="DEEAF6"/>
            <w:hideMark/>
          </w:tcPr>
          <w:p w14:paraId="63EFFF3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2.2</w:t>
            </w:r>
            <w:r w:rsidRPr="00B907A3">
              <w:rPr>
                <w:rFonts w:ascii="Garamond" w:hAnsi="Garamond" w:cs="Arial"/>
                <w:b/>
                <w:bCs/>
                <w:color w:val="000000"/>
                <w:sz w:val="6"/>
                <w:szCs w:val="12"/>
                <w:lang w:eastAsia="en-US"/>
              </w:rPr>
              <w:br/>
              <w:t>Përmirësimi i sigurisë në rrugët kombëtare në vendet me rrezik të shtuar për PDRr</w:t>
            </w:r>
          </w:p>
        </w:tc>
        <w:tc>
          <w:tcPr>
            <w:tcW w:w="571" w:type="dxa"/>
            <w:tcBorders>
              <w:top w:val="nil"/>
              <w:left w:val="nil"/>
              <w:bottom w:val="single" w:sz="4" w:space="0" w:color="auto"/>
              <w:right w:val="single" w:sz="4" w:space="0" w:color="auto"/>
            </w:tcBorders>
            <w:shd w:val="clear" w:color="auto" w:fill="auto"/>
            <w:hideMark/>
          </w:tcPr>
          <w:p w14:paraId="091EFB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04970C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31D595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69E20F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2087FC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BDFA20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6D58AB6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7DB58B9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38B886E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DEEAF6"/>
            <w:hideMark/>
          </w:tcPr>
          <w:p w14:paraId="1A1C398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2.2.1</w:t>
            </w:r>
            <w:r w:rsidRPr="00B907A3">
              <w:rPr>
                <w:rFonts w:ascii="Garamond" w:hAnsi="Garamond" w:cs="Arial"/>
                <w:b/>
                <w:bCs/>
                <w:color w:val="000000"/>
                <w:sz w:val="6"/>
                <w:szCs w:val="12"/>
                <w:lang w:eastAsia="en-US"/>
              </w:rPr>
              <w:br/>
              <w:t>Bazuar në hartëzimin e rrezikut (analizën), identifikimi dhe përzgjedhja e vendeve me rrezik të lartë për PDRr përgjatë rrjetit rrugor kombëtar të shpërndara sipas drejtorive rajonale të ARRSH-së</w:t>
            </w:r>
          </w:p>
        </w:tc>
        <w:tc>
          <w:tcPr>
            <w:tcW w:w="520" w:type="dxa"/>
            <w:tcBorders>
              <w:top w:val="nil"/>
              <w:left w:val="nil"/>
              <w:bottom w:val="single" w:sz="4" w:space="0" w:color="auto"/>
              <w:right w:val="single" w:sz="4" w:space="0" w:color="auto"/>
            </w:tcBorders>
            <w:shd w:val="clear" w:color="auto" w:fill="auto"/>
            <w:hideMark/>
          </w:tcPr>
          <w:p w14:paraId="47D8330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512" w:type="dxa"/>
            <w:tcBorders>
              <w:top w:val="nil"/>
              <w:left w:val="nil"/>
              <w:bottom w:val="single" w:sz="4" w:space="0" w:color="auto"/>
              <w:right w:val="single" w:sz="4" w:space="0" w:color="auto"/>
            </w:tcBorders>
            <w:shd w:val="clear" w:color="auto" w:fill="auto"/>
            <w:hideMark/>
          </w:tcPr>
          <w:p w14:paraId="4C299F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367" w:type="dxa"/>
            <w:tcBorders>
              <w:top w:val="nil"/>
              <w:left w:val="nil"/>
              <w:bottom w:val="single" w:sz="4" w:space="0" w:color="auto"/>
              <w:right w:val="single" w:sz="8" w:space="0" w:color="auto"/>
            </w:tcBorders>
            <w:shd w:val="clear" w:color="auto" w:fill="auto"/>
            <w:hideMark/>
          </w:tcPr>
          <w:p w14:paraId="73D23DE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4" w:space="0" w:color="auto"/>
              <w:right w:val="single" w:sz="4" w:space="0" w:color="auto"/>
            </w:tcBorders>
            <w:shd w:val="clear" w:color="auto" w:fill="auto"/>
            <w:hideMark/>
          </w:tcPr>
          <w:p w14:paraId="639E49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4A7660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3A7360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756E1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5B257E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4869A9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88FF9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6742A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187BC1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F46A7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4A126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655704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56633A2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37BBB5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73491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6B7E5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7F8FD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62447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8D49FF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12 vende me rrezik të lartë për PDRr të identifikuara </w:t>
            </w:r>
          </w:p>
        </w:tc>
        <w:tc>
          <w:tcPr>
            <w:tcW w:w="442" w:type="dxa"/>
            <w:tcBorders>
              <w:top w:val="nil"/>
              <w:left w:val="nil"/>
              <w:bottom w:val="single" w:sz="4" w:space="0" w:color="auto"/>
              <w:right w:val="single" w:sz="4" w:space="0" w:color="auto"/>
            </w:tcBorders>
            <w:shd w:val="clear" w:color="000000" w:fill="FFFFFF"/>
            <w:hideMark/>
          </w:tcPr>
          <w:p w14:paraId="400AE8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IT-së</w:t>
            </w:r>
          </w:p>
        </w:tc>
        <w:tc>
          <w:tcPr>
            <w:tcW w:w="287" w:type="dxa"/>
            <w:tcBorders>
              <w:top w:val="nil"/>
              <w:left w:val="nil"/>
              <w:bottom w:val="single" w:sz="4" w:space="0" w:color="auto"/>
              <w:right w:val="single" w:sz="8" w:space="0" w:color="auto"/>
            </w:tcBorders>
            <w:shd w:val="clear" w:color="000000" w:fill="FFFFFF"/>
            <w:hideMark/>
          </w:tcPr>
          <w:p w14:paraId="7D849C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37F7B0C"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D3A6E02"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DEEAF6"/>
            <w:hideMark/>
          </w:tcPr>
          <w:p w14:paraId="206F7A7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6FBAEC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71154A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58DC26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0BA0E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CC220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E58E6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439BA78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4577E5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23A498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7C74DB2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2.2.2</w:t>
            </w:r>
            <w:r w:rsidRPr="00B907A3">
              <w:rPr>
                <w:rFonts w:ascii="Garamond" w:hAnsi="Garamond" w:cs="Arial"/>
                <w:b/>
                <w:bCs/>
                <w:color w:val="000000"/>
                <w:sz w:val="6"/>
                <w:szCs w:val="12"/>
                <w:lang w:eastAsia="en-US"/>
              </w:rPr>
              <w:br/>
              <w:t>Përgatitja e projekteve për përmirësimin të zonave të përzgjedhura me rrezik të lartë për PDRr</w:t>
            </w:r>
          </w:p>
        </w:tc>
        <w:tc>
          <w:tcPr>
            <w:tcW w:w="520" w:type="dxa"/>
            <w:tcBorders>
              <w:top w:val="nil"/>
              <w:left w:val="nil"/>
              <w:bottom w:val="single" w:sz="4" w:space="0" w:color="auto"/>
              <w:right w:val="single" w:sz="4" w:space="0" w:color="auto"/>
            </w:tcBorders>
            <w:shd w:val="clear" w:color="auto" w:fill="auto"/>
            <w:hideMark/>
          </w:tcPr>
          <w:p w14:paraId="2A0865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nil"/>
              <w:left w:val="nil"/>
              <w:bottom w:val="nil"/>
              <w:right w:val="single" w:sz="4" w:space="0" w:color="auto"/>
            </w:tcBorders>
            <w:shd w:val="clear" w:color="auto" w:fill="auto"/>
            <w:hideMark/>
          </w:tcPr>
          <w:p w14:paraId="1F195D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r w:rsidRPr="00B907A3">
              <w:rPr>
                <w:rFonts w:ascii="Garamond" w:hAnsi="Garamond" w:cs="Arial"/>
                <w:color w:val="000000"/>
                <w:sz w:val="6"/>
                <w:szCs w:val="12"/>
                <w:lang w:eastAsia="en-US"/>
              </w:rPr>
              <w:br/>
              <w:t>PRr,</w:t>
            </w:r>
            <w:r w:rsidRPr="00B907A3">
              <w:rPr>
                <w:rFonts w:ascii="Garamond" w:hAnsi="Garamond" w:cs="Arial"/>
                <w:color w:val="000000"/>
                <w:sz w:val="6"/>
                <w:szCs w:val="12"/>
                <w:lang w:eastAsia="en-US"/>
              </w:rPr>
              <w:br/>
              <w:t>Projektues</w:t>
            </w:r>
          </w:p>
        </w:tc>
        <w:tc>
          <w:tcPr>
            <w:tcW w:w="367" w:type="dxa"/>
            <w:tcBorders>
              <w:top w:val="nil"/>
              <w:left w:val="nil"/>
              <w:bottom w:val="single" w:sz="4" w:space="0" w:color="auto"/>
              <w:right w:val="single" w:sz="8" w:space="0" w:color="auto"/>
            </w:tcBorders>
            <w:shd w:val="clear" w:color="auto" w:fill="auto"/>
            <w:hideMark/>
          </w:tcPr>
          <w:p w14:paraId="2B1906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7A28C2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1200</w:t>
            </w:r>
          </w:p>
        </w:tc>
        <w:tc>
          <w:tcPr>
            <w:tcW w:w="372" w:type="dxa"/>
            <w:tcBorders>
              <w:top w:val="nil"/>
              <w:left w:val="nil"/>
              <w:bottom w:val="single" w:sz="4" w:space="0" w:color="auto"/>
              <w:right w:val="single" w:sz="4" w:space="0" w:color="auto"/>
            </w:tcBorders>
            <w:shd w:val="clear" w:color="auto" w:fill="auto"/>
            <w:hideMark/>
          </w:tcPr>
          <w:p w14:paraId="08ADD7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FFFFFF"/>
            <w:hideMark/>
          </w:tcPr>
          <w:p w14:paraId="103D51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1200</w:t>
            </w:r>
          </w:p>
        </w:tc>
        <w:tc>
          <w:tcPr>
            <w:tcW w:w="618" w:type="dxa"/>
            <w:tcBorders>
              <w:top w:val="nil"/>
              <w:left w:val="nil"/>
              <w:bottom w:val="single" w:sz="4" w:space="0" w:color="auto"/>
              <w:right w:val="single" w:sz="4" w:space="0" w:color="auto"/>
            </w:tcBorders>
            <w:shd w:val="clear" w:color="auto" w:fill="auto"/>
            <w:hideMark/>
          </w:tcPr>
          <w:p w14:paraId="1B7A0B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1200</w:t>
            </w:r>
          </w:p>
        </w:tc>
        <w:tc>
          <w:tcPr>
            <w:tcW w:w="618" w:type="dxa"/>
            <w:tcBorders>
              <w:top w:val="nil"/>
              <w:left w:val="nil"/>
              <w:bottom w:val="single" w:sz="4" w:space="0" w:color="auto"/>
              <w:right w:val="single" w:sz="4" w:space="0" w:color="auto"/>
            </w:tcBorders>
            <w:shd w:val="clear" w:color="auto" w:fill="auto"/>
            <w:hideMark/>
          </w:tcPr>
          <w:p w14:paraId="342108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2531B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95073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1200</w:t>
            </w:r>
          </w:p>
        </w:tc>
        <w:tc>
          <w:tcPr>
            <w:tcW w:w="372" w:type="dxa"/>
            <w:tcBorders>
              <w:top w:val="nil"/>
              <w:left w:val="nil"/>
              <w:bottom w:val="single" w:sz="4" w:space="0" w:color="auto"/>
              <w:right w:val="single" w:sz="4" w:space="0" w:color="auto"/>
            </w:tcBorders>
            <w:shd w:val="clear" w:color="auto" w:fill="auto"/>
            <w:hideMark/>
          </w:tcPr>
          <w:p w14:paraId="1E6516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272428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1200</w:t>
            </w:r>
          </w:p>
        </w:tc>
        <w:tc>
          <w:tcPr>
            <w:tcW w:w="382" w:type="dxa"/>
            <w:tcBorders>
              <w:top w:val="nil"/>
              <w:left w:val="nil"/>
              <w:bottom w:val="single" w:sz="4" w:space="0" w:color="auto"/>
              <w:right w:val="single" w:sz="4" w:space="0" w:color="auto"/>
            </w:tcBorders>
            <w:shd w:val="clear" w:color="000000" w:fill="FFFFFF"/>
            <w:hideMark/>
          </w:tcPr>
          <w:p w14:paraId="3126B9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1200</w:t>
            </w:r>
          </w:p>
        </w:tc>
        <w:tc>
          <w:tcPr>
            <w:tcW w:w="382" w:type="dxa"/>
            <w:tcBorders>
              <w:top w:val="nil"/>
              <w:left w:val="nil"/>
              <w:bottom w:val="single" w:sz="4" w:space="0" w:color="auto"/>
              <w:right w:val="single" w:sz="4" w:space="0" w:color="auto"/>
            </w:tcBorders>
            <w:shd w:val="clear" w:color="000000" w:fill="FFFFFF"/>
            <w:hideMark/>
          </w:tcPr>
          <w:p w14:paraId="35B539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0479A0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4907EC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50055F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79350A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2E2A9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C960A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32295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50DFD6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Projekt i përgatitur për përmirësimet e SRr në 12 vende me rrezik të lartë për PDR-të në rrugët kombëtare</w:t>
            </w:r>
          </w:p>
        </w:tc>
        <w:tc>
          <w:tcPr>
            <w:tcW w:w="442" w:type="dxa"/>
            <w:tcBorders>
              <w:top w:val="nil"/>
              <w:left w:val="nil"/>
              <w:bottom w:val="single" w:sz="4" w:space="0" w:color="auto"/>
              <w:right w:val="single" w:sz="4" w:space="0" w:color="auto"/>
            </w:tcBorders>
            <w:shd w:val="clear" w:color="000000" w:fill="FFFFFF"/>
            <w:hideMark/>
          </w:tcPr>
          <w:p w14:paraId="36289E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ARSH-së </w:t>
            </w:r>
          </w:p>
        </w:tc>
        <w:tc>
          <w:tcPr>
            <w:tcW w:w="287" w:type="dxa"/>
            <w:tcBorders>
              <w:top w:val="nil"/>
              <w:left w:val="nil"/>
              <w:bottom w:val="single" w:sz="4" w:space="0" w:color="auto"/>
              <w:right w:val="single" w:sz="8" w:space="0" w:color="auto"/>
            </w:tcBorders>
            <w:shd w:val="clear" w:color="000000" w:fill="FFFFFF"/>
            <w:hideMark/>
          </w:tcPr>
          <w:p w14:paraId="4F5244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218672A"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9B4C861"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659AFB9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05B2F1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 vende të rrezikshme të PRR-së në rrugët kombëtare të përmirësuara</w:t>
            </w:r>
          </w:p>
        </w:tc>
        <w:tc>
          <w:tcPr>
            <w:tcW w:w="470" w:type="dxa"/>
            <w:tcBorders>
              <w:top w:val="nil"/>
              <w:left w:val="nil"/>
              <w:bottom w:val="single" w:sz="4" w:space="0" w:color="auto"/>
              <w:right w:val="single" w:sz="4" w:space="0" w:color="auto"/>
            </w:tcBorders>
            <w:shd w:val="clear" w:color="auto" w:fill="auto"/>
            <w:hideMark/>
          </w:tcPr>
          <w:p w14:paraId="3CDE07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Numri i vendeve</w:t>
            </w:r>
          </w:p>
        </w:tc>
        <w:tc>
          <w:tcPr>
            <w:tcW w:w="668" w:type="dxa"/>
            <w:tcBorders>
              <w:top w:val="nil"/>
              <w:left w:val="nil"/>
              <w:bottom w:val="single" w:sz="4" w:space="0" w:color="auto"/>
              <w:right w:val="single" w:sz="4" w:space="0" w:color="auto"/>
            </w:tcBorders>
            <w:shd w:val="clear" w:color="auto" w:fill="auto"/>
            <w:hideMark/>
          </w:tcPr>
          <w:p w14:paraId="2CDF39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0AA2CD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66" w:type="dxa"/>
            <w:tcBorders>
              <w:top w:val="nil"/>
              <w:left w:val="nil"/>
              <w:bottom w:val="single" w:sz="4" w:space="0" w:color="auto"/>
              <w:right w:val="single" w:sz="4" w:space="0" w:color="auto"/>
            </w:tcBorders>
            <w:shd w:val="clear" w:color="auto" w:fill="auto"/>
            <w:hideMark/>
          </w:tcPr>
          <w:p w14:paraId="22BAE4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w:t>
            </w:r>
          </w:p>
        </w:tc>
        <w:tc>
          <w:tcPr>
            <w:tcW w:w="366" w:type="dxa"/>
            <w:tcBorders>
              <w:top w:val="nil"/>
              <w:left w:val="nil"/>
              <w:bottom w:val="single" w:sz="4" w:space="0" w:color="auto"/>
              <w:right w:val="single" w:sz="4" w:space="0" w:color="auto"/>
            </w:tcBorders>
            <w:shd w:val="clear" w:color="auto" w:fill="auto"/>
            <w:hideMark/>
          </w:tcPr>
          <w:p w14:paraId="76D95E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w:t>
            </w:r>
          </w:p>
        </w:tc>
        <w:tc>
          <w:tcPr>
            <w:tcW w:w="359" w:type="dxa"/>
            <w:tcBorders>
              <w:top w:val="nil"/>
              <w:left w:val="nil"/>
              <w:bottom w:val="single" w:sz="4" w:space="0" w:color="auto"/>
              <w:right w:val="single" w:sz="4" w:space="0" w:color="auto"/>
            </w:tcBorders>
            <w:shd w:val="clear" w:color="auto" w:fill="auto"/>
            <w:hideMark/>
          </w:tcPr>
          <w:p w14:paraId="0C090E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w:t>
            </w:r>
          </w:p>
        </w:tc>
        <w:tc>
          <w:tcPr>
            <w:tcW w:w="525" w:type="dxa"/>
            <w:tcBorders>
              <w:top w:val="nil"/>
              <w:left w:val="nil"/>
              <w:bottom w:val="single" w:sz="4" w:space="0" w:color="auto"/>
              <w:right w:val="single" w:sz="8" w:space="0" w:color="auto"/>
            </w:tcBorders>
            <w:shd w:val="clear" w:color="auto" w:fill="auto"/>
            <w:hideMark/>
          </w:tcPr>
          <w:p w14:paraId="52701C92" w14:textId="75B6B472"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w:t>
            </w:r>
            <w:r w:rsidR="005C1DD9">
              <w:rPr>
                <w:rFonts w:ascii="Garamond" w:hAnsi="Garamond" w:cs="Arial"/>
                <w:color w:val="000000"/>
                <w:sz w:val="6"/>
                <w:szCs w:val="12"/>
                <w:lang w:eastAsia="en-US"/>
              </w:rPr>
              <w:t>IE-s</w:t>
            </w:r>
          </w:p>
        </w:tc>
        <w:tc>
          <w:tcPr>
            <w:tcW w:w="236" w:type="dxa"/>
            <w:tcBorders>
              <w:top w:val="nil"/>
              <w:left w:val="nil"/>
              <w:bottom w:val="single" w:sz="4" w:space="0" w:color="auto"/>
              <w:right w:val="nil"/>
            </w:tcBorders>
            <w:shd w:val="clear" w:color="000000" w:fill="EE0000"/>
            <w:hideMark/>
          </w:tcPr>
          <w:p w14:paraId="3204EE4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EEAF6"/>
            <w:hideMark/>
          </w:tcPr>
          <w:p w14:paraId="0236AA9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2.2.3</w:t>
            </w:r>
            <w:r w:rsidRPr="00B907A3">
              <w:rPr>
                <w:rFonts w:ascii="Garamond" w:hAnsi="Garamond" w:cs="Arial"/>
                <w:b/>
                <w:bCs/>
                <w:color w:val="000000"/>
                <w:sz w:val="6"/>
                <w:szCs w:val="12"/>
                <w:lang w:eastAsia="en-US"/>
              </w:rPr>
              <w:br/>
              <w:t>Zbatimi i masave të propozuara në</w:t>
            </w:r>
            <w:r w:rsidRPr="00B907A3">
              <w:rPr>
                <w:rFonts w:ascii="Garamond" w:hAnsi="Garamond" w:cs="Arial"/>
                <w:b/>
                <w:bCs/>
                <w:color w:val="FF0000"/>
                <w:sz w:val="6"/>
                <w:szCs w:val="12"/>
                <w:lang w:eastAsia="en-US"/>
              </w:rPr>
              <w:t xml:space="preserve"> </w:t>
            </w:r>
            <w:r w:rsidRPr="00B907A3">
              <w:rPr>
                <w:rFonts w:ascii="Garamond" w:hAnsi="Garamond" w:cs="Arial"/>
                <w:b/>
                <w:bCs/>
                <w:color w:val="000000"/>
                <w:sz w:val="6"/>
                <w:szCs w:val="12"/>
                <w:lang w:eastAsia="en-US"/>
              </w:rPr>
              <w:t>vende të zgjedhura me rrezik të lartë për PDRr në rrugët kombëtare</w:t>
            </w:r>
          </w:p>
        </w:tc>
        <w:tc>
          <w:tcPr>
            <w:tcW w:w="520" w:type="dxa"/>
            <w:tcBorders>
              <w:top w:val="nil"/>
              <w:left w:val="nil"/>
              <w:bottom w:val="single" w:sz="4" w:space="0" w:color="auto"/>
              <w:right w:val="single" w:sz="4" w:space="0" w:color="auto"/>
            </w:tcBorders>
            <w:shd w:val="clear" w:color="auto" w:fill="auto"/>
            <w:hideMark/>
          </w:tcPr>
          <w:p w14:paraId="063BE3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single" w:sz="4" w:space="0" w:color="auto"/>
              <w:left w:val="nil"/>
              <w:bottom w:val="single" w:sz="4" w:space="0" w:color="auto"/>
              <w:right w:val="single" w:sz="4" w:space="0" w:color="auto"/>
            </w:tcBorders>
            <w:shd w:val="clear" w:color="auto" w:fill="auto"/>
            <w:hideMark/>
          </w:tcPr>
          <w:p w14:paraId="429B8A1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Kontraktorë zbatues të punimeve </w:t>
            </w:r>
          </w:p>
        </w:tc>
        <w:tc>
          <w:tcPr>
            <w:tcW w:w="367" w:type="dxa"/>
            <w:tcBorders>
              <w:top w:val="nil"/>
              <w:left w:val="nil"/>
              <w:bottom w:val="single" w:sz="4" w:space="0" w:color="auto"/>
              <w:right w:val="single" w:sz="8" w:space="0" w:color="auto"/>
            </w:tcBorders>
            <w:shd w:val="clear" w:color="auto" w:fill="auto"/>
            <w:hideMark/>
          </w:tcPr>
          <w:p w14:paraId="640CB3E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2028-2029</w:t>
            </w:r>
          </w:p>
        </w:tc>
        <w:tc>
          <w:tcPr>
            <w:tcW w:w="372" w:type="dxa"/>
            <w:tcBorders>
              <w:top w:val="nil"/>
              <w:left w:val="nil"/>
              <w:bottom w:val="single" w:sz="4" w:space="0" w:color="auto"/>
              <w:right w:val="single" w:sz="4" w:space="0" w:color="auto"/>
            </w:tcBorders>
            <w:shd w:val="clear" w:color="auto" w:fill="auto"/>
            <w:hideMark/>
          </w:tcPr>
          <w:p w14:paraId="565EEB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276CE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72E6A8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5E53B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61CDE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6C9D59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B8F12E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AD487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60000</w:t>
            </w:r>
          </w:p>
        </w:tc>
        <w:tc>
          <w:tcPr>
            <w:tcW w:w="324" w:type="dxa"/>
            <w:tcBorders>
              <w:top w:val="nil"/>
              <w:left w:val="nil"/>
              <w:bottom w:val="single" w:sz="4" w:space="0" w:color="auto"/>
              <w:right w:val="single" w:sz="4" w:space="0" w:color="auto"/>
            </w:tcBorders>
            <w:shd w:val="clear" w:color="auto" w:fill="auto"/>
            <w:hideMark/>
          </w:tcPr>
          <w:p w14:paraId="765294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60000</w:t>
            </w:r>
          </w:p>
        </w:tc>
        <w:tc>
          <w:tcPr>
            <w:tcW w:w="382" w:type="dxa"/>
            <w:tcBorders>
              <w:top w:val="nil"/>
              <w:left w:val="nil"/>
              <w:bottom w:val="single" w:sz="4" w:space="0" w:color="auto"/>
              <w:right w:val="single" w:sz="4" w:space="0" w:color="auto"/>
            </w:tcBorders>
            <w:shd w:val="clear" w:color="auto" w:fill="auto"/>
            <w:hideMark/>
          </w:tcPr>
          <w:p w14:paraId="592353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36460</w:t>
            </w:r>
          </w:p>
        </w:tc>
        <w:tc>
          <w:tcPr>
            <w:tcW w:w="382" w:type="dxa"/>
            <w:tcBorders>
              <w:top w:val="nil"/>
              <w:left w:val="nil"/>
              <w:bottom w:val="single" w:sz="4" w:space="0" w:color="auto"/>
              <w:right w:val="single" w:sz="4" w:space="0" w:color="auto"/>
            </w:tcBorders>
            <w:shd w:val="clear" w:color="auto" w:fill="auto"/>
            <w:hideMark/>
          </w:tcPr>
          <w:p w14:paraId="3B3492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23540</w:t>
            </w:r>
          </w:p>
        </w:tc>
        <w:tc>
          <w:tcPr>
            <w:tcW w:w="369" w:type="dxa"/>
            <w:tcBorders>
              <w:top w:val="nil"/>
              <w:left w:val="nil"/>
              <w:bottom w:val="single" w:sz="4" w:space="0" w:color="auto"/>
              <w:right w:val="nil"/>
            </w:tcBorders>
            <w:shd w:val="clear" w:color="000000" w:fill="FFFFFF"/>
            <w:hideMark/>
          </w:tcPr>
          <w:p w14:paraId="6AE50E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70650C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6F8F42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24" w:type="dxa"/>
            <w:tcBorders>
              <w:top w:val="nil"/>
              <w:left w:val="nil"/>
              <w:bottom w:val="single" w:sz="4" w:space="0" w:color="auto"/>
              <w:right w:val="single" w:sz="4" w:space="0" w:color="auto"/>
            </w:tcBorders>
            <w:shd w:val="clear" w:color="000000" w:fill="FFFFFF"/>
            <w:hideMark/>
          </w:tcPr>
          <w:p w14:paraId="65E5D4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82" w:type="dxa"/>
            <w:tcBorders>
              <w:top w:val="nil"/>
              <w:left w:val="nil"/>
              <w:bottom w:val="single" w:sz="4" w:space="0" w:color="auto"/>
              <w:right w:val="single" w:sz="4" w:space="0" w:color="auto"/>
            </w:tcBorders>
            <w:shd w:val="clear" w:color="000000" w:fill="FFFFFF"/>
            <w:hideMark/>
          </w:tcPr>
          <w:p w14:paraId="3D15FC0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82" w:type="dxa"/>
            <w:tcBorders>
              <w:top w:val="nil"/>
              <w:left w:val="nil"/>
              <w:bottom w:val="single" w:sz="4" w:space="0" w:color="auto"/>
              <w:right w:val="single" w:sz="4" w:space="0" w:color="auto"/>
            </w:tcBorders>
            <w:shd w:val="clear" w:color="000000" w:fill="FFFFFF"/>
            <w:hideMark/>
          </w:tcPr>
          <w:p w14:paraId="0F71937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13334C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31F825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Zbatimi I projekteve në 12 vende me rrezik të lartë për PDRr në rrugët kombëtare </w:t>
            </w:r>
          </w:p>
        </w:tc>
        <w:tc>
          <w:tcPr>
            <w:tcW w:w="442" w:type="dxa"/>
            <w:tcBorders>
              <w:top w:val="nil"/>
              <w:left w:val="nil"/>
              <w:bottom w:val="single" w:sz="4" w:space="0" w:color="auto"/>
              <w:right w:val="single" w:sz="4" w:space="0" w:color="auto"/>
            </w:tcBorders>
            <w:shd w:val="clear" w:color="000000" w:fill="FFFFFF"/>
            <w:hideMark/>
          </w:tcPr>
          <w:p w14:paraId="17B3FC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ARSH-së </w:t>
            </w:r>
          </w:p>
        </w:tc>
        <w:tc>
          <w:tcPr>
            <w:tcW w:w="287" w:type="dxa"/>
            <w:tcBorders>
              <w:top w:val="nil"/>
              <w:left w:val="nil"/>
              <w:bottom w:val="single" w:sz="4" w:space="0" w:color="auto"/>
              <w:right w:val="single" w:sz="8" w:space="0" w:color="auto"/>
            </w:tcBorders>
            <w:shd w:val="clear" w:color="000000" w:fill="FFFFFF"/>
            <w:hideMark/>
          </w:tcPr>
          <w:p w14:paraId="6EE24B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A884B11"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FD84E95"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EEAF6"/>
            <w:hideMark/>
          </w:tcPr>
          <w:p w14:paraId="07781F2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nil"/>
              <w:right w:val="single" w:sz="4" w:space="0" w:color="auto"/>
            </w:tcBorders>
            <w:shd w:val="clear" w:color="auto" w:fill="auto"/>
            <w:hideMark/>
          </w:tcPr>
          <w:p w14:paraId="26502D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nil"/>
              <w:right w:val="single" w:sz="4" w:space="0" w:color="auto"/>
            </w:tcBorders>
            <w:shd w:val="clear" w:color="auto" w:fill="auto"/>
            <w:hideMark/>
          </w:tcPr>
          <w:p w14:paraId="6CE5DE4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nil"/>
              <w:right w:val="single" w:sz="4" w:space="0" w:color="auto"/>
            </w:tcBorders>
            <w:shd w:val="clear" w:color="auto" w:fill="auto"/>
            <w:hideMark/>
          </w:tcPr>
          <w:p w14:paraId="498D09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42ABDCE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5646F17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7AA986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nil"/>
              <w:right w:val="single" w:sz="4" w:space="0" w:color="auto"/>
            </w:tcBorders>
            <w:shd w:val="clear" w:color="auto" w:fill="auto"/>
            <w:hideMark/>
          </w:tcPr>
          <w:p w14:paraId="549D49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nil"/>
              <w:right w:val="single" w:sz="8" w:space="0" w:color="auto"/>
            </w:tcBorders>
            <w:shd w:val="clear" w:color="auto" w:fill="auto"/>
            <w:hideMark/>
          </w:tcPr>
          <w:p w14:paraId="31172D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6145AC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DEEAF6"/>
            <w:hideMark/>
          </w:tcPr>
          <w:p w14:paraId="4904FF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0" w:type="dxa"/>
            <w:tcBorders>
              <w:top w:val="nil"/>
              <w:left w:val="nil"/>
              <w:bottom w:val="nil"/>
              <w:right w:val="single" w:sz="4" w:space="0" w:color="auto"/>
            </w:tcBorders>
            <w:shd w:val="clear" w:color="auto" w:fill="auto"/>
            <w:hideMark/>
          </w:tcPr>
          <w:p w14:paraId="5FD1CA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nil"/>
              <w:right w:val="single" w:sz="4" w:space="0" w:color="auto"/>
            </w:tcBorders>
            <w:shd w:val="clear" w:color="auto" w:fill="auto"/>
            <w:hideMark/>
          </w:tcPr>
          <w:p w14:paraId="0E498FE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nil"/>
              <w:right w:val="single" w:sz="8" w:space="0" w:color="auto"/>
            </w:tcBorders>
            <w:shd w:val="clear" w:color="auto" w:fill="auto"/>
            <w:hideMark/>
          </w:tcPr>
          <w:p w14:paraId="3722A5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725A1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9ADD20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6C5EEF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110E18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4FA8DA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1BE18D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6F4D4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97D7D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0E3E8A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053980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1FB39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nil"/>
            </w:tcBorders>
            <w:shd w:val="clear" w:color="000000" w:fill="FFFFFF"/>
            <w:hideMark/>
          </w:tcPr>
          <w:p w14:paraId="4DE731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4" w:space="0" w:color="auto"/>
              <w:right w:val="single" w:sz="4" w:space="0" w:color="auto"/>
            </w:tcBorders>
            <w:shd w:val="clear" w:color="000000" w:fill="FFFFFF"/>
            <w:hideMark/>
          </w:tcPr>
          <w:p w14:paraId="396B2B4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5F68D9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545C9F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056ED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1D248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1B3CB1F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0284CB1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hideMark/>
          </w:tcPr>
          <w:p w14:paraId="3B6F1F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hideMark/>
          </w:tcPr>
          <w:p w14:paraId="311FC5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AE149C8"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7572490" w14:textId="77777777" w:rsidTr="00962754">
        <w:trPr>
          <w:trHeight w:val="20"/>
        </w:trPr>
        <w:tc>
          <w:tcPr>
            <w:tcW w:w="718" w:type="dxa"/>
            <w:tcBorders>
              <w:top w:val="nil"/>
              <w:left w:val="single" w:sz="8" w:space="0" w:color="auto"/>
              <w:bottom w:val="nil"/>
              <w:right w:val="nil"/>
            </w:tcBorders>
            <w:shd w:val="clear" w:color="000000" w:fill="DEEAF6"/>
            <w:hideMark/>
          </w:tcPr>
          <w:p w14:paraId="484B6433" w14:textId="177712E9"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2.3</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br/>
              <w:t>Shpejtësi të sigurta si një bazë e QSS</w:t>
            </w:r>
          </w:p>
        </w:tc>
        <w:tc>
          <w:tcPr>
            <w:tcW w:w="571" w:type="dxa"/>
            <w:tcBorders>
              <w:top w:val="single" w:sz="4" w:space="0" w:color="auto"/>
              <w:left w:val="single" w:sz="4" w:space="0" w:color="auto"/>
              <w:bottom w:val="single" w:sz="4" w:space="0" w:color="auto"/>
              <w:right w:val="single" w:sz="4" w:space="0" w:color="auto"/>
            </w:tcBorders>
            <w:shd w:val="clear" w:color="auto" w:fill="auto"/>
            <w:hideMark/>
          </w:tcPr>
          <w:p w14:paraId="0F4FC9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Rishikimi i kufizimeve të shpejtësisë të shënuara në rrugët kombëtare</w:t>
            </w:r>
          </w:p>
        </w:tc>
        <w:tc>
          <w:tcPr>
            <w:tcW w:w="470" w:type="dxa"/>
            <w:tcBorders>
              <w:top w:val="single" w:sz="4" w:space="0" w:color="auto"/>
              <w:left w:val="nil"/>
              <w:bottom w:val="single" w:sz="4" w:space="0" w:color="auto"/>
              <w:right w:val="single" w:sz="4" w:space="0" w:color="auto"/>
            </w:tcBorders>
            <w:shd w:val="clear" w:color="auto" w:fill="auto"/>
            <w:hideMark/>
          </w:tcPr>
          <w:p w14:paraId="02F5E0F5" w14:textId="1173EAC0"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r w:rsidR="00FB5830">
              <w:rPr>
                <w:rFonts w:ascii="Garamond" w:hAnsi="Garamond" w:cs="Arial"/>
                <w:color w:val="000000"/>
                <w:sz w:val="6"/>
                <w:szCs w:val="12"/>
                <w:lang w:eastAsia="en-US"/>
              </w:rPr>
              <w:t>jo/</w:t>
            </w:r>
            <w:r w:rsidR="00FB5830" w:rsidRPr="00B907A3">
              <w:rPr>
                <w:rFonts w:ascii="Garamond" w:hAnsi="Garamond" w:cs="Arial"/>
                <w:color w:val="000000"/>
                <w:sz w:val="6"/>
                <w:szCs w:val="12"/>
                <w:lang w:eastAsia="en-US"/>
              </w:rPr>
              <w:t>pjesërisht</w:t>
            </w:r>
          </w:p>
        </w:tc>
        <w:tc>
          <w:tcPr>
            <w:tcW w:w="668" w:type="dxa"/>
            <w:tcBorders>
              <w:top w:val="single" w:sz="4" w:space="0" w:color="auto"/>
              <w:left w:val="nil"/>
              <w:bottom w:val="single" w:sz="4" w:space="0" w:color="auto"/>
              <w:right w:val="single" w:sz="4" w:space="0" w:color="auto"/>
            </w:tcBorders>
            <w:shd w:val="clear" w:color="auto" w:fill="auto"/>
            <w:hideMark/>
          </w:tcPr>
          <w:p w14:paraId="2DC3B97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single" w:sz="4" w:space="0" w:color="auto"/>
              <w:left w:val="nil"/>
              <w:bottom w:val="single" w:sz="4" w:space="0" w:color="auto"/>
              <w:right w:val="single" w:sz="4" w:space="0" w:color="auto"/>
            </w:tcBorders>
            <w:shd w:val="clear" w:color="auto" w:fill="auto"/>
            <w:hideMark/>
          </w:tcPr>
          <w:p w14:paraId="48AF1F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hideMark/>
          </w:tcPr>
          <w:p w14:paraId="0160884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single" w:sz="4" w:space="0" w:color="auto"/>
              <w:left w:val="nil"/>
              <w:bottom w:val="single" w:sz="4" w:space="0" w:color="auto"/>
              <w:right w:val="single" w:sz="4" w:space="0" w:color="auto"/>
            </w:tcBorders>
            <w:shd w:val="clear" w:color="auto" w:fill="auto"/>
            <w:hideMark/>
          </w:tcPr>
          <w:p w14:paraId="6F58A2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single" w:sz="4" w:space="0" w:color="auto"/>
              <w:left w:val="nil"/>
              <w:bottom w:val="single" w:sz="4" w:space="0" w:color="auto"/>
              <w:right w:val="single" w:sz="4" w:space="0" w:color="auto"/>
            </w:tcBorders>
            <w:shd w:val="clear" w:color="auto" w:fill="auto"/>
            <w:hideMark/>
          </w:tcPr>
          <w:p w14:paraId="36561D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525" w:type="dxa"/>
            <w:tcBorders>
              <w:top w:val="single" w:sz="4" w:space="0" w:color="auto"/>
              <w:left w:val="nil"/>
              <w:bottom w:val="single" w:sz="4" w:space="0" w:color="auto"/>
              <w:right w:val="single" w:sz="8" w:space="0" w:color="auto"/>
            </w:tcBorders>
            <w:shd w:val="clear" w:color="auto" w:fill="auto"/>
            <w:hideMark/>
          </w:tcPr>
          <w:p w14:paraId="20C1A2FB" w14:textId="077914DF"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p>
        </w:tc>
        <w:tc>
          <w:tcPr>
            <w:tcW w:w="236" w:type="dxa"/>
            <w:tcBorders>
              <w:top w:val="nil"/>
              <w:left w:val="nil"/>
              <w:bottom w:val="single" w:sz="4" w:space="0" w:color="auto"/>
              <w:right w:val="nil"/>
            </w:tcBorders>
            <w:shd w:val="clear" w:color="000000" w:fill="EE0000"/>
            <w:vAlign w:val="center"/>
            <w:hideMark/>
          </w:tcPr>
          <w:p w14:paraId="3F962D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nil"/>
            </w:tcBorders>
            <w:shd w:val="clear" w:color="000000" w:fill="DEEAF6"/>
            <w:hideMark/>
          </w:tcPr>
          <w:p w14:paraId="7F59C24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2.3.1</w:t>
            </w:r>
            <w:r w:rsidRPr="00B907A3">
              <w:rPr>
                <w:rFonts w:ascii="Garamond" w:hAnsi="Garamond" w:cs="Arial"/>
                <w:b/>
                <w:bCs/>
                <w:color w:val="000000"/>
                <w:sz w:val="6"/>
                <w:szCs w:val="12"/>
                <w:lang w:eastAsia="en-US"/>
              </w:rPr>
              <w:br/>
              <w:t>Rishikimi i kufijve të shpejtësisë në rrjetin rrugor kombëtar dhe ndryshimi/përshtatja në përputhje me QSS aty ku është e nevojshme</w:t>
            </w:r>
          </w:p>
        </w:tc>
        <w:tc>
          <w:tcPr>
            <w:tcW w:w="520" w:type="dxa"/>
            <w:tcBorders>
              <w:top w:val="single" w:sz="4" w:space="0" w:color="auto"/>
              <w:left w:val="single" w:sz="4" w:space="0" w:color="auto"/>
              <w:bottom w:val="single" w:sz="4" w:space="0" w:color="auto"/>
              <w:right w:val="single" w:sz="4" w:space="0" w:color="auto"/>
            </w:tcBorders>
            <w:shd w:val="clear" w:color="auto" w:fill="auto"/>
            <w:hideMark/>
          </w:tcPr>
          <w:p w14:paraId="317F1E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p>
        </w:tc>
        <w:tc>
          <w:tcPr>
            <w:tcW w:w="512" w:type="dxa"/>
            <w:tcBorders>
              <w:top w:val="single" w:sz="4" w:space="0" w:color="auto"/>
              <w:left w:val="nil"/>
              <w:bottom w:val="single" w:sz="4" w:space="0" w:color="auto"/>
              <w:right w:val="single" w:sz="4" w:space="0" w:color="auto"/>
            </w:tcBorders>
            <w:shd w:val="clear" w:color="auto" w:fill="auto"/>
            <w:hideMark/>
          </w:tcPr>
          <w:p w14:paraId="74C2B0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r w:rsidRPr="00B907A3">
              <w:rPr>
                <w:rFonts w:ascii="Garamond" w:hAnsi="Garamond" w:cs="Arial"/>
                <w:color w:val="000000"/>
                <w:sz w:val="6"/>
                <w:szCs w:val="12"/>
                <w:lang w:eastAsia="en-US"/>
              </w:rPr>
              <w:br/>
              <w:t>MPB/PRr</w:t>
            </w:r>
          </w:p>
        </w:tc>
        <w:tc>
          <w:tcPr>
            <w:tcW w:w="367" w:type="dxa"/>
            <w:tcBorders>
              <w:top w:val="single" w:sz="4" w:space="0" w:color="auto"/>
              <w:left w:val="nil"/>
              <w:bottom w:val="single" w:sz="4" w:space="0" w:color="auto"/>
              <w:right w:val="single" w:sz="8" w:space="0" w:color="auto"/>
            </w:tcBorders>
            <w:shd w:val="clear" w:color="auto" w:fill="auto"/>
            <w:hideMark/>
          </w:tcPr>
          <w:p w14:paraId="6BFC02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nil"/>
              <w:right w:val="single" w:sz="4" w:space="0" w:color="auto"/>
            </w:tcBorders>
            <w:shd w:val="clear" w:color="auto" w:fill="auto"/>
            <w:hideMark/>
          </w:tcPr>
          <w:p w14:paraId="3DE80E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72" w:type="dxa"/>
            <w:tcBorders>
              <w:top w:val="nil"/>
              <w:left w:val="nil"/>
              <w:bottom w:val="nil"/>
              <w:right w:val="single" w:sz="4" w:space="0" w:color="auto"/>
            </w:tcBorders>
            <w:shd w:val="clear" w:color="auto" w:fill="auto"/>
            <w:hideMark/>
          </w:tcPr>
          <w:p w14:paraId="0A91A8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426" w:type="dxa"/>
            <w:tcBorders>
              <w:top w:val="nil"/>
              <w:left w:val="nil"/>
              <w:bottom w:val="nil"/>
              <w:right w:val="single" w:sz="4" w:space="0" w:color="auto"/>
            </w:tcBorders>
            <w:shd w:val="clear" w:color="auto" w:fill="auto"/>
            <w:hideMark/>
          </w:tcPr>
          <w:p w14:paraId="110134D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3000</w:t>
            </w:r>
          </w:p>
        </w:tc>
        <w:tc>
          <w:tcPr>
            <w:tcW w:w="618" w:type="dxa"/>
            <w:tcBorders>
              <w:top w:val="nil"/>
              <w:left w:val="nil"/>
              <w:bottom w:val="nil"/>
              <w:right w:val="single" w:sz="4" w:space="0" w:color="auto"/>
            </w:tcBorders>
            <w:shd w:val="clear" w:color="auto" w:fill="auto"/>
            <w:hideMark/>
          </w:tcPr>
          <w:p w14:paraId="7653F7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3000</w:t>
            </w:r>
          </w:p>
        </w:tc>
        <w:tc>
          <w:tcPr>
            <w:tcW w:w="618" w:type="dxa"/>
            <w:tcBorders>
              <w:top w:val="nil"/>
              <w:left w:val="nil"/>
              <w:bottom w:val="nil"/>
              <w:right w:val="single" w:sz="4" w:space="0" w:color="auto"/>
            </w:tcBorders>
            <w:shd w:val="clear" w:color="auto" w:fill="auto"/>
            <w:hideMark/>
          </w:tcPr>
          <w:p w14:paraId="0E448E0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nil"/>
              <w:right w:val="single" w:sz="8" w:space="0" w:color="auto"/>
            </w:tcBorders>
            <w:shd w:val="clear" w:color="auto" w:fill="auto"/>
            <w:hideMark/>
          </w:tcPr>
          <w:p w14:paraId="7709C9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single" w:sz="4" w:space="0" w:color="auto"/>
            </w:tcBorders>
            <w:shd w:val="clear" w:color="auto" w:fill="auto"/>
            <w:hideMark/>
          </w:tcPr>
          <w:p w14:paraId="4D8088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nil"/>
              <w:right w:val="single" w:sz="4" w:space="0" w:color="auto"/>
            </w:tcBorders>
            <w:shd w:val="clear" w:color="auto" w:fill="auto"/>
            <w:hideMark/>
          </w:tcPr>
          <w:p w14:paraId="56FAC7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24" w:type="dxa"/>
            <w:tcBorders>
              <w:top w:val="nil"/>
              <w:left w:val="nil"/>
              <w:bottom w:val="nil"/>
              <w:right w:val="single" w:sz="4" w:space="0" w:color="auto"/>
            </w:tcBorders>
            <w:shd w:val="clear" w:color="000000" w:fill="FFFFFF"/>
            <w:hideMark/>
          </w:tcPr>
          <w:p w14:paraId="6DC709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82" w:type="dxa"/>
            <w:tcBorders>
              <w:top w:val="nil"/>
              <w:left w:val="nil"/>
              <w:bottom w:val="nil"/>
              <w:right w:val="single" w:sz="4" w:space="0" w:color="auto"/>
            </w:tcBorders>
            <w:shd w:val="clear" w:color="000000" w:fill="FFFFFF"/>
            <w:hideMark/>
          </w:tcPr>
          <w:p w14:paraId="07CBF3D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82" w:type="dxa"/>
            <w:tcBorders>
              <w:top w:val="nil"/>
              <w:left w:val="nil"/>
              <w:bottom w:val="nil"/>
              <w:right w:val="single" w:sz="4" w:space="0" w:color="auto"/>
            </w:tcBorders>
            <w:shd w:val="clear" w:color="000000" w:fill="FFFFFF"/>
            <w:hideMark/>
          </w:tcPr>
          <w:p w14:paraId="3655600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nil"/>
              <w:right w:val="nil"/>
            </w:tcBorders>
            <w:shd w:val="clear" w:color="000000" w:fill="FFFFFF"/>
            <w:hideMark/>
          </w:tcPr>
          <w:p w14:paraId="0451FB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nil"/>
              <w:right w:val="single" w:sz="4" w:space="0" w:color="auto"/>
            </w:tcBorders>
            <w:shd w:val="clear" w:color="000000" w:fill="FFFFFF"/>
            <w:hideMark/>
          </w:tcPr>
          <w:p w14:paraId="581EF4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nil"/>
              <w:right w:val="single" w:sz="4" w:space="0" w:color="auto"/>
            </w:tcBorders>
            <w:shd w:val="clear" w:color="000000" w:fill="FFFFFF"/>
            <w:hideMark/>
          </w:tcPr>
          <w:p w14:paraId="368746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24" w:type="dxa"/>
            <w:tcBorders>
              <w:top w:val="nil"/>
              <w:left w:val="nil"/>
              <w:bottom w:val="nil"/>
              <w:right w:val="single" w:sz="4" w:space="0" w:color="auto"/>
            </w:tcBorders>
            <w:shd w:val="clear" w:color="000000" w:fill="FFFFFF"/>
            <w:hideMark/>
          </w:tcPr>
          <w:p w14:paraId="7EB18A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82" w:type="dxa"/>
            <w:tcBorders>
              <w:top w:val="nil"/>
              <w:left w:val="nil"/>
              <w:bottom w:val="nil"/>
              <w:right w:val="single" w:sz="4" w:space="0" w:color="auto"/>
            </w:tcBorders>
            <w:shd w:val="clear" w:color="000000" w:fill="FFFFFF"/>
            <w:hideMark/>
          </w:tcPr>
          <w:p w14:paraId="7C19CD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4000</w:t>
            </w:r>
          </w:p>
        </w:tc>
        <w:tc>
          <w:tcPr>
            <w:tcW w:w="382" w:type="dxa"/>
            <w:tcBorders>
              <w:top w:val="nil"/>
              <w:left w:val="nil"/>
              <w:bottom w:val="nil"/>
              <w:right w:val="single" w:sz="4" w:space="0" w:color="auto"/>
            </w:tcBorders>
            <w:shd w:val="clear" w:color="000000" w:fill="FFFFFF"/>
            <w:hideMark/>
          </w:tcPr>
          <w:p w14:paraId="04FAD6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nil"/>
              <w:right w:val="single" w:sz="8" w:space="0" w:color="auto"/>
            </w:tcBorders>
            <w:shd w:val="clear" w:color="000000" w:fill="FFFFFF"/>
            <w:hideMark/>
          </w:tcPr>
          <w:p w14:paraId="260E34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nil"/>
              <w:right w:val="nil"/>
            </w:tcBorders>
            <w:shd w:val="clear" w:color="auto" w:fill="auto"/>
            <w:hideMark/>
          </w:tcPr>
          <w:p w14:paraId="0A0BC81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Kufizimet e shpejtësisë të përshtatura sipas QSS </w:t>
            </w:r>
          </w:p>
        </w:tc>
        <w:tc>
          <w:tcPr>
            <w:tcW w:w="442" w:type="dxa"/>
            <w:tcBorders>
              <w:top w:val="nil"/>
              <w:left w:val="single" w:sz="4" w:space="0" w:color="auto"/>
              <w:bottom w:val="single" w:sz="4" w:space="0" w:color="auto"/>
              <w:right w:val="single" w:sz="4" w:space="0" w:color="auto"/>
            </w:tcBorders>
            <w:shd w:val="clear" w:color="000000" w:fill="FFFFFF"/>
            <w:hideMark/>
          </w:tcPr>
          <w:p w14:paraId="010879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ARSH-së</w:t>
            </w:r>
          </w:p>
        </w:tc>
        <w:tc>
          <w:tcPr>
            <w:tcW w:w="287" w:type="dxa"/>
            <w:tcBorders>
              <w:top w:val="nil"/>
              <w:left w:val="nil"/>
              <w:bottom w:val="nil"/>
              <w:right w:val="single" w:sz="8" w:space="0" w:color="auto"/>
            </w:tcBorders>
            <w:shd w:val="clear" w:color="000000" w:fill="FFFFFF"/>
            <w:hideMark/>
          </w:tcPr>
          <w:p w14:paraId="3D26CD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4B5A3BC"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B230206"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DEEAF6"/>
            <w:hideMark/>
          </w:tcPr>
          <w:p w14:paraId="052263C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nil"/>
              <w:right w:val="single" w:sz="4" w:space="0" w:color="auto"/>
            </w:tcBorders>
            <w:shd w:val="clear" w:color="auto" w:fill="auto"/>
            <w:hideMark/>
          </w:tcPr>
          <w:p w14:paraId="135BB8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nil"/>
              <w:right w:val="single" w:sz="4" w:space="0" w:color="auto"/>
            </w:tcBorders>
            <w:shd w:val="clear" w:color="auto" w:fill="auto"/>
            <w:hideMark/>
          </w:tcPr>
          <w:p w14:paraId="40B702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nil"/>
              <w:right w:val="single" w:sz="4" w:space="0" w:color="auto"/>
            </w:tcBorders>
            <w:shd w:val="clear" w:color="auto" w:fill="auto"/>
            <w:hideMark/>
          </w:tcPr>
          <w:p w14:paraId="47F25C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37C989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499D3E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30606F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nil"/>
              <w:right w:val="single" w:sz="4" w:space="0" w:color="auto"/>
            </w:tcBorders>
            <w:shd w:val="clear" w:color="auto" w:fill="auto"/>
            <w:hideMark/>
          </w:tcPr>
          <w:p w14:paraId="7EA251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nil"/>
              <w:right w:val="single" w:sz="8" w:space="0" w:color="auto"/>
            </w:tcBorders>
            <w:shd w:val="clear" w:color="auto" w:fill="auto"/>
            <w:hideMark/>
          </w:tcPr>
          <w:p w14:paraId="3426FA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56718D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nil"/>
            </w:tcBorders>
            <w:shd w:val="clear" w:color="000000" w:fill="DEEAF6"/>
            <w:hideMark/>
          </w:tcPr>
          <w:p w14:paraId="5D47A216" w14:textId="3C582215"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2.3.2</w:t>
            </w:r>
            <w:r w:rsidRPr="00B907A3">
              <w:rPr>
                <w:rFonts w:ascii="Garamond" w:hAnsi="Garamond" w:cs="Arial"/>
                <w:b/>
                <w:bCs/>
                <w:color w:val="000000"/>
                <w:sz w:val="6"/>
                <w:szCs w:val="12"/>
                <w:lang w:eastAsia="en-US"/>
              </w:rPr>
              <w:br/>
              <w:t>Vendosja e kamerave të shpejtësisë dhe sinjalistikë tjetër inteligjente që ulin në mënyrë efektive shpejtësinë e automjeteve në lokacione</w:t>
            </w:r>
            <w:r w:rsidR="005C1DD9">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 xml:space="preserve">të përzgjedhura dhe </w:t>
            </w:r>
            <w:r w:rsidRPr="00B907A3">
              <w:rPr>
                <w:rFonts w:ascii="Garamond" w:hAnsi="Garamond" w:cs="Arial"/>
                <w:b/>
                <w:bCs/>
                <w:color w:val="000000"/>
                <w:sz w:val="6"/>
                <w:szCs w:val="12"/>
                <w:lang w:eastAsia="en-US"/>
              </w:rPr>
              <w:lastRenderedPageBreak/>
              <w:t>integrimi i tyre me QKMT</w:t>
            </w:r>
          </w:p>
        </w:tc>
        <w:tc>
          <w:tcPr>
            <w:tcW w:w="520" w:type="dxa"/>
            <w:tcBorders>
              <w:top w:val="nil"/>
              <w:left w:val="single" w:sz="4" w:space="0" w:color="auto"/>
              <w:bottom w:val="single" w:sz="4" w:space="0" w:color="auto"/>
              <w:right w:val="single" w:sz="4" w:space="0" w:color="auto"/>
            </w:tcBorders>
            <w:shd w:val="clear" w:color="auto" w:fill="auto"/>
            <w:hideMark/>
          </w:tcPr>
          <w:p w14:paraId="202206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lastRenderedPageBreak/>
              <w:t xml:space="preserve">ARRSH </w:t>
            </w:r>
          </w:p>
        </w:tc>
        <w:tc>
          <w:tcPr>
            <w:tcW w:w="512" w:type="dxa"/>
            <w:tcBorders>
              <w:top w:val="nil"/>
              <w:left w:val="nil"/>
              <w:bottom w:val="single" w:sz="4" w:space="0" w:color="auto"/>
              <w:right w:val="single" w:sz="4" w:space="0" w:color="auto"/>
            </w:tcBorders>
            <w:shd w:val="clear" w:color="auto" w:fill="auto"/>
            <w:hideMark/>
          </w:tcPr>
          <w:p w14:paraId="545794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MSHPV/AMVV</w:t>
            </w:r>
            <w:r w:rsidRPr="00B907A3">
              <w:rPr>
                <w:rFonts w:ascii="Garamond" w:hAnsi="Garamond" w:cs="Arial"/>
                <w:color w:val="000000"/>
                <w:sz w:val="6"/>
                <w:szCs w:val="12"/>
                <w:lang w:eastAsia="en-US"/>
              </w:rPr>
              <w:br/>
              <w:t>PRr</w:t>
            </w:r>
          </w:p>
        </w:tc>
        <w:tc>
          <w:tcPr>
            <w:tcW w:w="367" w:type="dxa"/>
            <w:tcBorders>
              <w:top w:val="nil"/>
              <w:left w:val="nil"/>
              <w:bottom w:val="single" w:sz="4" w:space="0" w:color="auto"/>
              <w:right w:val="single" w:sz="8" w:space="0" w:color="auto"/>
            </w:tcBorders>
            <w:shd w:val="clear" w:color="auto" w:fill="auto"/>
            <w:hideMark/>
          </w:tcPr>
          <w:p w14:paraId="3EF93E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nil"/>
              <w:right w:val="single" w:sz="4" w:space="0" w:color="auto"/>
            </w:tcBorders>
            <w:shd w:val="clear" w:color="auto" w:fill="auto"/>
            <w:hideMark/>
          </w:tcPr>
          <w:p w14:paraId="7AE794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auto" w:fill="auto"/>
            <w:hideMark/>
          </w:tcPr>
          <w:p w14:paraId="212D38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426" w:type="dxa"/>
            <w:tcBorders>
              <w:top w:val="single" w:sz="4" w:space="0" w:color="auto"/>
              <w:left w:val="nil"/>
              <w:bottom w:val="nil"/>
              <w:right w:val="single" w:sz="4" w:space="0" w:color="auto"/>
            </w:tcBorders>
            <w:shd w:val="clear" w:color="auto" w:fill="auto"/>
            <w:hideMark/>
          </w:tcPr>
          <w:p w14:paraId="5ED6B33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618" w:type="dxa"/>
            <w:tcBorders>
              <w:top w:val="single" w:sz="4" w:space="0" w:color="auto"/>
              <w:left w:val="nil"/>
              <w:bottom w:val="nil"/>
              <w:right w:val="single" w:sz="4" w:space="0" w:color="auto"/>
            </w:tcBorders>
            <w:shd w:val="clear" w:color="auto" w:fill="auto"/>
            <w:hideMark/>
          </w:tcPr>
          <w:p w14:paraId="6DA681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nil"/>
              <w:right w:val="single" w:sz="4" w:space="0" w:color="auto"/>
            </w:tcBorders>
            <w:shd w:val="clear" w:color="auto" w:fill="auto"/>
            <w:hideMark/>
          </w:tcPr>
          <w:p w14:paraId="27B766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single" w:sz="4" w:space="0" w:color="auto"/>
              <w:left w:val="nil"/>
              <w:bottom w:val="nil"/>
              <w:right w:val="single" w:sz="8" w:space="0" w:color="auto"/>
            </w:tcBorders>
            <w:shd w:val="clear" w:color="auto" w:fill="auto"/>
            <w:hideMark/>
          </w:tcPr>
          <w:p w14:paraId="41D6E44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72" w:type="dxa"/>
            <w:tcBorders>
              <w:top w:val="single" w:sz="4" w:space="0" w:color="auto"/>
              <w:left w:val="nil"/>
              <w:bottom w:val="nil"/>
              <w:right w:val="single" w:sz="4" w:space="0" w:color="auto"/>
            </w:tcBorders>
            <w:shd w:val="clear" w:color="auto" w:fill="auto"/>
            <w:hideMark/>
          </w:tcPr>
          <w:p w14:paraId="6C001F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auto" w:fill="auto"/>
            <w:hideMark/>
          </w:tcPr>
          <w:p w14:paraId="5BD0FB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24" w:type="dxa"/>
            <w:tcBorders>
              <w:top w:val="single" w:sz="4" w:space="0" w:color="auto"/>
              <w:left w:val="nil"/>
              <w:bottom w:val="nil"/>
              <w:right w:val="single" w:sz="4" w:space="0" w:color="auto"/>
            </w:tcBorders>
            <w:shd w:val="clear" w:color="000000" w:fill="FFFFFF"/>
            <w:hideMark/>
          </w:tcPr>
          <w:p w14:paraId="7B4E2D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82" w:type="dxa"/>
            <w:tcBorders>
              <w:top w:val="single" w:sz="4" w:space="0" w:color="auto"/>
              <w:left w:val="nil"/>
              <w:bottom w:val="nil"/>
              <w:right w:val="single" w:sz="4" w:space="0" w:color="auto"/>
            </w:tcBorders>
            <w:shd w:val="clear" w:color="000000" w:fill="FFFFFF"/>
            <w:hideMark/>
          </w:tcPr>
          <w:p w14:paraId="0141EC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nil"/>
              <w:right w:val="single" w:sz="4" w:space="0" w:color="auto"/>
            </w:tcBorders>
            <w:shd w:val="clear" w:color="000000" w:fill="FFFFFF"/>
            <w:hideMark/>
          </w:tcPr>
          <w:p w14:paraId="592617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nil"/>
              <w:right w:val="nil"/>
            </w:tcBorders>
            <w:shd w:val="clear" w:color="000000" w:fill="FFFFFF"/>
            <w:hideMark/>
          </w:tcPr>
          <w:p w14:paraId="255F03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72" w:type="dxa"/>
            <w:tcBorders>
              <w:top w:val="single" w:sz="4" w:space="0" w:color="auto"/>
              <w:left w:val="single" w:sz="8" w:space="0" w:color="auto"/>
              <w:bottom w:val="nil"/>
              <w:right w:val="single" w:sz="4" w:space="0" w:color="auto"/>
            </w:tcBorders>
            <w:shd w:val="clear" w:color="000000" w:fill="FFFFFF"/>
            <w:hideMark/>
          </w:tcPr>
          <w:p w14:paraId="49125D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000000" w:fill="FFFFFF"/>
            <w:hideMark/>
          </w:tcPr>
          <w:p w14:paraId="608DBA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8000</w:t>
            </w:r>
          </w:p>
        </w:tc>
        <w:tc>
          <w:tcPr>
            <w:tcW w:w="324" w:type="dxa"/>
            <w:tcBorders>
              <w:top w:val="single" w:sz="4" w:space="0" w:color="auto"/>
              <w:left w:val="nil"/>
              <w:bottom w:val="nil"/>
              <w:right w:val="single" w:sz="4" w:space="0" w:color="auto"/>
            </w:tcBorders>
            <w:shd w:val="clear" w:color="000000" w:fill="FFFFFF"/>
            <w:hideMark/>
          </w:tcPr>
          <w:p w14:paraId="3849E52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8000</w:t>
            </w:r>
          </w:p>
        </w:tc>
        <w:tc>
          <w:tcPr>
            <w:tcW w:w="382" w:type="dxa"/>
            <w:tcBorders>
              <w:top w:val="single" w:sz="4" w:space="0" w:color="auto"/>
              <w:left w:val="nil"/>
              <w:bottom w:val="nil"/>
              <w:right w:val="single" w:sz="4" w:space="0" w:color="auto"/>
            </w:tcBorders>
            <w:shd w:val="clear" w:color="000000" w:fill="FFFFFF"/>
            <w:hideMark/>
          </w:tcPr>
          <w:p w14:paraId="05E9D4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nil"/>
              <w:right w:val="single" w:sz="4" w:space="0" w:color="auto"/>
            </w:tcBorders>
            <w:shd w:val="clear" w:color="000000" w:fill="FFFFFF"/>
            <w:hideMark/>
          </w:tcPr>
          <w:p w14:paraId="768CF4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nil"/>
              <w:right w:val="single" w:sz="8" w:space="0" w:color="auto"/>
            </w:tcBorders>
            <w:shd w:val="clear" w:color="000000" w:fill="FFFFFF"/>
            <w:hideMark/>
          </w:tcPr>
          <w:p w14:paraId="188AD2F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8000</w:t>
            </w:r>
          </w:p>
        </w:tc>
        <w:tc>
          <w:tcPr>
            <w:tcW w:w="464" w:type="dxa"/>
            <w:tcBorders>
              <w:top w:val="single" w:sz="4" w:space="0" w:color="auto"/>
              <w:left w:val="nil"/>
              <w:bottom w:val="nil"/>
              <w:right w:val="single" w:sz="4" w:space="0" w:color="auto"/>
            </w:tcBorders>
            <w:shd w:val="clear" w:color="000000" w:fill="FFFFFF"/>
            <w:hideMark/>
          </w:tcPr>
          <w:p w14:paraId="20CB486F" w14:textId="4F2BC3D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Kamerat e shpejtësisë dhe sinjalistikë rrugore të instaluara në</w:t>
            </w:r>
            <w:r w:rsidR="00887CC6">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lokacionet e zgjedhura</w:t>
            </w:r>
          </w:p>
        </w:tc>
        <w:tc>
          <w:tcPr>
            <w:tcW w:w="442" w:type="dxa"/>
            <w:tcBorders>
              <w:top w:val="nil"/>
              <w:left w:val="nil"/>
              <w:bottom w:val="nil"/>
              <w:right w:val="single" w:sz="4" w:space="0" w:color="auto"/>
            </w:tcBorders>
            <w:shd w:val="clear" w:color="000000" w:fill="FFFFFF"/>
            <w:hideMark/>
          </w:tcPr>
          <w:p w14:paraId="31A69E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ARRSH-së dhe Bashkive</w:t>
            </w:r>
          </w:p>
        </w:tc>
        <w:tc>
          <w:tcPr>
            <w:tcW w:w="287" w:type="dxa"/>
            <w:tcBorders>
              <w:top w:val="single" w:sz="4" w:space="0" w:color="auto"/>
              <w:left w:val="nil"/>
              <w:bottom w:val="nil"/>
              <w:right w:val="single" w:sz="8" w:space="0" w:color="auto"/>
            </w:tcBorders>
            <w:shd w:val="clear" w:color="000000" w:fill="FFFFFF"/>
            <w:hideMark/>
          </w:tcPr>
          <w:p w14:paraId="60289A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0AD159E"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4D957C3" w14:textId="77777777" w:rsidTr="00962754">
        <w:trPr>
          <w:trHeight w:val="20"/>
        </w:trPr>
        <w:tc>
          <w:tcPr>
            <w:tcW w:w="718" w:type="dxa"/>
            <w:tcBorders>
              <w:top w:val="single" w:sz="4" w:space="0" w:color="auto"/>
              <w:left w:val="single" w:sz="8" w:space="0" w:color="auto"/>
              <w:bottom w:val="nil"/>
              <w:right w:val="nil"/>
            </w:tcBorders>
            <w:shd w:val="clear" w:color="000000" w:fill="DEEAF6"/>
            <w:hideMark/>
          </w:tcPr>
          <w:p w14:paraId="69117FC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4" w:space="0" w:color="auto"/>
              <w:left w:val="single" w:sz="4" w:space="0" w:color="auto"/>
              <w:bottom w:val="nil"/>
              <w:right w:val="single" w:sz="4" w:space="0" w:color="auto"/>
            </w:tcBorders>
            <w:shd w:val="clear" w:color="auto" w:fill="auto"/>
            <w:hideMark/>
          </w:tcPr>
          <w:p w14:paraId="5F6039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IKP në përdorim</w:t>
            </w:r>
          </w:p>
        </w:tc>
        <w:tc>
          <w:tcPr>
            <w:tcW w:w="470" w:type="dxa"/>
            <w:tcBorders>
              <w:top w:val="single" w:sz="4" w:space="0" w:color="auto"/>
              <w:left w:val="nil"/>
              <w:bottom w:val="nil"/>
              <w:right w:val="single" w:sz="4" w:space="0" w:color="auto"/>
            </w:tcBorders>
            <w:shd w:val="clear" w:color="auto" w:fill="auto"/>
            <w:hideMark/>
          </w:tcPr>
          <w:p w14:paraId="098BE562" w14:textId="5048FE4B"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single" w:sz="4" w:space="0" w:color="auto"/>
              <w:left w:val="nil"/>
              <w:bottom w:val="nil"/>
              <w:right w:val="single" w:sz="4" w:space="0" w:color="auto"/>
            </w:tcBorders>
            <w:shd w:val="clear" w:color="auto" w:fill="auto"/>
            <w:hideMark/>
          </w:tcPr>
          <w:p w14:paraId="56EBA5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single" w:sz="4" w:space="0" w:color="auto"/>
              <w:left w:val="nil"/>
              <w:bottom w:val="nil"/>
              <w:right w:val="single" w:sz="4" w:space="0" w:color="auto"/>
            </w:tcBorders>
            <w:shd w:val="clear" w:color="auto" w:fill="auto"/>
            <w:hideMark/>
          </w:tcPr>
          <w:p w14:paraId="2931B7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hideMark/>
          </w:tcPr>
          <w:p w14:paraId="734DB7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single" w:sz="4" w:space="0" w:color="auto"/>
              <w:left w:val="nil"/>
              <w:bottom w:val="nil"/>
              <w:right w:val="single" w:sz="4" w:space="0" w:color="auto"/>
            </w:tcBorders>
            <w:shd w:val="clear" w:color="auto" w:fill="auto"/>
            <w:hideMark/>
          </w:tcPr>
          <w:p w14:paraId="0782CE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single" w:sz="4" w:space="0" w:color="auto"/>
              <w:left w:val="nil"/>
              <w:bottom w:val="nil"/>
              <w:right w:val="single" w:sz="4" w:space="0" w:color="auto"/>
            </w:tcBorders>
            <w:shd w:val="clear" w:color="auto" w:fill="auto"/>
            <w:hideMark/>
          </w:tcPr>
          <w:p w14:paraId="403DBE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single" w:sz="4" w:space="0" w:color="auto"/>
              <w:left w:val="nil"/>
              <w:bottom w:val="nil"/>
              <w:right w:val="single" w:sz="8" w:space="0" w:color="auto"/>
            </w:tcBorders>
            <w:shd w:val="clear" w:color="auto" w:fill="auto"/>
            <w:hideMark/>
          </w:tcPr>
          <w:p w14:paraId="1BB097BF" w14:textId="1311F0AC"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MIE</w:t>
            </w:r>
            <w:r w:rsidR="005C1DD9">
              <w:rPr>
                <w:rFonts w:ascii="Garamond" w:hAnsi="Garamond" w:cs="Arial"/>
                <w:color w:val="000000"/>
                <w:sz w:val="6"/>
                <w:szCs w:val="12"/>
                <w:lang w:eastAsia="en-US"/>
              </w:rPr>
              <w:t>-s</w:t>
            </w:r>
          </w:p>
        </w:tc>
        <w:tc>
          <w:tcPr>
            <w:tcW w:w="236" w:type="dxa"/>
            <w:tcBorders>
              <w:top w:val="nil"/>
              <w:left w:val="nil"/>
              <w:bottom w:val="nil"/>
              <w:right w:val="nil"/>
            </w:tcBorders>
            <w:shd w:val="clear" w:color="000000" w:fill="EE0000"/>
            <w:vAlign w:val="center"/>
            <w:hideMark/>
          </w:tcPr>
          <w:p w14:paraId="60BA35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nil"/>
            </w:tcBorders>
            <w:shd w:val="clear" w:color="000000" w:fill="DEEAF6"/>
            <w:hideMark/>
          </w:tcPr>
          <w:p w14:paraId="62A37BC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2.3.3</w:t>
            </w:r>
            <w:r w:rsidRPr="00B907A3">
              <w:rPr>
                <w:rFonts w:ascii="Garamond" w:hAnsi="Garamond" w:cs="Arial"/>
                <w:b/>
                <w:bCs/>
                <w:color w:val="000000"/>
                <w:sz w:val="6"/>
                <w:szCs w:val="12"/>
                <w:lang w:eastAsia="en-US"/>
              </w:rPr>
              <w:br/>
              <w:t>Regjistrimi dhe ndjekja e IKP-ve që lidhen me shpejtësinë mesatare</w:t>
            </w:r>
          </w:p>
        </w:tc>
        <w:tc>
          <w:tcPr>
            <w:tcW w:w="520" w:type="dxa"/>
            <w:tcBorders>
              <w:top w:val="nil"/>
              <w:left w:val="single" w:sz="4" w:space="0" w:color="auto"/>
              <w:bottom w:val="nil"/>
              <w:right w:val="single" w:sz="4" w:space="0" w:color="auto"/>
            </w:tcBorders>
            <w:shd w:val="clear" w:color="auto" w:fill="auto"/>
            <w:hideMark/>
          </w:tcPr>
          <w:p w14:paraId="34CFE9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512" w:type="dxa"/>
            <w:tcBorders>
              <w:top w:val="nil"/>
              <w:left w:val="nil"/>
              <w:bottom w:val="nil"/>
              <w:right w:val="single" w:sz="4" w:space="0" w:color="auto"/>
            </w:tcBorders>
            <w:shd w:val="clear" w:color="auto" w:fill="auto"/>
            <w:hideMark/>
          </w:tcPr>
          <w:p w14:paraId="2733BD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ARRSH,</w:t>
            </w:r>
            <w:r w:rsidRPr="00B907A3">
              <w:rPr>
                <w:rFonts w:ascii="Garamond" w:hAnsi="Garamond" w:cs="Arial"/>
                <w:color w:val="000000"/>
                <w:sz w:val="6"/>
                <w:szCs w:val="12"/>
                <w:lang w:eastAsia="en-US"/>
              </w:rPr>
              <w:br/>
              <w:t>Bashkitë</w:t>
            </w:r>
          </w:p>
        </w:tc>
        <w:tc>
          <w:tcPr>
            <w:tcW w:w="367" w:type="dxa"/>
            <w:tcBorders>
              <w:top w:val="nil"/>
              <w:left w:val="nil"/>
              <w:bottom w:val="single" w:sz="4" w:space="0" w:color="auto"/>
              <w:right w:val="single" w:sz="8" w:space="0" w:color="auto"/>
            </w:tcBorders>
            <w:shd w:val="clear" w:color="auto" w:fill="auto"/>
            <w:hideMark/>
          </w:tcPr>
          <w:p w14:paraId="06FD7A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2028-2029</w:t>
            </w:r>
          </w:p>
        </w:tc>
        <w:tc>
          <w:tcPr>
            <w:tcW w:w="372" w:type="dxa"/>
            <w:tcBorders>
              <w:top w:val="single" w:sz="4" w:space="0" w:color="auto"/>
              <w:left w:val="nil"/>
              <w:bottom w:val="nil"/>
              <w:right w:val="single" w:sz="4" w:space="0" w:color="auto"/>
            </w:tcBorders>
            <w:shd w:val="clear" w:color="auto" w:fill="auto"/>
            <w:hideMark/>
          </w:tcPr>
          <w:p w14:paraId="455B5F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auto" w:fill="auto"/>
            <w:hideMark/>
          </w:tcPr>
          <w:p w14:paraId="5D5AA2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single" w:sz="4" w:space="0" w:color="auto"/>
              <w:left w:val="nil"/>
              <w:bottom w:val="nil"/>
              <w:right w:val="single" w:sz="4" w:space="0" w:color="auto"/>
            </w:tcBorders>
            <w:shd w:val="clear" w:color="auto" w:fill="auto"/>
            <w:hideMark/>
          </w:tcPr>
          <w:p w14:paraId="791C09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nil"/>
              <w:right w:val="single" w:sz="4" w:space="0" w:color="auto"/>
            </w:tcBorders>
            <w:shd w:val="clear" w:color="auto" w:fill="auto"/>
            <w:hideMark/>
          </w:tcPr>
          <w:p w14:paraId="43ACA3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nil"/>
              <w:right w:val="single" w:sz="4" w:space="0" w:color="auto"/>
            </w:tcBorders>
            <w:shd w:val="clear" w:color="auto" w:fill="auto"/>
            <w:hideMark/>
          </w:tcPr>
          <w:p w14:paraId="51146A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single" w:sz="4" w:space="0" w:color="auto"/>
              <w:left w:val="nil"/>
              <w:bottom w:val="nil"/>
              <w:right w:val="single" w:sz="8" w:space="0" w:color="auto"/>
            </w:tcBorders>
            <w:shd w:val="clear" w:color="auto" w:fill="auto"/>
            <w:hideMark/>
          </w:tcPr>
          <w:p w14:paraId="173937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nil"/>
              <w:right w:val="single" w:sz="4" w:space="0" w:color="auto"/>
            </w:tcBorders>
            <w:shd w:val="clear" w:color="auto" w:fill="auto"/>
            <w:hideMark/>
          </w:tcPr>
          <w:p w14:paraId="09255B8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single" w:sz="4" w:space="0" w:color="auto"/>
              <w:left w:val="nil"/>
              <w:bottom w:val="nil"/>
              <w:right w:val="single" w:sz="4" w:space="0" w:color="auto"/>
            </w:tcBorders>
            <w:shd w:val="clear" w:color="auto" w:fill="auto"/>
            <w:hideMark/>
          </w:tcPr>
          <w:p w14:paraId="7935C8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single" w:sz="4" w:space="0" w:color="auto"/>
              <w:left w:val="nil"/>
              <w:bottom w:val="nil"/>
              <w:right w:val="single" w:sz="4" w:space="0" w:color="auto"/>
            </w:tcBorders>
            <w:shd w:val="clear" w:color="000000" w:fill="FFFFFF"/>
            <w:hideMark/>
          </w:tcPr>
          <w:p w14:paraId="1F5F6A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single" w:sz="4" w:space="0" w:color="auto"/>
              <w:left w:val="nil"/>
              <w:bottom w:val="nil"/>
              <w:right w:val="single" w:sz="4" w:space="0" w:color="auto"/>
            </w:tcBorders>
            <w:shd w:val="clear" w:color="000000" w:fill="FFFFFF"/>
            <w:hideMark/>
          </w:tcPr>
          <w:p w14:paraId="2A8128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82" w:type="dxa"/>
            <w:tcBorders>
              <w:top w:val="single" w:sz="4" w:space="0" w:color="auto"/>
              <w:left w:val="nil"/>
              <w:bottom w:val="nil"/>
              <w:right w:val="single" w:sz="4" w:space="0" w:color="auto"/>
            </w:tcBorders>
            <w:shd w:val="clear" w:color="000000" w:fill="FFFFFF"/>
            <w:hideMark/>
          </w:tcPr>
          <w:p w14:paraId="380D4CC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nil"/>
              <w:right w:val="nil"/>
            </w:tcBorders>
            <w:shd w:val="clear" w:color="000000" w:fill="FFFFFF"/>
            <w:hideMark/>
          </w:tcPr>
          <w:p w14:paraId="7146EE8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single" w:sz="4" w:space="0" w:color="auto"/>
              <w:left w:val="single" w:sz="8" w:space="0" w:color="auto"/>
              <w:bottom w:val="nil"/>
              <w:right w:val="single" w:sz="4" w:space="0" w:color="auto"/>
            </w:tcBorders>
            <w:shd w:val="clear" w:color="000000" w:fill="FFFFFF"/>
            <w:hideMark/>
          </w:tcPr>
          <w:p w14:paraId="49392C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single" w:sz="4" w:space="0" w:color="auto"/>
              <w:left w:val="nil"/>
              <w:bottom w:val="nil"/>
              <w:right w:val="single" w:sz="4" w:space="0" w:color="auto"/>
            </w:tcBorders>
            <w:shd w:val="clear" w:color="000000" w:fill="FFFFFF"/>
            <w:hideMark/>
          </w:tcPr>
          <w:p w14:paraId="317494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single" w:sz="4" w:space="0" w:color="auto"/>
              <w:left w:val="nil"/>
              <w:bottom w:val="nil"/>
              <w:right w:val="single" w:sz="4" w:space="0" w:color="auto"/>
            </w:tcBorders>
            <w:shd w:val="clear" w:color="000000" w:fill="FFFFFF"/>
            <w:hideMark/>
          </w:tcPr>
          <w:p w14:paraId="607141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single" w:sz="4" w:space="0" w:color="auto"/>
              <w:left w:val="nil"/>
              <w:bottom w:val="nil"/>
              <w:right w:val="single" w:sz="4" w:space="0" w:color="auto"/>
            </w:tcBorders>
            <w:shd w:val="clear" w:color="000000" w:fill="FFFFFF"/>
            <w:hideMark/>
          </w:tcPr>
          <w:p w14:paraId="73EA86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82" w:type="dxa"/>
            <w:tcBorders>
              <w:top w:val="single" w:sz="4" w:space="0" w:color="auto"/>
              <w:left w:val="nil"/>
              <w:bottom w:val="nil"/>
              <w:right w:val="single" w:sz="4" w:space="0" w:color="auto"/>
            </w:tcBorders>
            <w:shd w:val="clear" w:color="000000" w:fill="FFFFFF"/>
            <w:hideMark/>
          </w:tcPr>
          <w:p w14:paraId="0746C0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nil"/>
              <w:right w:val="single" w:sz="8" w:space="0" w:color="auto"/>
            </w:tcBorders>
            <w:shd w:val="clear" w:color="000000" w:fill="FFFFFF"/>
            <w:hideMark/>
          </w:tcPr>
          <w:p w14:paraId="405EA99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464" w:type="dxa"/>
            <w:tcBorders>
              <w:top w:val="single" w:sz="4" w:space="0" w:color="auto"/>
              <w:left w:val="nil"/>
              <w:bottom w:val="single" w:sz="4" w:space="0" w:color="auto"/>
              <w:right w:val="single" w:sz="4" w:space="0" w:color="auto"/>
            </w:tcBorders>
            <w:shd w:val="clear" w:color="000000" w:fill="FFFFFF"/>
            <w:hideMark/>
          </w:tcPr>
          <w:p w14:paraId="0A9C3B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IKP-të e regjistruara dhe të monitoruara</w:t>
            </w:r>
          </w:p>
        </w:tc>
        <w:tc>
          <w:tcPr>
            <w:tcW w:w="442" w:type="dxa"/>
            <w:tcBorders>
              <w:top w:val="single" w:sz="4" w:space="0" w:color="auto"/>
              <w:left w:val="nil"/>
              <w:bottom w:val="single" w:sz="4" w:space="0" w:color="auto"/>
              <w:right w:val="single" w:sz="4" w:space="0" w:color="auto"/>
            </w:tcBorders>
            <w:shd w:val="clear" w:color="000000" w:fill="FFFFFF"/>
            <w:hideMark/>
          </w:tcPr>
          <w:p w14:paraId="26B5BB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IT-së</w:t>
            </w:r>
          </w:p>
        </w:tc>
        <w:tc>
          <w:tcPr>
            <w:tcW w:w="287" w:type="dxa"/>
            <w:tcBorders>
              <w:top w:val="single" w:sz="4" w:space="0" w:color="auto"/>
              <w:left w:val="nil"/>
              <w:bottom w:val="nil"/>
              <w:right w:val="single" w:sz="8" w:space="0" w:color="auto"/>
            </w:tcBorders>
            <w:shd w:val="clear" w:color="000000" w:fill="FFFFFF"/>
            <w:hideMark/>
          </w:tcPr>
          <w:p w14:paraId="24F6CE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B5E1F09"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8DFEC3F" w14:textId="77777777" w:rsidTr="00962754">
        <w:trPr>
          <w:trHeight w:val="20"/>
        </w:trPr>
        <w:tc>
          <w:tcPr>
            <w:tcW w:w="718" w:type="dxa"/>
            <w:tcBorders>
              <w:top w:val="single" w:sz="4" w:space="0" w:color="auto"/>
              <w:left w:val="single" w:sz="4" w:space="0" w:color="auto"/>
              <w:bottom w:val="single" w:sz="4" w:space="0" w:color="auto"/>
              <w:right w:val="single" w:sz="4" w:space="0" w:color="auto"/>
            </w:tcBorders>
            <w:shd w:val="clear" w:color="000000" w:fill="DEEAF6"/>
            <w:hideMark/>
          </w:tcPr>
          <w:p w14:paraId="3108B63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4" w:space="0" w:color="auto"/>
              <w:left w:val="nil"/>
              <w:bottom w:val="single" w:sz="4" w:space="0" w:color="auto"/>
              <w:right w:val="single" w:sz="4" w:space="0" w:color="auto"/>
            </w:tcBorders>
            <w:shd w:val="clear" w:color="auto" w:fill="auto"/>
            <w:hideMark/>
          </w:tcPr>
          <w:p w14:paraId="36436F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4" w:space="0" w:color="auto"/>
              <w:left w:val="nil"/>
              <w:bottom w:val="single" w:sz="4" w:space="0" w:color="auto"/>
              <w:right w:val="single" w:sz="4" w:space="0" w:color="auto"/>
            </w:tcBorders>
            <w:shd w:val="clear" w:color="auto" w:fill="auto"/>
            <w:hideMark/>
          </w:tcPr>
          <w:p w14:paraId="540B88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single" w:sz="4" w:space="0" w:color="auto"/>
              <w:left w:val="nil"/>
              <w:bottom w:val="single" w:sz="4" w:space="0" w:color="auto"/>
              <w:right w:val="single" w:sz="4" w:space="0" w:color="auto"/>
            </w:tcBorders>
            <w:shd w:val="clear" w:color="auto" w:fill="auto"/>
            <w:hideMark/>
          </w:tcPr>
          <w:p w14:paraId="596E47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single" w:sz="4" w:space="0" w:color="auto"/>
              <w:left w:val="nil"/>
              <w:bottom w:val="single" w:sz="4" w:space="0" w:color="auto"/>
              <w:right w:val="single" w:sz="4" w:space="0" w:color="auto"/>
            </w:tcBorders>
            <w:shd w:val="clear" w:color="auto" w:fill="auto"/>
            <w:hideMark/>
          </w:tcPr>
          <w:p w14:paraId="76AB03D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19BE52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single" w:sz="4" w:space="0" w:color="auto"/>
              <w:left w:val="nil"/>
              <w:bottom w:val="single" w:sz="4" w:space="0" w:color="auto"/>
              <w:right w:val="single" w:sz="4" w:space="0" w:color="auto"/>
            </w:tcBorders>
            <w:shd w:val="clear" w:color="auto" w:fill="auto"/>
            <w:hideMark/>
          </w:tcPr>
          <w:p w14:paraId="356CEF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single" w:sz="4" w:space="0" w:color="auto"/>
              <w:left w:val="nil"/>
              <w:bottom w:val="single" w:sz="4" w:space="0" w:color="auto"/>
              <w:right w:val="single" w:sz="4" w:space="0" w:color="auto"/>
            </w:tcBorders>
            <w:shd w:val="clear" w:color="auto" w:fill="auto"/>
            <w:hideMark/>
          </w:tcPr>
          <w:p w14:paraId="2F3A1F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4" w:space="0" w:color="auto"/>
              <w:right w:val="single" w:sz="4" w:space="0" w:color="auto"/>
            </w:tcBorders>
            <w:shd w:val="clear" w:color="auto" w:fill="auto"/>
            <w:hideMark/>
          </w:tcPr>
          <w:p w14:paraId="63E723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single" w:sz="4" w:space="0" w:color="auto"/>
              <w:left w:val="nil"/>
              <w:bottom w:val="single" w:sz="4" w:space="0" w:color="auto"/>
              <w:right w:val="nil"/>
            </w:tcBorders>
            <w:shd w:val="clear" w:color="000000" w:fill="EE0000"/>
            <w:vAlign w:val="center"/>
            <w:hideMark/>
          </w:tcPr>
          <w:p w14:paraId="355580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DEEAF6"/>
            <w:hideMark/>
          </w:tcPr>
          <w:p w14:paraId="2C3C53E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4" w:space="0" w:color="auto"/>
              <w:left w:val="nil"/>
              <w:bottom w:val="single" w:sz="4" w:space="0" w:color="auto"/>
              <w:right w:val="single" w:sz="4" w:space="0" w:color="auto"/>
            </w:tcBorders>
            <w:shd w:val="clear" w:color="auto" w:fill="auto"/>
            <w:hideMark/>
          </w:tcPr>
          <w:p w14:paraId="216BAD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auto" w:fill="auto"/>
            <w:hideMark/>
          </w:tcPr>
          <w:p w14:paraId="3AF250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7D03BD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13873D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465863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single" w:sz="4" w:space="0" w:color="auto"/>
              <w:left w:val="nil"/>
              <w:bottom w:val="single" w:sz="4" w:space="0" w:color="auto"/>
              <w:right w:val="single" w:sz="4" w:space="0" w:color="auto"/>
            </w:tcBorders>
            <w:shd w:val="clear" w:color="auto" w:fill="auto"/>
            <w:hideMark/>
          </w:tcPr>
          <w:p w14:paraId="47F148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single" w:sz="4" w:space="0" w:color="auto"/>
              <w:right w:val="single" w:sz="4" w:space="0" w:color="auto"/>
            </w:tcBorders>
            <w:shd w:val="clear" w:color="auto" w:fill="auto"/>
            <w:hideMark/>
          </w:tcPr>
          <w:p w14:paraId="0E84F1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single" w:sz="4" w:space="0" w:color="auto"/>
              <w:right w:val="single" w:sz="4" w:space="0" w:color="auto"/>
            </w:tcBorders>
            <w:shd w:val="clear" w:color="auto" w:fill="auto"/>
            <w:hideMark/>
          </w:tcPr>
          <w:p w14:paraId="1D3DCD3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single" w:sz="4" w:space="0" w:color="auto"/>
              <w:left w:val="nil"/>
              <w:bottom w:val="single" w:sz="4" w:space="0" w:color="auto"/>
              <w:right w:val="single" w:sz="8" w:space="0" w:color="auto"/>
            </w:tcBorders>
            <w:shd w:val="clear" w:color="auto" w:fill="auto"/>
            <w:hideMark/>
          </w:tcPr>
          <w:p w14:paraId="66F6C5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24063EE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1EA87E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single" w:sz="4" w:space="0" w:color="auto"/>
              <w:left w:val="nil"/>
              <w:bottom w:val="single" w:sz="4" w:space="0" w:color="auto"/>
              <w:right w:val="single" w:sz="4" w:space="0" w:color="auto"/>
            </w:tcBorders>
            <w:shd w:val="clear" w:color="000000" w:fill="FFFFFF"/>
            <w:hideMark/>
          </w:tcPr>
          <w:p w14:paraId="4114AE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51754B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1BEE3D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single" w:sz="4" w:space="0" w:color="auto"/>
              <w:right w:val="nil"/>
            </w:tcBorders>
            <w:shd w:val="clear" w:color="000000" w:fill="FFFFFF"/>
            <w:hideMark/>
          </w:tcPr>
          <w:p w14:paraId="1DBC39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single" w:sz="8" w:space="0" w:color="auto"/>
              <w:bottom w:val="single" w:sz="4" w:space="0" w:color="auto"/>
              <w:right w:val="single" w:sz="4" w:space="0" w:color="auto"/>
            </w:tcBorders>
            <w:shd w:val="clear" w:color="000000" w:fill="FFFFFF"/>
            <w:hideMark/>
          </w:tcPr>
          <w:p w14:paraId="58F666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FFFFF"/>
            <w:hideMark/>
          </w:tcPr>
          <w:p w14:paraId="7FC6FA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single" w:sz="4" w:space="0" w:color="auto"/>
              <w:left w:val="nil"/>
              <w:bottom w:val="single" w:sz="4" w:space="0" w:color="auto"/>
              <w:right w:val="single" w:sz="4" w:space="0" w:color="auto"/>
            </w:tcBorders>
            <w:shd w:val="clear" w:color="000000" w:fill="FFFFFF"/>
            <w:hideMark/>
          </w:tcPr>
          <w:p w14:paraId="0F7809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0B20CB7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042996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single" w:sz="4" w:space="0" w:color="auto"/>
              <w:right w:val="single" w:sz="8" w:space="0" w:color="auto"/>
            </w:tcBorders>
            <w:shd w:val="clear" w:color="000000" w:fill="FFFFFF"/>
            <w:hideMark/>
          </w:tcPr>
          <w:p w14:paraId="4A8B0D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539BE3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hideMark/>
          </w:tcPr>
          <w:p w14:paraId="1E655B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single" w:sz="4" w:space="0" w:color="auto"/>
              <w:left w:val="nil"/>
              <w:bottom w:val="single" w:sz="4" w:space="0" w:color="auto"/>
              <w:right w:val="single" w:sz="4" w:space="0" w:color="auto"/>
            </w:tcBorders>
            <w:shd w:val="clear" w:color="000000" w:fill="FFFFFF"/>
            <w:hideMark/>
          </w:tcPr>
          <w:p w14:paraId="317066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single" w:sz="4" w:space="0" w:color="auto"/>
              <w:left w:val="nil"/>
              <w:bottom w:val="single" w:sz="4" w:space="0" w:color="auto"/>
              <w:right w:val="single" w:sz="4" w:space="0" w:color="auto"/>
            </w:tcBorders>
            <w:shd w:val="clear" w:color="auto" w:fill="auto"/>
            <w:noWrap/>
            <w:vAlign w:val="bottom"/>
            <w:hideMark/>
          </w:tcPr>
          <w:p w14:paraId="401035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r>
      <w:tr w:rsidR="00962754" w:rsidRPr="00B907A3" w14:paraId="5842EA8E" w14:textId="77777777" w:rsidTr="00962754">
        <w:trPr>
          <w:trHeight w:val="20"/>
        </w:trPr>
        <w:tc>
          <w:tcPr>
            <w:tcW w:w="718" w:type="dxa"/>
            <w:tcBorders>
              <w:top w:val="nil"/>
              <w:left w:val="single" w:sz="8" w:space="0" w:color="auto"/>
              <w:bottom w:val="single" w:sz="8" w:space="0" w:color="auto"/>
              <w:right w:val="single" w:sz="4" w:space="0" w:color="auto"/>
            </w:tcBorders>
            <w:shd w:val="clear" w:color="000000" w:fill="DEEAF6"/>
            <w:hideMark/>
          </w:tcPr>
          <w:p w14:paraId="51771AC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2.4</w:t>
            </w:r>
            <w:r w:rsidRPr="00B907A3">
              <w:rPr>
                <w:rFonts w:ascii="Garamond" w:hAnsi="Garamond" w:cs="Arial"/>
                <w:b/>
                <w:bCs/>
                <w:color w:val="000000"/>
                <w:sz w:val="6"/>
                <w:szCs w:val="12"/>
                <w:lang w:eastAsia="en-US"/>
              </w:rPr>
              <w:br/>
              <w:t>Forcimi i kapacitetit institucional të administratës rrugore</w:t>
            </w:r>
          </w:p>
        </w:tc>
        <w:tc>
          <w:tcPr>
            <w:tcW w:w="571" w:type="dxa"/>
            <w:tcBorders>
              <w:top w:val="nil"/>
              <w:left w:val="nil"/>
              <w:bottom w:val="single" w:sz="8" w:space="0" w:color="auto"/>
              <w:right w:val="single" w:sz="4" w:space="0" w:color="auto"/>
            </w:tcBorders>
            <w:shd w:val="clear" w:color="auto" w:fill="auto"/>
            <w:hideMark/>
          </w:tcPr>
          <w:p w14:paraId="614C3C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Krijimi i njësisë së sigurisë rrugore në ARRSH</w:t>
            </w:r>
          </w:p>
        </w:tc>
        <w:tc>
          <w:tcPr>
            <w:tcW w:w="470" w:type="dxa"/>
            <w:tcBorders>
              <w:top w:val="nil"/>
              <w:left w:val="nil"/>
              <w:bottom w:val="single" w:sz="8" w:space="0" w:color="auto"/>
              <w:right w:val="single" w:sz="4" w:space="0" w:color="auto"/>
            </w:tcBorders>
            <w:shd w:val="clear" w:color="auto" w:fill="auto"/>
            <w:hideMark/>
          </w:tcPr>
          <w:p w14:paraId="44BD019C" w14:textId="31C9598D"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8" w:space="0" w:color="auto"/>
              <w:right w:val="single" w:sz="4" w:space="0" w:color="auto"/>
            </w:tcBorders>
            <w:shd w:val="clear" w:color="auto" w:fill="auto"/>
            <w:hideMark/>
          </w:tcPr>
          <w:p w14:paraId="21F3A3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8" w:space="0" w:color="auto"/>
              <w:right w:val="single" w:sz="4" w:space="0" w:color="auto"/>
            </w:tcBorders>
            <w:shd w:val="clear" w:color="auto" w:fill="auto"/>
            <w:hideMark/>
          </w:tcPr>
          <w:p w14:paraId="1AD719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8" w:space="0" w:color="auto"/>
              <w:right w:val="single" w:sz="4" w:space="0" w:color="auto"/>
            </w:tcBorders>
            <w:shd w:val="clear" w:color="auto" w:fill="auto"/>
            <w:hideMark/>
          </w:tcPr>
          <w:p w14:paraId="48F7D2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66" w:type="dxa"/>
            <w:tcBorders>
              <w:top w:val="nil"/>
              <w:left w:val="nil"/>
              <w:bottom w:val="single" w:sz="8" w:space="0" w:color="auto"/>
              <w:right w:val="single" w:sz="4" w:space="0" w:color="auto"/>
            </w:tcBorders>
            <w:shd w:val="clear" w:color="auto" w:fill="auto"/>
            <w:hideMark/>
          </w:tcPr>
          <w:p w14:paraId="6644F9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8" w:space="0" w:color="auto"/>
              <w:right w:val="single" w:sz="4" w:space="0" w:color="auto"/>
            </w:tcBorders>
            <w:shd w:val="clear" w:color="auto" w:fill="auto"/>
            <w:hideMark/>
          </w:tcPr>
          <w:p w14:paraId="7F3028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8" w:space="0" w:color="auto"/>
              <w:right w:val="single" w:sz="8" w:space="0" w:color="auto"/>
            </w:tcBorders>
            <w:shd w:val="clear" w:color="auto" w:fill="auto"/>
            <w:hideMark/>
          </w:tcPr>
          <w:p w14:paraId="757D8137" w14:textId="75B1D0AC"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p>
        </w:tc>
        <w:tc>
          <w:tcPr>
            <w:tcW w:w="236" w:type="dxa"/>
            <w:tcBorders>
              <w:top w:val="nil"/>
              <w:left w:val="nil"/>
              <w:bottom w:val="single" w:sz="4" w:space="0" w:color="auto"/>
              <w:right w:val="nil"/>
            </w:tcBorders>
            <w:shd w:val="clear" w:color="000000" w:fill="EE0000"/>
            <w:hideMark/>
          </w:tcPr>
          <w:p w14:paraId="6AD31C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DEEAF6"/>
            <w:hideMark/>
          </w:tcPr>
          <w:p w14:paraId="400BA8B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2.4.1</w:t>
            </w:r>
            <w:r w:rsidRPr="00B907A3">
              <w:rPr>
                <w:rFonts w:ascii="Garamond" w:hAnsi="Garamond" w:cs="Arial"/>
                <w:b/>
                <w:bCs/>
                <w:color w:val="000000"/>
                <w:sz w:val="6"/>
                <w:szCs w:val="12"/>
                <w:lang w:eastAsia="en-US"/>
              </w:rPr>
              <w:br/>
              <w:t>Krijimi njësisë SRr në ARSH me personelin përkatës</w:t>
            </w:r>
          </w:p>
        </w:tc>
        <w:tc>
          <w:tcPr>
            <w:tcW w:w="520" w:type="dxa"/>
            <w:tcBorders>
              <w:top w:val="nil"/>
              <w:left w:val="nil"/>
              <w:bottom w:val="single" w:sz="8" w:space="0" w:color="auto"/>
              <w:right w:val="single" w:sz="4" w:space="0" w:color="auto"/>
            </w:tcBorders>
            <w:shd w:val="clear" w:color="auto" w:fill="auto"/>
            <w:hideMark/>
          </w:tcPr>
          <w:p w14:paraId="1A5465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ARA</w:t>
            </w:r>
          </w:p>
        </w:tc>
        <w:tc>
          <w:tcPr>
            <w:tcW w:w="512" w:type="dxa"/>
            <w:tcBorders>
              <w:top w:val="nil"/>
              <w:left w:val="nil"/>
              <w:bottom w:val="single" w:sz="8" w:space="0" w:color="auto"/>
              <w:right w:val="single" w:sz="4" w:space="0" w:color="auto"/>
            </w:tcBorders>
            <w:shd w:val="clear" w:color="auto" w:fill="auto"/>
            <w:hideMark/>
          </w:tcPr>
          <w:p w14:paraId="32B74A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MoIE</w:t>
            </w:r>
          </w:p>
        </w:tc>
        <w:tc>
          <w:tcPr>
            <w:tcW w:w="367" w:type="dxa"/>
            <w:tcBorders>
              <w:top w:val="nil"/>
              <w:left w:val="nil"/>
              <w:bottom w:val="single" w:sz="8" w:space="0" w:color="auto"/>
              <w:right w:val="single" w:sz="8" w:space="0" w:color="auto"/>
            </w:tcBorders>
            <w:shd w:val="clear" w:color="auto" w:fill="auto"/>
            <w:hideMark/>
          </w:tcPr>
          <w:p w14:paraId="3CA454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8" w:space="0" w:color="auto"/>
              <w:right w:val="single" w:sz="4" w:space="0" w:color="auto"/>
            </w:tcBorders>
            <w:shd w:val="clear" w:color="auto" w:fill="auto"/>
            <w:hideMark/>
          </w:tcPr>
          <w:p w14:paraId="073810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8" w:space="0" w:color="auto"/>
              <w:right w:val="single" w:sz="4" w:space="0" w:color="auto"/>
            </w:tcBorders>
            <w:shd w:val="clear" w:color="auto" w:fill="auto"/>
            <w:hideMark/>
          </w:tcPr>
          <w:p w14:paraId="0CEAFD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8" w:space="0" w:color="auto"/>
              <w:right w:val="single" w:sz="4" w:space="0" w:color="auto"/>
            </w:tcBorders>
            <w:shd w:val="clear" w:color="auto" w:fill="auto"/>
            <w:hideMark/>
          </w:tcPr>
          <w:p w14:paraId="2E1822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8" w:space="0" w:color="auto"/>
              <w:right w:val="single" w:sz="4" w:space="0" w:color="auto"/>
            </w:tcBorders>
            <w:shd w:val="clear" w:color="auto" w:fill="auto"/>
            <w:hideMark/>
          </w:tcPr>
          <w:p w14:paraId="6EEF7D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8" w:space="0" w:color="auto"/>
              <w:right w:val="single" w:sz="4" w:space="0" w:color="auto"/>
            </w:tcBorders>
            <w:shd w:val="clear" w:color="auto" w:fill="auto"/>
            <w:hideMark/>
          </w:tcPr>
          <w:p w14:paraId="74A340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8" w:space="0" w:color="auto"/>
              <w:right w:val="single" w:sz="8" w:space="0" w:color="auto"/>
            </w:tcBorders>
            <w:shd w:val="clear" w:color="auto" w:fill="auto"/>
            <w:hideMark/>
          </w:tcPr>
          <w:p w14:paraId="35F818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auto" w:fill="auto"/>
            <w:hideMark/>
          </w:tcPr>
          <w:p w14:paraId="09D213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auto" w:fill="auto"/>
            <w:hideMark/>
          </w:tcPr>
          <w:p w14:paraId="5B3BD2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8" w:space="0" w:color="auto"/>
              <w:right w:val="single" w:sz="4" w:space="0" w:color="auto"/>
            </w:tcBorders>
            <w:shd w:val="clear" w:color="000000" w:fill="FFFFFF"/>
            <w:hideMark/>
          </w:tcPr>
          <w:p w14:paraId="20FC15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FFFFFF"/>
            <w:hideMark/>
          </w:tcPr>
          <w:p w14:paraId="01D34A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FFFFFF"/>
            <w:hideMark/>
          </w:tcPr>
          <w:p w14:paraId="21E250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8" w:space="0" w:color="auto"/>
              <w:right w:val="nil"/>
            </w:tcBorders>
            <w:shd w:val="clear" w:color="000000" w:fill="FFFFFF"/>
            <w:hideMark/>
          </w:tcPr>
          <w:p w14:paraId="0226464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single" w:sz="8" w:space="0" w:color="auto"/>
              <w:bottom w:val="single" w:sz="8" w:space="0" w:color="auto"/>
              <w:right w:val="single" w:sz="4" w:space="0" w:color="auto"/>
            </w:tcBorders>
            <w:shd w:val="clear" w:color="000000" w:fill="FFFFFF"/>
            <w:hideMark/>
          </w:tcPr>
          <w:p w14:paraId="116352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8" w:space="0" w:color="auto"/>
              <w:right w:val="single" w:sz="4" w:space="0" w:color="auto"/>
            </w:tcBorders>
            <w:shd w:val="clear" w:color="000000" w:fill="FFFFFF"/>
            <w:hideMark/>
          </w:tcPr>
          <w:p w14:paraId="2A6125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8" w:space="0" w:color="auto"/>
              <w:right w:val="single" w:sz="4" w:space="0" w:color="auto"/>
            </w:tcBorders>
            <w:shd w:val="clear" w:color="000000" w:fill="FFFFFF"/>
            <w:hideMark/>
          </w:tcPr>
          <w:p w14:paraId="6BFA2B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FFFFFF"/>
            <w:hideMark/>
          </w:tcPr>
          <w:p w14:paraId="777504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FFFFFF"/>
            <w:hideMark/>
          </w:tcPr>
          <w:p w14:paraId="5F38EE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8" w:space="0" w:color="auto"/>
              <w:right w:val="single" w:sz="8" w:space="0" w:color="auto"/>
            </w:tcBorders>
            <w:shd w:val="clear" w:color="000000" w:fill="FFFFFF"/>
            <w:hideMark/>
          </w:tcPr>
          <w:p w14:paraId="261016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8" w:space="0" w:color="auto"/>
              <w:right w:val="single" w:sz="4" w:space="0" w:color="auto"/>
            </w:tcBorders>
            <w:shd w:val="clear" w:color="000000" w:fill="FFFFFF"/>
            <w:hideMark/>
          </w:tcPr>
          <w:p w14:paraId="524965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Njësia e SR-së e krijuar</w:t>
            </w:r>
          </w:p>
        </w:tc>
        <w:tc>
          <w:tcPr>
            <w:tcW w:w="442" w:type="dxa"/>
            <w:tcBorders>
              <w:top w:val="nil"/>
              <w:left w:val="nil"/>
              <w:bottom w:val="single" w:sz="8" w:space="0" w:color="auto"/>
              <w:right w:val="single" w:sz="4" w:space="0" w:color="auto"/>
            </w:tcBorders>
            <w:shd w:val="clear" w:color="000000" w:fill="FFFFFF"/>
            <w:hideMark/>
          </w:tcPr>
          <w:p w14:paraId="64BF95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ARRSH-së</w:t>
            </w:r>
          </w:p>
        </w:tc>
        <w:tc>
          <w:tcPr>
            <w:tcW w:w="287" w:type="dxa"/>
            <w:tcBorders>
              <w:top w:val="nil"/>
              <w:left w:val="nil"/>
              <w:bottom w:val="single" w:sz="8" w:space="0" w:color="auto"/>
              <w:right w:val="single" w:sz="8" w:space="0" w:color="auto"/>
            </w:tcBorders>
            <w:shd w:val="clear" w:color="000000" w:fill="FFFFFF"/>
            <w:hideMark/>
          </w:tcPr>
          <w:p w14:paraId="24CEDD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F0E7247"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CB2CB28"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EE0000"/>
            <w:vAlign w:val="center"/>
            <w:hideMark/>
          </w:tcPr>
          <w:p w14:paraId="1A2D1E7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EE0000"/>
            <w:vAlign w:val="center"/>
            <w:hideMark/>
          </w:tcPr>
          <w:p w14:paraId="4FF726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EE0000"/>
            <w:vAlign w:val="center"/>
            <w:hideMark/>
          </w:tcPr>
          <w:p w14:paraId="579889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EE0000"/>
            <w:vAlign w:val="center"/>
            <w:hideMark/>
          </w:tcPr>
          <w:p w14:paraId="11E667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4F178F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55E28D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6F4B83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EE0000"/>
            <w:vAlign w:val="center"/>
            <w:hideMark/>
          </w:tcPr>
          <w:p w14:paraId="3F0823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EE0000"/>
            <w:vAlign w:val="center"/>
            <w:hideMark/>
          </w:tcPr>
          <w:p w14:paraId="3643C57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EE0000"/>
            <w:vAlign w:val="center"/>
            <w:hideMark/>
          </w:tcPr>
          <w:p w14:paraId="60FB61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EE0000"/>
            <w:vAlign w:val="center"/>
            <w:hideMark/>
          </w:tcPr>
          <w:p w14:paraId="26CF2AE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EE0000"/>
            <w:vAlign w:val="center"/>
            <w:hideMark/>
          </w:tcPr>
          <w:p w14:paraId="74AE62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EE0000"/>
            <w:vAlign w:val="center"/>
            <w:hideMark/>
          </w:tcPr>
          <w:p w14:paraId="610855C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EE0000"/>
            <w:vAlign w:val="center"/>
            <w:hideMark/>
          </w:tcPr>
          <w:p w14:paraId="17CF8B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103825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54F3D8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EE0000"/>
            <w:vAlign w:val="center"/>
            <w:hideMark/>
          </w:tcPr>
          <w:p w14:paraId="29BE8A0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0DC1BF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5CDE66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4" w:space="0" w:color="auto"/>
            </w:tcBorders>
            <w:shd w:val="clear" w:color="000000" w:fill="EE0000"/>
            <w:vAlign w:val="center"/>
            <w:hideMark/>
          </w:tcPr>
          <w:p w14:paraId="5B216E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2C8970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2FAADA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487BA6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4AB5E3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3EEC8A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E0000"/>
            <w:vAlign w:val="center"/>
            <w:hideMark/>
          </w:tcPr>
          <w:p w14:paraId="137E36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6C003E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6067CF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097F6F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78DA08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5F7CD60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E0000"/>
            <w:vAlign w:val="center"/>
            <w:hideMark/>
          </w:tcPr>
          <w:p w14:paraId="532B879C"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EE0000"/>
            <w:vAlign w:val="center"/>
            <w:hideMark/>
          </w:tcPr>
          <w:p w14:paraId="47FE46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EE0000"/>
            <w:vAlign w:val="center"/>
            <w:hideMark/>
          </w:tcPr>
          <w:p w14:paraId="00F421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EE0000"/>
            <w:vAlign w:val="center"/>
            <w:hideMark/>
          </w:tcPr>
          <w:p w14:paraId="30C1B3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215E304" w14:textId="77777777" w:rsidR="00962754" w:rsidRPr="00B907A3" w:rsidRDefault="00962754" w:rsidP="00962754">
            <w:pPr>
              <w:spacing w:after="0"/>
              <w:jc w:val="left"/>
              <w:rPr>
                <w:rFonts w:ascii="Garamond" w:hAnsi="Garamond" w:cs="Arial"/>
                <w:color w:val="000000"/>
                <w:sz w:val="6"/>
                <w:szCs w:val="12"/>
                <w:lang w:eastAsia="en-US"/>
              </w:rPr>
            </w:pPr>
          </w:p>
        </w:tc>
      </w:tr>
      <w:tr w:rsidR="00B907A3" w:rsidRPr="00B907A3" w14:paraId="7101B882"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DEEAF6"/>
            <w:vAlign w:val="center"/>
            <w:hideMark/>
          </w:tcPr>
          <w:p w14:paraId="2228B6A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DEEAF6"/>
            <w:vAlign w:val="center"/>
            <w:hideMark/>
          </w:tcPr>
          <w:p w14:paraId="0EF4034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DEEAF6"/>
            <w:vAlign w:val="center"/>
            <w:hideMark/>
          </w:tcPr>
          <w:p w14:paraId="422F8A9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DEEAF6"/>
            <w:vAlign w:val="center"/>
            <w:hideMark/>
          </w:tcPr>
          <w:p w14:paraId="34E5D3F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DEEAF6"/>
            <w:vAlign w:val="center"/>
            <w:hideMark/>
          </w:tcPr>
          <w:p w14:paraId="7000D11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DEEAF6"/>
            <w:vAlign w:val="center"/>
            <w:hideMark/>
          </w:tcPr>
          <w:p w14:paraId="6A633C7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DEEAF6"/>
            <w:vAlign w:val="center"/>
            <w:hideMark/>
          </w:tcPr>
          <w:p w14:paraId="7C12C57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DEEAF6"/>
            <w:vAlign w:val="center"/>
            <w:hideMark/>
          </w:tcPr>
          <w:p w14:paraId="772D6CB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DEEAF6"/>
            <w:vAlign w:val="center"/>
            <w:hideMark/>
          </w:tcPr>
          <w:p w14:paraId="24AFD13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DEEAF6"/>
            <w:vAlign w:val="center"/>
            <w:hideMark/>
          </w:tcPr>
          <w:p w14:paraId="07F9074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DEEAF6"/>
            <w:vAlign w:val="center"/>
            <w:hideMark/>
          </w:tcPr>
          <w:p w14:paraId="7798739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DEEAF6"/>
            <w:vAlign w:val="center"/>
            <w:hideMark/>
          </w:tcPr>
          <w:p w14:paraId="2E97A1C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DEEAF6"/>
            <w:vAlign w:val="center"/>
            <w:hideMark/>
          </w:tcPr>
          <w:p w14:paraId="0A25359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DEEAF6"/>
            <w:vAlign w:val="center"/>
            <w:hideMark/>
          </w:tcPr>
          <w:p w14:paraId="5086B35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EEAF6"/>
            <w:vAlign w:val="center"/>
            <w:hideMark/>
          </w:tcPr>
          <w:p w14:paraId="5A9AA1E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EEAF6"/>
            <w:vAlign w:val="center"/>
            <w:hideMark/>
          </w:tcPr>
          <w:p w14:paraId="7942664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DEEAF6"/>
            <w:vAlign w:val="center"/>
            <w:hideMark/>
          </w:tcPr>
          <w:p w14:paraId="035A6439"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35356</w:t>
            </w:r>
          </w:p>
        </w:tc>
        <w:tc>
          <w:tcPr>
            <w:tcW w:w="618" w:type="dxa"/>
            <w:tcBorders>
              <w:top w:val="nil"/>
              <w:left w:val="nil"/>
              <w:bottom w:val="single" w:sz="4" w:space="0" w:color="auto"/>
              <w:right w:val="single" w:sz="4" w:space="0" w:color="auto"/>
            </w:tcBorders>
            <w:shd w:val="clear" w:color="000000" w:fill="DEEAF6"/>
            <w:vAlign w:val="center"/>
            <w:hideMark/>
          </w:tcPr>
          <w:p w14:paraId="3DC39BA0"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15200</w:t>
            </w:r>
          </w:p>
        </w:tc>
        <w:tc>
          <w:tcPr>
            <w:tcW w:w="618" w:type="dxa"/>
            <w:tcBorders>
              <w:top w:val="nil"/>
              <w:left w:val="nil"/>
              <w:bottom w:val="single" w:sz="4" w:space="0" w:color="auto"/>
              <w:right w:val="single" w:sz="4" w:space="0" w:color="auto"/>
            </w:tcBorders>
            <w:shd w:val="clear" w:color="000000" w:fill="DEEAF6"/>
            <w:vAlign w:val="center"/>
            <w:hideMark/>
          </w:tcPr>
          <w:p w14:paraId="14361674"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14156</w:t>
            </w:r>
          </w:p>
        </w:tc>
        <w:tc>
          <w:tcPr>
            <w:tcW w:w="605" w:type="dxa"/>
            <w:tcBorders>
              <w:top w:val="nil"/>
              <w:left w:val="nil"/>
              <w:bottom w:val="single" w:sz="4" w:space="0" w:color="auto"/>
              <w:right w:val="single" w:sz="4" w:space="0" w:color="auto"/>
            </w:tcBorders>
            <w:shd w:val="clear" w:color="000000" w:fill="DEEAF6"/>
            <w:vAlign w:val="center"/>
            <w:hideMark/>
          </w:tcPr>
          <w:p w14:paraId="7A0824FF"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6000</w:t>
            </w:r>
          </w:p>
        </w:tc>
        <w:tc>
          <w:tcPr>
            <w:tcW w:w="372" w:type="dxa"/>
            <w:tcBorders>
              <w:top w:val="nil"/>
              <w:left w:val="nil"/>
              <w:bottom w:val="single" w:sz="4" w:space="0" w:color="auto"/>
              <w:right w:val="single" w:sz="4" w:space="0" w:color="auto"/>
            </w:tcBorders>
            <w:shd w:val="clear" w:color="000000" w:fill="DEEAF6"/>
            <w:vAlign w:val="center"/>
            <w:hideMark/>
          </w:tcPr>
          <w:p w14:paraId="2580481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EEAF6"/>
            <w:vAlign w:val="center"/>
            <w:hideMark/>
          </w:tcPr>
          <w:p w14:paraId="455990B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DEEAF6"/>
            <w:vAlign w:val="center"/>
            <w:hideMark/>
          </w:tcPr>
          <w:p w14:paraId="18117C79"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199400</w:t>
            </w:r>
          </w:p>
        </w:tc>
        <w:tc>
          <w:tcPr>
            <w:tcW w:w="382" w:type="dxa"/>
            <w:tcBorders>
              <w:top w:val="nil"/>
              <w:left w:val="nil"/>
              <w:bottom w:val="single" w:sz="4" w:space="0" w:color="auto"/>
              <w:right w:val="single" w:sz="4" w:space="0" w:color="auto"/>
            </w:tcBorders>
            <w:shd w:val="clear" w:color="000000" w:fill="DEEAF6"/>
            <w:vAlign w:val="center"/>
            <w:hideMark/>
          </w:tcPr>
          <w:p w14:paraId="71E0E613"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54460</w:t>
            </w:r>
          </w:p>
        </w:tc>
        <w:tc>
          <w:tcPr>
            <w:tcW w:w="382" w:type="dxa"/>
            <w:tcBorders>
              <w:top w:val="nil"/>
              <w:left w:val="nil"/>
              <w:bottom w:val="single" w:sz="4" w:space="0" w:color="auto"/>
              <w:right w:val="single" w:sz="4" w:space="0" w:color="auto"/>
            </w:tcBorders>
            <w:shd w:val="clear" w:color="000000" w:fill="DEEAF6"/>
            <w:vAlign w:val="center"/>
            <w:hideMark/>
          </w:tcPr>
          <w:p w14:paraId="5BE768FA"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137940</w:t>
            </w:r>
          </w:p>
        </w:tc>
        <w:tc>
          <w:tcPr>
            <w:tcW w:w="369" w:type="dxa"/>
            <w:tcBorders>
              <w:top w:val="nil"/>
              <w:left w:val="nil"/>
              <w:bottom w:val="single" w:sz="4" w:space="0" w:color="auto"/>
              <w:right w:val="single" w:sz="4" w:space="0" w:color="auto"/>
            </w:tcBorders>
            <w:shd w:val="clear" w:color="000000" w:fill="DEEAF6"/>
            <w:vAlign w:val="center"/>
            <w:hideMark/>
          </w:tcPr>
          <w:p w14:paraId="57B3253F"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7000</w:t>
            </w:r>
          </w:p>
        </w:tc>
        <w:tc>
          <w:tcPr>
            <w:tcW w:w="372" w:type="dxa"/>
            <w:tcBorders>
              <w:top w:val="nil"/>
              <w:left w:val="nil"/>
              <w:bottom w:val="single" w:sz="4" w:space="0" w:color="auto"/>
              <w:right w:val="single" w:sz="4" w:space="0" w:color="auto"/>
            </w:tcBorders>
            <w:shd w:val="clear" w:color="000000" w:fill="DEEAF6"/>
            <w:vAlign w:val="center"/>
            <w:hideMark/>
          </w:tcPr>
          <w:p w14:paraId="0EA8C75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EEAF6"/>
            <w:vAlign w:val="center"/>
            <w:hideMark/>
          </w:tcPr>
          <w:p w14:paraId="7BF42C3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DEEAF6"/>
            <w:vAlign w:val="center"/>
            <w:hideMark/>
          </w:tcPr>
          <w:p w14:paraId="615060F7"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296233</w:t>
            </w:r>
          </w:p>
        </w:tc>
        <w:tc>
          <w:tcPr>
            <w:tcW w:w="382" w:type="dxa"/>
            <w:tcBorders>
              <w:top w:val="nil"/>
              <w:left w:val="nil"/>
              <w:bottom w:val="single" w:sz="4" w:space="0" w:color="auto"/>
              <w:right w:val="single" w:sz="4" w:space="0" w:color="auto"/>
            </w:tcBorders>
            <w:shd w:val="clear" w:color="000000" w:fill="DEEAF6"/>
            <w:vAlign w:val="center"/>
            <w:hideMark/>
          </w:tcPr>
          <w:p w14:paraId="63A4C5A9"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20300</w:t>
            </w:r>
          </w:p>
        </w:tc>
        <w:tc>
          <w:tcPr>
            <w:tcW w:w="382" w:type="dxa"/>
            <w:tcBorders>
              <w:top w:val="nil"/>
              <w:left w:val="nil"/>
              <w:bottom w:val="single" w:sz="4" w:space="0" w:color="auto"/>
              <w:right w:val="single" w:sz="4" w:space="0" w:color="auto"/>
            </w:tcBorders>
            <w:shd w:val="clear" w:color="000000" w:fill="DEEAF6"/>
            <w:vAlign w:val="center"/>
            <w:hideMark/>
          </w:tcPr>
          <w:p w14:paraId="433FCDBE"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266933</w:t>
            </w:r>
          </w:p>
        </w:tc>
        <w:tc>
          <w:tcPr>
            <w:tcW w:w="369" w:type="dxa"/>
            <w:tcBorders>
              <w:top w:val="nil"/>
              <w:left w:val="nil"/>
              <w:bottom w:val="single" w:sz="4" w:space="0" w:color="auto"/>
              <w:right w:val="single" w:sz="4" w:space="0" w:color="auto"/>
            </w:tcBorders>
            <w:shd w:val="clear" w:color="000000" w:fill="DEEAF6"/>
            <w:vAlign w:val="center"/>
            <w:hideMark/>
          </w:tcPr>
          <w:p w14:paraId="01C4DAB4"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9000</w:t>
            </w:r>
          </w:p>
        </w:tc>
        <w:tc>
          <w:tcPr>
            <w:tcW w:w="464" w:type="dxa"/>
            <w:tcBorders>
              <w:top w:val="nil"/>
              <w:left w:val="nil"/>
              <w:bottom w:val="single" w:sz="4" w:space="0" w:color="auto"/>
              <w:right w:val="single" w:sz="4" w:space="0" w:color="auto"/>
            </w:tcBorders>
            <w:shd w:val="clear" w:color="000000" w:fill="DEEAF6"/>
            <w:vAlign w:val="center"/>
            <w:hideMark/>
          </w:tcPr>
          <w:p w14:paraId="7806D55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DEEAF6"/>
            <w:vAlign w:val="center"/>
            <w:hideMark/>
          </w:tcPr>
          <w:p w14:paraId="3933ACB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DEEAF6"/>
            <w:vAlign w:val="center"/>
            <w:hideMark/>
          </w:tcPr>
          <w:p w14:paraId="0E76FE1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single" w:sz="4" w:space="0" w:color="auto"/>
              <w:left w:val="nil"/>
              <w:bottom w:val="single" w:sz="4" w:space="0" w:color="auto"/>
              <w:right w:val="single" w:sz="4" w:space="0" w:color="auto"/>
            </w:tcBorders>
            <w:shd w:val="clear" w:color="000000" w:fill="DEEAF6"/>
            <w:vAlign w:val="center"/>
            <w:hideMark/>
          </w:tcPr>
          <w:p w14:paraId="05FDB47C"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530989</w:t>
            </w:r>
          </w:p>
        </w:tc>
      </w:tr>
      <w:tr w:rsidR="00962754" w:rsidRPr="00B907A3" w14:paraId="7FC51DE2" w14:textId="77777777" w:rsidTr="00962754">
        <w:trPr>
          <w:trHeight w:val="20"/>
        </w:trPr>
        <w:tc>
          <w:tcPr>
            <w:tcW w:w="718" w:type="dxa"/>
            <w:tcBorders>
              <w:top w:val="nil"/>
              <w:left w:val="nil"/>
              <w:bottom w:val="nil"/>
              <w:right w:val="nil"/>
            </w:tcBorders>
            <w:shd w:val="clear" w:color="auto" w:fill="auto"/>
            <w:noWrap/>
            <w:vAlign w:val="bottom"/>
            <w:hideMark/>
          </w:tcPr>
          <w:p w14:paraId="6A104DA8" w14:textId="77777777" w:rsidR="00962754" w:rsidRPr="00B907A3" w:rsidRDefault="00962754" w:rsidP="00962754">
            <w:pPr>
              <w:spacing w:after="0"/>
              <w:jc w:val="right"/>
              <w:rPr>
                <w:rFonts w:ascii="Garamond" w:hAnsi="Garamond" w:cs="Arial"/>
                <w:b/>
                <w:bCs/>
                <w:color w:val="000000"/>
                <w:sz w:val="6"/>
                <w:szCs w:val="12"/>
                <w:lang w:eastAsia="en-US"/>
              </w:rPr>
            </w:pPr>
          </w:p>
        </w:tc>
        <w:tc>
          <w:tcPr>
            <w:tcW w:w="571" w:type="dxa"/>
            <w:tcBorders>
              <w:top w:val="nil"/>
              <w:left w:val="nil"/>
              <w:bottom w:val="nil"/>
              <w:right w:val="nil"/>
            </w:tcBorders>
            <w:shd w:val="clear" w:color="auto" w:fill="auto"/>
            <w:noWrap/>
            <w:vAlign w:val="bottom"/>
            <w:hideMark/>
          </w:tcPr>
          <w:p w14:paraId="0E801EBE"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64282A66"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73EF80EA"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631867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50188C8"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6E947E8"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4E7874CF"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7E2607C1"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14048029"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0BB560EA"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4853B771"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4EB13A00"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000AE49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CEF955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E40544A"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14EE78C5"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1B9BE7E6"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471C1D39"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1C99F62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98576A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025FD38"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C7046A6"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A535180"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96A9DCC"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A34968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E7F260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EE215AF"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0266B73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98E736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8EDC40F"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4487402D"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13B5D831"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42337B1C"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4C06BA90"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392FF48A" w14:textId="77777777" w:rsidR="00962754" w:rsidRPr="00B907A3" w:rsidRDefault="00962754" w:rsidP="00962754">
            <w:pPr>
              <w:spacing w:after="0"/>
              <w:jc w:val="left"/>
              <w:rPr>
                <w:rFonts w:ascii="Garamond" w:hAnsi="Garamond"/>
                <w:sz w:val="6"/>
                <w:szCs w:val="12"/>
                <w:lang w:eastAsia="en-US"/>
              </w:rPr>
            </w:pPr>
          </w:p>
        </w:tc>
      </w:tr>
      <w:tr w:rsidR="00962754" w:rsidRPr="00B907A3" w14:paraId="1B9593C6" w14:textId="77777777" w:rsidTr="00962754">
        <w:trPr>
          <w:trHeight w:val="20"/>
        </w:trPr>
        <w:tc>
          <w:tcPr>
            <w:tcW w:w="718" w:type="dxa"/>
            <w:tcBorders>
              <w:top w:val="nil"/>
              <w:left w:val="nil"/>
              <w:bottom w:val="nil"/>
              <w:right w:val="nil"/>
            </w:tcBorders>
            <w:shd w:val="clear" w:color="auto" w:fill="auto"/>
            <w:noWrap/>
            <w:vAlign w:val="bottom"/>
            <w:hideMark/>
          </w:tcPr>
          <w:p w14:paraId="48185971"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692C2515"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5D977915"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170D0E65"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AEE0484"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8303543"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C78282C"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28AA2236"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21EF3FC5"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726E2D59"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07CEA5CC"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1DBB3D55"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332C9E87"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51CA60C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BF0AEC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B6DF05E"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03AB2B75"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58AECACB"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44A6BCCA"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4BA5729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528EEB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E5A5AEA"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5B5E8F9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5B7396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121B19A"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4A75FF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418C2A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4EF2355"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352B37FD"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60FC30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5B9760D"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6F2A565"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45BFD0E8"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6ABE3D7A"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F49726D"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5FB771CC" w14:textId="77777777" w:rsidR="00962754" w:rsidRPr="00B907A3" w:rsidRDefault="00962754" w:rsidP="00962754">
            <w:pPr>
              <w:spacing w:after="0"/>
              <w:jc w:val="left"/>
              <w:rPr>
                <w:rFonts w:ascii="Garamond" w:hAnsi="Garamond"/>
                <w:sz w:val="6"/>
                <w:szCs w:val="12"/>
                <w:lang w:eastAsia="en-US"/>
              </w:rPr>
            </w:pPr>
          </w:p>
        </w:tc>
      </w:tr>
      <w:tr w:rsidR="00962754" w:rsidRPr="00B907A3" w14:paraId="7D269F33" w14:textId="77777777" w:rsidTr="00962754">
        <w:trPr>
          <w:trHeight w:val="20"/>
        </w:trPr>
        <w:tc>
          <w:tcPr>
            <w:tcW w:w="1290" w:type="dxa"/>
            <w:gridSpan w:val="2"/>
            <w:tcBorders>
              <w:top w:val="nil"/>
              <w:left w:val="nil"/>
              <w:bottom w:val="nil"/>
              <w:right w:val="nil"/>
            </w:tcBorders>
            <w:shd w:val="clear" w:color="auto" w:fill="auto"/>
            <w:noWrap/>
            <w:vAlign w:val="bottom"/>
            <w:hideMark/>
          </w:tcPr>
          <w:p w14:paraId="5452E5A6" w14:textId="39383285" w:rsidR="00962754" w:rsidRPr="00B907A3" w:rsidRDefault="00962754" w:rsidP="00962754">
            <w:pPr>
              <w:spacing w:after="0"/>
              <w:jc w:val="left"/>
              <w:rPr>
                <w:rFonts w:ascii="Garamond" w:hAnsi="Garamond" w:cs="Arial"/>
                <w:b/>
                <w:bCs/>
                <w:color w:val="000000"/>
                <w:sz w:val="6"/>
                <w:szCs w:val="12"/>
                <w:lang w:eastAsia="en-US"/>
              </w:rPr>
            </w:pPr>
            <w:bookmarkStart w:id="194" w:name="RANGE!A50"/>
            <w:r w:rsidRPr="00B907A3">
              <w:rPr>
                <w:rFonts w:ascii="Garamond" w:hAnsi="Garamond" w:cs="Arial"/>
                <w:b/>
                <w:bCs/>
                <w:color w:val="000000"/>
                <w:sz w:val="6"/>
                <w:szCs w:val="12"/>
                <w:lang w:eastAsia="en-US"/>
              </w:rPr>
              <w:t>Komponenti 3: Siguria e automjeteve</w:t>
            </w:r>
            <w:bookmarkEnd w:id="194"/>
          </w:p>
        </w:tc>
        <w:tc>
          <w:tcPr>
            <w:tcW w:w="470" w:type="dxa"/>
            <w:tcBorders>
              <w:top w:val="nil"/>
              <w:left w:val="nil"/>
              <w:bottom w:val="nil"/>
              <w:right w:val="nil"/>
            </w:tcBorders>
            <w:shd w:val="clear" w:color="auto" w:fill="auto"/>
            <w:noWrap/>
            <w:vAlign w:val="bottom"/>
            <w:hideMark/>
          </w:tcPr>
          <w:p w14:paraId="0B40FF87" w14:textId="77777777" w:rsidR="00962754" w:rsidRPr="00B907A3" w:rsidRDefault="00962754" w:rsidP="00962754">
            <w:pPr>
              <w:spacing w:after="0"/>
              <w:jc w:val="left"/>
              <w:rPr>
                <w:rFonts w:ascii="Garamond" w:hAnsi="Garamond" w:cs="Arial"/>
                <w:b/>
                <w:bCs/>
                <w:color w:val="000000"/>
                <w:sz w:val="6"/>
                <w:szCs w:val="12"/>
                <w:lang w:eastAsia="en-US"/>
              </w:rPr>
            </w:pPr>
          </w:p>
        </w:tc>
        <w:tc>
          <w:tcPr>
            <w:tcW w:w="668" w:type="dxa"/>
            <w:tcBorders>
              <w:top w:val="nil"/>
              <w:left w:val="nil"/>
              <w:bottom w:val="nil"/>
              <w:right w:val="nil"/>
            </w:tcBorders>
            <w:shd w:val="clear" w:color="auto" w:fill="auto"/>
            <w:noWrap/>
            <w:vAlign w:val="bottom"/>
            <w:hideMark/>
          </w:tcPr>
          <w:p w14:paraId="579798E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DD3002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2BAF279"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8F4FF45"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19F1E8D0"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707D38DE"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0EFB9D87"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65D707B4"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054F5F0F"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50FE6DAF"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4BC2A4FF"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5409CF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AD33AED"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34886599"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6FAE6DB4"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11B38B67"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2FF7AF62"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C10089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E262EFF"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39E5B19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BDA0C1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70E0D2B"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11C036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ABBB65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E4F610E"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364B1F1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AF3A5DD"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02F158E"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95AD59B"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0CC1803E"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76617155"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345CD88"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77EA936C" w14:textId="77777777" w:rsidR="00962754" w:rsidRPr="00B907A3" w:rsidRDefault="00962754" w:rsidP="00962754">
            <w:pPr>
              <w:spacing w:after="0"/>
              <w:jc w:val="left"/>
              <w:rPr>
                <w:rFonts w:ascii="Garamond" w:hAnsi="Garamond"/>
                <w:sz w:val="6"/>
                <w:szCs w:val="12"/>
                <w:lang w:eastAsia="en-US"/>
              </w:rPr>
            </w:pPr>
          </w:p>
        </w:tc>
      </w:tr>
      <w:tr w:rsidR="00962754" w:rsidRPr="00B907A3" w14:paraId="7D913426" w14:textId="77777777" w:rsidTr="00962754">
        <w:trPr>
          <w:trHeight w:val="20"/>
        </w:trPr>
        <w:tc>
          <w:tcPr>
            <w:tcW w:w="718" w:type="dxa"/>
            <w:tcBorders>
              <w:top w:val="nil"/>
              <w:left w:val="nil"/>
              <w:bottom w:val="nil"/>
              <w:right w:val="nil"/>
            </w:tcBorders>
            <w:shd w:val="clear" w:color="auto" w:fill="auto"/>
            <w:noWrap/>
            <w:vAlign w:val="bottom"/>
            <w:hideMark/>
          </w:tcPr>
          <w:p w14:paraId="4DB6693A"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69EFC017"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2DA93362"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4F250833"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AB85EF2"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E1F629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5175F81"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2CB7A783"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1CA229A7"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1424B613"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5F69B88A"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75D96477"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2FF01D5F"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29A38DF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28A2F6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A4825E8"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0CE2F952"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7A83868F"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22CE0D59"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55E2C36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76F4FD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456A388"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0ACC4358"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9403D8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084D3C9"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2BD8FE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D46482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C4A61E6"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6C9A7FB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E2223B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EC0D8C0"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474843A6"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3A58018F"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5D40A503"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4074AAB"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76C84F25" w14:textId="77777777" w:rsidR="00962754" w:rsidRPr="00B907A3" w:rsidRDefault="00962754" w:rsidP="00962754">
            <w:pPr>
              <w:spacing w:after="0"/>
              <w:jc w:val="left"/>
              <w:rPr>
                <w:rFonts w:ascii="Garamond" w:hAnsi="Garamond"/>
                <w:sz w:val="6"/>
                <w:szCs w:val="12"/>
                <w:lang w:eastAsia="en-US"/>
              </w:rPr>
            </w:pPr>
          </w:p>
        </w:tc>
      </w:tr>
      <w:tr w:rsidR="00962754" w:rsidRPr="00B907A3" w14:paraId="61491C4C" w14:textId="77777777" w:rsidTr="00962754">
        <w:trPr>
          <w:trHeight w:val="20"/>
        </w:trPr>
        <w:tc>
          <w:tcPr>
            <w:tcW w:w="718" w:type="dxa"/>
            <w:tcBorders>
              <w:top w:val="single" w:sz="8" w:space="0" w:color="auto"/>
              <w:left w:val="single" w:sz="8" w:space="0" w:color="auto"/>
              <w:bottom w:val="nil"/>
              <w:right w:val="nil"/>
            </w:tcBorders>
            <w:shd w:val="clear" w:color="000000" w:fill="DAF2D0"/>
            <w:vAlign w:val="center"/>
            <w:hideMark/>
          </w:tcPr>
          <w:p w14:paraId="468AA3C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8" w:space="0" w:color="auto"/>
              <w:left w:val="single" w:sz="4" w:space="0" w:color="auto"/>
              <w:bottom w:val="nil"/>
              <w:right w:val="nil"/>
            </w:tcBorders>
            <w:shd w:val="clear" w:color="000000" w:fill="DAF2D0"/>
            <w:hideMark/>
          </w:tcPr>
          <w:p w14:paraId="4FBA84A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8" w:space="0" w:color="auto"/>
              <w:left w:val="single" w:sz="4" w:space="0" w:color="auto"/>
              <w:bottom w:val="nil"/>
              <w:right w:val="nil"/>
            </w:tcBorders>
            <w:shd w:val="clear" w:color="000000" w:fill="DAF2D0"/>
            <w:vAlign w:val="center"/>
            <w:hideMark/>
          </w:tcPr>
          <w:p w14:paraId="4180CA3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single" w:sz="8" w:space="0" w:color="auto"/>
              <w:left w:val="single" w:sz="4" w:space="0" w:color="auto"/>
              <w:bottom w:val="nil"/>
              <w:right w:val="single" w:sz="4" w:space="0" w:color="auto"/>
            </w:tcBorders>
            <w:shd w:val="clear" w:color="000000" w:fill="DAF2D0"/>
            <w:vAlign w:val="center"/>
            <w:hideMark/>
          </w:tcPr>
          <w:p w14:paraId="04D9C8D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8" w:space="0" w:color="auto"/>
              <w:left w:val="nil"/>
              <w:bottom w:val="single" w:sz="4" w:space="0" w:color="auto"/>
              <w:right w:val="nil"/>
            </w:tcBorders>
            <w:shd w:val="clear" w:color="000000" w:fill="DAF2D0"/>
            <w:vAlign w:val="center"/>
            <w:hideMark/>
          </w:tcPr>
          <w:p w14:paraId="31FAB06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bazë</w:t>
            </w:r>
          </w:p>
        </w:tc>
        <w:tc>
          <w:tcPr>
            <w:tcW w:w="1091" w:type="dxa"/>
            <w:gridSpan w:val="3"/>
            <w:tcBorders>
              <w:top w:val="single" w:sz="8" w:space="0" w:color="auto"/>
              <w:left w:val="single" w:sz="4" w:space="0" w:color="auto"/>
              <w:bottom w:val="single" w:sz="4" w:space="0" w:color="auto"/>
              <w:right w:val="nil"/>
            </w:tcBorders>
            <w:shd w:val="clear" w:color="000000" w:fill="DAF2D0"/>
            <w:noWrap/>
            <w:hideMark/>
          </w:tcPr>
          <w:p w14:paraId="794F3B02" w14:textId="0BBB6FF5"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Vlerat e synuara të RM</w:t>
            </w:r>
            <w:r w:rsidR="005C1DD9" w:rsidRPr="00B907A3">
              <w:rPr>
                <w:rFonts w:ascii="Garamond" w:hAnsi="Garamond" w:cs="Arial"/>
                <w:color w:val="000000"/>
                <w:sz w:val="6"/>
                <w:szCs w:val="12"/>
                <w:lang w:eastAsia="en-US"/>
              </w:rPr>
              <w:t>-së</w:t>
            </w:r>
          </w:p>
        </w:tc>
        <w:tc>
          <w:tcPr>
            <w:tcW w:w="525" w:type="dxa"/>
            <w:tcBorders>
              <w:top w:val="single" w:sz="8" w:space="0" w:color="auto"/>
              <w:left w:val="single" w:sz="4" w:space="0" w:color="auto"/>
              <w:bottom w:val="nil"/>
              <w:right w:val="single" w:sz="8" w:space="0" w:color="auto"/>
            </w:tcBorders>
            <w:shd w:val="clear" w:color="000000" w:fill="DAF2D0"/>
            <w:vAlign w:val="center"/>
            <w:hideMark/>
          </w:tcPr>
          <w:p w14:paraId="6F97ADC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single" w:sz="8" w:space="0" w:color="auto"/>
              <w:left w:val="nil"/>
              <w:bottom w:val="single" w:sz="4" w:space="0" w:color="auto"/>
              <w:right w:val="nil"/>
            </w:tcBorders>
            <w:shd w:val="clear" w:color="000000" w:fill="DAF2D0"/>
            <w:vAlign w:val="center"/>
            <w:hideMark/>
          </w:tcPr>
          <w:p w14:paraId="28F223B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single" w:sz="8" w:space="0" w:color="auto"/>
              <w:left w:val="single" w:sz="8" w:space="0" w:color="auto"/>
              <w:bottom w:val="nil"/>
              <w:right w:val="single" w:sz="4" w:space="0" w:color="auto"/>
            </w:tcBorders>
            <w:shd w:val="clear" w:color="000000" w:fill="DAF2D0"/>
            <w:vAlign w:val="center"/>
            <w:hideMark/>
          </w:tcPr>
          <w:p w14:paraId="6C51633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8" w:space="0" w:color="auto"/>
              <w:left w:val="nil"/>
              <w:bottom w:val="nil"/>
              <w:right w:val="single" w:sz="4" w:space="0" w:color="auto"/>
            </w:tcBorders>
            <w:shd w:val="clear" w:color="000000" w:fill="DAF2D0"/>
            <w:vAlign w:val="center"/>
            <w:hideMark/>
          </w:tcPr>
          <w:p w14:paraId="0958549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single" w:sz="8" w:space="0" w:color="auto"/>
              <w:left w:val="nil"/>
              <w:bottom w:val="nil"/>
              <w:right w:val="single" w:sz="4" w:space="0" w:color="auto"/>
            </w:tcBorders>
            <w:shd w:val="clear" w:color="000000" w:fill="DAF2D0"/>
            <w:vAlign w:val="center"/>
            <w:hideMark/>
          </w:tcPr>
          <w:p w14:paraId="1CB187B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single" w:sz="8" w:space="0" w:color="auto"/>
              <w:left w:val="nil"/>
              <w:bottom w:val="nil"/>
              <w:right w:val="single" w:sz="8" w:space="0" w:color="auto"/>
            </w:tcBorders>
            <w:shd w:val="clear" w:color="000000" w:fill="DAF2D0"/>
            <w:vAlign w:val="center"/>
            <w:hideMark/>
          </w:tcPr>
          <w:p w14:paraId="61B011B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8" w:space="0" w:color="auto"/>
              <w:left w:val="nil"/>
              <w:bottom w:val="single" w:sz="4" w:space="0" w:color="auto"/>
              <w:right w:val="nil"/>
            </w:tcBorders>
            <w:shd w:val="clear" w:color="000000" w:fill="DAF2D0"/>
            <w:vAlign w:val="center"/>
            <w:hideMark/>
          </w:tcPr>
          <w:p w14:paraId="3AA4164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639" w:type="dxa"/>
            <w:gridSpan w:val="5"/>
            <w:tcBorders>
              <w:top w:val="single" w:sz="8" w:space="0" w:color="auto"/>
              <w:left w:val="nil"/>
              <w:bottom w:val="single" w:sz="4" w:space="0" w:color="auto"/>
              <w:right w:val="single" w:sz="8" w:space="0" w:color="000000"/>
            </w:tcBorders>
            <w:shd w:val="clear" w:color="000000" w:fill="DAF2D0"/>
            <w:noWrap/>
            <w:hideMark/>
          </w:tcPr>
          <w:p w14:paraId="43F6C315" w14:textId="2C505481"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2027</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nil"/>
              <w:bottom w:val="single" w:sz="4" w:space="0" w:color="auto"/>
              <w:right w:val="nil"/>
            </w:tcBorders>
            <w:shd w:val="clear" w:color="000000" w:fill="DAF2D0"/>
            <w:noWrap/>
            <w:hideMark/>
          </w:tcPr>
          <w:p w14:paraId="6CA6E60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1829" w:type="dxa"/>
            <w:gridSpan w:val="5"/>
            <w:tcBorders>
              <w:top w:val="single" w:sz="8" w:space="0" w:color="auto"/>
              <w:left w:val="nil"/>
              <w:bottom w:val="single" w:sz="4" w:space="0" w:color="auto"/>
              <w:right w:val="nil"/>
            </w:tcBorders>
            <w:shd w:val="clear" w:color="000000" w:fill="DAF2D0"/>
            <w:noWrap/>
            <w:hideMark/>
          </w:tcPr>
          <w:p w14:paraId="59D4705D" w14:textId="7CB4EF41"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2028</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single" w:sz="8" w:space="0" w:color="auto"/>
              <w:bottom w:val="single" w:sz="4" w:space="0" w:color="auto"/>
              <w:right w:val="nil"/>
            </w:tcBorders>
            <w:shd w:val="clear" w:color="000000" w:fill="DAF2D0"/>
            <w:hideMark/>
          </w:tcPr>
          <w:p w14:paraId="45E792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1829" w:type="dxa"/>
            <w:gridSpan w:val="5"/>
            <w:tcBorders>
              <w:top w:val="single" w:sz="8" w:space="0" w:color="auto"/>
              <w:left w:val="nil"/>
              <w:bottom w:val="single" w:sz="4" w:space="0" w:color="auto"/>
              <w:right w:val="single" w:sz="8" w:space="0" w:color="000000"/>
            </w:tcBorders>
            <w:shd w:val="clear" w:color="000000" w:fill="DAF2D0"/>
            <w:noWrap/>
            <w:hideMark/>
          </w:tcPr>
          <w:p w14:paraId="5FEC15DC" w14:textId="23E25DF3"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2029</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464" w:type="dxa"/>
            <w:tcBorders>
              <w:top w:val="single" w:sz="8" w:space="0" w:color="auto"/>
              <w:left w:val="nil"/>
              <w:bottom w:val="nil"/>
              <w:right w:val="single" w:sz="4" w:space="0" w:color="auto"/>
            </w:tcBorders>
            <w:shd w:val="clear" w:color="000000" w:fill="DAF2D0"/>
            <w:hideMark/>
          </w:tcPr>
          <w:p w14:paraId="7F0F7F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single" w:sz="8" w:space="0" w:color="auto"/>
              <w:left w:val="nil"/>
              <w:bottom w:val="nil"/>
              <w:right w:val="single" w:sz="4" w:space="0" w:color="auto"/>
            </w:tcBorders>
            <w:shd w:val="clear" w:color="000000" w:fill="DAF2D0"/>
            <w:vAlign w:val="center"/>
            <w:hideMark/>
          </w:tcPr>
          <w:p w14:paraId="108F9F0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single" w:sz="8" w:space="0" w:color="auto"/>
              <w:left w:val="nil"/>
              <w:bottom w:val="nil"/>
              <w:right w:val="single" w:sz="8" w:space="0" w:color="auto"/>
            </w:tcBorders>
            <w:shd w:val="clear" w:color="000000" w:fill="DAF2D0"/>
            <w:vAlign w:val="center"/>
            <w:hideMark/>
          </w:tcPr>
          <w:p w14:paraId="70D548D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157D311"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5E4D8299" w14:textId="77777777" w:rsidTr="00962754">
        <w:trPr>
          <w:trHeight w:val="20"/>
        </w:trPr>
        <w:tc>
          <w:tcPr>
            <w:tcW w:w="718" w:type="dxa"/>
            <w:tcBorders>
              <w:top w:val="nil"/>
              <w:left w:val="single" w:sz="8" w:space="0" w:color="auto"/>
              <w:bottom w:val="single" w:sz="8" w:space="0" w:color="auto"/>
              <w:right w:val="nil"/>
            </w:tcBorders>
            <w:shd w:val="clear" w:color="000000" w:fill="DAF2D0"/>
            <w:vAlign w:val="center"/>
            <w:hideMark/>
          </w:tcPr>
          <w:p w14:paraId="4CCF89B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i Masës dhe Detajet</w:t>
            </w:r>
          </w:p>
        </w:tc>
        <w:tc>
          <w:tcPr>
            <w:tcW w:w="571" w:type="dxa"/>
            <w:tcBorders>
              <w:top w:val="nil"/>
              <w:left w:val="single" w:sz="4" w:space="0" w:color="auto"/>
              <w:bottom w:val="single" w:sz="8" w:space="0" w:color="auto"/>
              <w:right w:val="nil"/>
            </w:tcBorders>
            <w:shd w:val="clear" w:color="000000" w:fill="DAF2D0"/>
            <w:vAlign w:val="center"/>
            <w:hideMark/>
          </w:tcPr>
          <w:p w14:paraId="50E41AB6" w14:textId="176B557E" w:rsidR="00962754" w:rsidRPr="00B907A3" w:rsidRDefault="005C1DD9" w:rsidP="00962754">
            <w:pPr>
              <w:spacing w:after="0"/>
              <w:jc w:val="center"/>
              <w:rPr>
                <w:rFonts w:ascii="Garamond" w:hAnsi="Garamond" w:cs="Arial"/>
                <w:b/>
                <w:bCs/>
                <w:color w:val="000000"/>
                <w:sz w:val="6"/>
                <w:szCs w:val="12"/>
                <w:lang w:eastAsia="en-US"/>
              </w:rPr>
            </w:pPr>
            <w:r>
              <w:rPr>
                <w:rFonts w:ascii="Garamond" w:hAnsi="Garamond" w:cs="Arial"/>
                <w:b/>
                <w:bCs/>
                <w:color w:val="000000"/>
                <w:sz w:val="6"/>
                <w:szCs w:val="12"/>
                <w:lang w:eastAsia="en-US"/>
              </w:rPr>
              <w:t xml:space="preserve">Treguesi i rezultatit të masës </w:t>
            </w:r>
            <w:r w:rsidR="00962754" w:rsidRPr="00B907A3">
              <w:rPr>
                <w:rFonts w:ascii="Garamond" w:hAnsi="Garamond" w:cs="Arial"/>
                <w:b/>
                <w:bCs/>
                <w:color w:val="000000"/>
                <w:sz w:val="6"/>
                <w:szCs w:val="12"/>
                <w:lang w:eastAsia="en-US"/>
              </w:rPr>
              <w:t>(MoI)</w:t>
            </w:r>
          </w:p>
        </w:tc>
        <w:tc>
          <w:tcPr>
            <w:tcW w:w="470" w:type="dxa"/>
            <w:tcBorders>
              <w:top w:val="nil"/>
              <w:left w:val="single" w:sz="4" w:space="0" w:color="auto"/>
              <w:bottom w:val="single" w:sz="8" w:space="0" w:color="auto"/>
              <w:right w:val="nil"/>
            </w:tcBorders>
            <w:shd w:val="clear" w:color="000000" w:fill="DAF2D0"/>
            <w:vAlign w:val="center"/>
            <w:hideMark/>
          </w:tcPr>
          <w:p w14:paraId="59E1860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(njësia)</w:t>
            </w:r>
          </w:p>
        </w:tc>
        <w:tc>
          <w:tcPr>
            <w:tcW w:w="668" w:type="dxa"/>
            <w:tcBorders>
              <w:top w:val="nil"/>
              <w:left w:val="single" w:sz="4" w:space="0" w:color="auto"/>
              <w:bottom w:val="single" w:sz="8" w:space="0" w:color="auto"/>
              <w:right w:val="single" w:sz="4" w:space="0" w:color="auto"/>
            </w:tcBorders>
            <w:shd w:val="clear" w:color="000000" w:fill="DAF2D0"/>
            <w:vAlign w:val="center"/>
            <w:hideMark/>
          </w:tcPr>
          <w:p w14:paraId="3BE02A3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366" w:type="dxa"/>
            <w:tcBorders>
              <w:top w:val="nil"/>
              <w:left w:val="nil"/>
              <w:bottom w:val="single" w:sz="8" w:space="0" w:color="auto"/>
              <w:right w:val="single" w:sz="4" w:space="0" w:color="auto"/>
            </w:tcBorders>
            <w:shd w:val="clear" w:color="000000" w:fill="DAF2D0"/>
            <w:vAlign w:val="center"/>
            <w:hideMark/>
          </w:tcPr>
          <w:p w14:paraId="21C142A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2026</w:t>
            </w:r>
          </w:p>
        </w:tc>
        <w:tc>
          <w:tcPr>
            <w:tcW w:w="366" w:type="dxa"/>
            <w:tcBorders>
              <w:top w:val="nil"/>
              <w:left w:val="nil"/>
              <w:bottom w:val="single" w:sz="8" w:space="0" w:color="auto"/>
              <w:right w:val="single" w:sz="4" w:space="0" w:color="auto"/>
            </w:tcBorders>
            <w:shd w:val="clear" w:color="000000" w:fill="DAF2D0"/>
            <w:vAlign w:val="center"/>
            <w:hideMark/>
          </w:tcPr>
          <w:p w14:paraId="0E25AD2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2027</w:t>
            </w:r>
          </w:p>
        </w:tc>
        <w:tc>
          <w:tcPr>
            <w:tcW w:w="366" w:type="dxa"/>
            <w:tcBorders>
              <w:top w:val="nil"/>
              <w:left w:val="nil"/>
              <w:bottom w:val="single" w:sz="8" w:space="0" w:color="auto"/>
              <w:right w:val="single" w:sz="4" w:space="0" w:color="auto"/>
            </w:tcBorders>
            <w:shd w:val="clear" w:color="000000" w:fill="DAF2D0"/>
            <w:vAlign w:val="center"/>
            <w:hideMark/>
          </w:tcPr>
          <w:p w14:paraId="5670470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2028</w:t>
            </w:r>
          </w:p>
        </w:tc>
        <w:tc>
          <w:tcPr>
            <w:tcW w:w="359" w:type="dxa"/>
            <w:tcBorders>
              <w:top w:val="nil"/>
              <w:left w:val="nil"/>
              <w:bottom w:val="single" w:sz="8" w:space="0" w:color="auto"/>
              <w:right w:val="nil"/>
            </w:tcBorders>
            <w:shd w:val="clear" w:color="000000" w:fill="DAF2D0"/>
            <w:vAlign w:val="center"/>
            <w:hideMark/>
          </w:tcPr>
          <w:p w14:paraId="2C6272B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2029</w:t>
            </w:r>
          </w:p>
        </w:tc>
        <w:tc>
          <w:tcPr>
            <w:tcW w:w="525" w:type="dxa"/>
            <w:tcBorders>
              <w:top w:val="nil"/>
              <w:left w:val="single" w:sz="4" w:space="0" w:color="auto"/>
              <w:bottom w:val="single" w:sz="8" w:space="0" w:color="auto"/>
              <w:right w:val="single" w:sz="8" w:space="0" w:color="auto"/>
            </w:tcBorders>
            <w:shd w:val="clear" w:color="000000" w:fill="DAF2D0"/>
            <w:vAlign w:val="center"/>
            <w:hideMark/>
          </w:tcPr>
          <w:p w14:paraId="57D7009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36" w:type="dxa"/>
            <w:tcBorders>
              <w:top w:val="nil"/>
              <w:left w:val="nil"/>
              <w:bottom w:val="single" w:sz="8" w:space="0" w:color="auto"/>
              <w:right w:val="nil"/>
            </w:tcBorders>
            <w:shd w:val="clear" w:color="000000" w:fill="DAF2D0"/>
            <w:vAlign w:val="center"/>
            <w:hideMark/>
          </w:tcPr>
          <w:p w14:paraId="6E3F5AB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DAF2D0"/>
            <w:vAlign w:val="center"/>
            <w:hideMark/>
          </w:tcPr>
          <w:p w14:paraId="0F888DA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dhe detajet e aktivitetit</w:t>
            </w:r>
          </w:p>
        </w:tc>
        <w:tc>
          <w:tcPr>
            <w:tcW w:w="520" w:type="dxa"/>
            <w:tcBorders>
              <w:top w:val="nil"/>
              <w:left w:val="nil"/>
              <w:bottom w:val="single" w:sz="8" w:space="0" w:color="auto"/>
              <w:right w:val="single" w:sz="4" w:space="0" w:color="auto"/>
            </w:tcBorders>
            <w:shd w:val="clear" w:color="000000" w:fill="DAF2D0"/>
            <w:vAlign w:val="center"/>
            <w:hideMark/>
          </w:tcPr>
          <w:p w14:paraId="04AF11B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512" w:type="dxa"/>
            <w:tcBorders>
              <w:top w:val="nil"/>
              <w:left w:val="nil"/>
              <w:bottom w:val="single" w:sz="8" w:space="0" w:color="auto"/>
              <w:right w:val="single" w:sz="4" w:space="0" w:color="auto"/>
            </w:tcBorders>
            <w:shd w:val="clear" w:color="000000" w:fill="DAF2D0"/>
            <w:vAlign w:val="center"/>
            <w:hideMark/>
          </w:tcPr>
          <w:p w14:paraId="4B476F59" w14:textId="3CF6E64F" w:rsidR="00962754" w:rsidRPr="00B907A3" w:rsidRDefault="00962754" w:rsidP="005C1DD9">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Mbështetës </w:t>
            </w:r>
            <w:r w:rsidR="005C1DD9">
              <w:rPr>
                <w:rFonts w:ascii="Garamond" w:hAnsi="Garamond" w:cs="Arial"/>
                <w:b/>
                <w:bCs/>
                <w:color w:val="000000"/>
                <w:sz w:val="6"/>
                <w:szCs w:val="12"/>
                <w:lang w:eastAsia="en-US"/>
              </w:rPr>
              <w:t>v</w:t>
            </w:r>
            <w:r w:rsidRPr="00B907A3">
              <w:rPr>
                <w:rFonts w:ascii="Garamond" w:hAnsi="Garamond" w:cs="Arial"/>
                <w:b/>
                <w:bCs/>
                <w:color w:val="000000"/>
                <w:sz w:val="6"/>
                <w:szCs w:val="12"/>
                <w:lang w:eastAsia="en-US"/>
              </w:rPr>
              <w:t>iti i fillimit dhe i mbarimit</w:t>
            </w:r>
          </w:p>
        </w:tc>
        <w:tc>
          <w:tcPr>
            <w:tcW w:w="367" w:type="dxa"/>
            <w:tcBorders>
              <w:top w:val="nil"/>
              <w:left w:val="nil"/>
              <w:bottom w:val="single" w:sz="8" w:space="0" w:color="auto"/>
              <w:right w:val="single" w:sz="8" w:space="0" w:color="auto"/>
            </w:tcBorders>
            <w:shd w:val="clear" w:color="000000" w:fill="DAF2D0"/>
            <w:vAlign w:val="center"/>
            <w:hideMark/>
          </w:tcPr>
          <w:p w14:paraId="0E87895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i fillimit dhe i mbarimit</w:t>
            </w:r>
          </w:p>
        </w:tc>
        <w:tc>
          <w:tcPr>
            <w:tcW w:w="372" w:type="dxa"/>
            <w:tcBorders>
              <w:top w:val="nil"/>
              <w:left w:val="nil"/>
              <w:bottom w:val="single" w:sz="8" w:space="0" w:color="auto"/>
              <w:right w:val="single" w:sz="4" w:space="0" w:color="auto"/>
            </w:tcBorders>
            <w:shd w:val="clear" w:color="000000" w:fill="DAF2D0"/>
            <w:vAlign w:val="center"/>
            <w:hideMark/>
          </w:tcPr>
          <w:p w14:paraId="00ABB60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AF2D0"/>
            <w:vAlign w:val="center"/>
            <w:hideMark/>
          </w:tcPr>
          <w:p w14:paraId="5673F17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426" w:type="dxa"/>
            <w:tcBorders>
              <w:top w:val="nil"/>
              <w:left w:val="nil"/>
              <w:bottom w:val="single" w:sz="8" w:space="0" w:color="auto"/>
              <w:right w:val="single" w:sz="4" w:space="0" w:color="auto"/>
            </w:tcBorders>
            <w:shd w:val="clear" w:color="000000" w:fill="DAF2D0"/>
            <w:vAlign w:val="center"/>
            <w:hideMark/>
          </w:tcPr>
          <w:p w14:paraId="3902DC1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618" w:type="dxa"/>
            <w:tcBorders>
              <w:top w:val="nil"/>
              <w:left w:val="nil"/>
              <w:bottom w:val="single" w:sz="8" w:space="0" w:color="auto"/>
              <w:right w:val="single" w:sz="4" w:space="0" w:color="auto"/>
            </w:tcBorders>
            <w:shd w:val="clear" w:color="000000" w:fill="DAF2D0"/>
            <w:vAlign w:val="center"/>
            <w:hideMark/>
          </w:tcPr>
          <w:p w14:paraId="3DC2215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618" w:type="dxa"/>
            <w:tcBorders>
              <w:top w:val="nil"/>
              <w:left w:val="nil"/>
              <w:bottom w:val="single" w:sz="8" w:space="0" w:color="auto"/>
              <w:right w:val="single" w:sz="4" w:space="0" w:color="auto"/>
            </w:tcBorders>
            <w:shd w:val="clear" w:color="000000" w:fill="DAF2D0"/>
            <w:vAlign w:val="center"/>
            <w:hideMark/>
          </w:tcPr>
          <w:p w14:paraId="5B85EF4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 Banka Botërore</w:t>
            </w:r>
          </w:p>
        </w:tc>
        <w:tc>
          <w:tcPr>
            <w:tcW w:w="605" w:type="dxa"/>
            <w:tcBorders>
              <w:top w:val="nil"/>
              <w:left w:val="nil"/>
              <w:bottom w:val="single" w:sz="8" w:space="0" w:color="auto"/>
              <w:right w:val="single" w:sz="8" w:space="0" w:color="auto"/>
            </w:tcBorders>
            <w:shd w:val="clear" w:color="000000" w:fill="DAF2D0"/>
            <w:vAlign w:val="center"/>
            <w:hideMark/>
          </w:tcPr>
          <w:p w14:paraId="3C396D7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nil"/>
              <w:bottom w:val="single" w:sz="8" w:space="0" w:color="auto"/>
              <w:right w:val="single" w:sz="4" w:space="0" w:color="auto"/>
            </w:tcBorders>
            <w:shd w:val="clear" w:color="000000" w:fill="DAF2D0"/>
            <w:vAlign w:val="center"/>
            <w:hideMark/>
          </w:tcPr>
          <w:p w14:paraId="0229D6B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AF2D0"/>
            <w:vAlign w:val="center"/>
            <w:hideMark/>
          </w:tcPr>
          <w:p w14:paraId="1A1FB5F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DAF2D0"/>
            <w:vAlign w:val="center"/>
            <w:hideMark/>
          </w:tcPr>
          <w:p w14:paraId="4D94FCD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DAF2D0"/>
            <w:vAlign w:val="center"/>
            <w:hideMark/>
          </w:tcPr>
          <w:p w14:paraId="67B44D0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DAF2D0"/>
            <w:vAlign w:val="center"/>
            <w:hideMark/>
          </w:tcPr>
          <w:p w14:paraId="0AFBAA4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nil"/>
            </w:tcBorders>
            <w:shd w:val="clear" w:color="000000" w:fill="DAF2D0"/>
            <w:vAlign w:val="center"/>
            <w:hideMark/>
          </w:tcPr>
          <w:p w14:paraId="73BF7FF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single" w:sz="8" w:space="0" w:color="auto"/>
              <w:bottom w:val="single" w:sz="8" w:space="0" w:color="auto"/>
              <w:right w:val="single" w:sz="4" w:space="0" w:color="auto"/>
            </w:tcBorders>
            <w:shd w:val="clear" w:color="000000" w:fill="DAF2D0"/>
            <w:vAlign w:val="center"/>
            <w:hideMark/>
          </w:tcPr>
          <w:p w14:paraId="149D065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AF2D0"/>
            <w:vAlign w:val="center"/>
            <w:hideMark/>
          </w:tcPr>
          <w:p w14:paraId="670908C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DAF2D0"/>
            <w:vAlign w:val="center"/>
            <w:hideMark/>
          </w:tcPr>
          <w:p w14:paraId="60A1A31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DAF2D0"/>
            <w:vAlign w:val="center"/>
            <w:hideMark/>
          </w:tcPr>
          <w:p w14:paraId="33FA6E1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DAF2D0"/>
            <w:vAlign w:val="center"/>
            <w:hideMark/>
          </w:tcPr>
          <w:p w14:paraId="295D4B4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single" w:sz="8" w:space="0" w:color="auto"/>
            </w:tcBorders>
            <w:shd w:val="clear" w:color="000000" w:fill="DAF2D0"/>
            <w:vAlign w:val="center"/>
            <w:hideMark/>
          </w:tcPr>
          <w:p w14:paraId="7B1ED3F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464" w:type="dxa"/>
            <w:tcBorders>
              <w:top w:val="nil"/>
              <w:left w:val="nil"/>
              <w:bottom w:val="single" w:sz="8" w:space="0" w:color="auto"/>
              <w:right w:val="single" w:sz="4" w:space="0" w:color="auto"/>
            </w:tcBorders>
            <w:shd w:val="clear" w:color="000000" w:fill="DAF2D0"/>
            <w:vAlign w:val="center"/>
            <w:hideMark/>
          </w:tcPr>
          <w:p w14:paraId="68B6826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Produktit të Aktivitetit</w:t>
            </w:r>
          </w:p>
        </w:tc>
        <w:tc>
          <w:tcPr>
            <w:tcW w:w="442" w:type="dxa"/>
            <w:tcBorders>
              <w:top w:val="nil"/>
              <w:left w:val="nil"/>
              <w:bottom w:val="single" w:sz="8" w:space="0" w:color="auto"/>
              <w:right w:val="single" w:sz="4" w:space="0" w:color="auto"/>
            </w:tcBorders>
            <w:shd w:val="clear" w:color="000000" w:fill="DAF2D0"/>
            <w:vAlign w:val="center"/>
            <w:hideMark/>
          </w:tcPr>
          <w:p w14:paraId="3CB54A9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87" w:type="dxa"/>
            <w:tcBorders>
              <w:top w:val="nil"/>
              <w:left w:val="nil"/>
              <w:bottom w:val="single" w:sz="8" w:space="0" w:color="auto"/>
              <w:right w:val="single" w:sz="8" w:space="0" w:color="auto"/>
            </w:tcBorders>
            <w:shd w:val="clear" w:color="000000" w:fill="DAF2D0"/>
            <w:vAlign w:val="center"/>
            <w:hideMark/>
          </w:tcPr>
          <w:p w14:paraId="11FC2E6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Shënime</w:t>
            </w:r>
          </w:p>
        </w:tc>
        <w:tc>
          <w:tcPr>
            <w:tcW w:w="394" w:type="dxa"/>
            <w:tcBorders>
              <w:top w:val="nil"/>
              <w:left w:val="nil"/>
              <w:bottom w:val="nil"/>
              <w:right w:val="nil"/>
            </w:tcBorders>
            <w:shd w:val="clear" w:color="auto" w:fill="auto"/>
            <w:noWrap/>
            <w:vAlign w:val="bottom"/>
            <w:hideMark/>
          </w:tcPr>
          <w:p w14:paraId="128DA05B"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2DFC185D" w14:textId="77777777" w:rsidTr="00962754">
        <w:trPr>
          <w:trHeight w:val="20"/>
        </w:trPr>
        <w:tc>
          <w:tcPr>
            <w:tcW w:w="718" w:type="dxa"/>
            <w:tcBorders>
              <w:top w:val="nil"/>
              <w:left w:val="single" w:sz="8" w:space="0" w:color="auto"/>
              <w:bottom w:val="nil"/>
              <w:right w:val="single" w:sz="4" w:space="0" w:color="auto"/>
            </w:tcBorders>
            <w:shd w:val="clear" w:color="000000" w:fill="E2EFD9"/>
            <w:hideMark/>
          </w:tcPr>
          <w:p w14:paraId="5E98029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3.1</w:t>
            </w:r>
            <w:r w:rsidRPr="00B907A3">
              <w:rPr>
                <w:rFonts w:ascii="Garamond" w:hAnsi="Garamond" w:cs="Arial"/>
                <w:b/>
                <w:bCs/>
                <w:color w:val="000000"/>
                <w:sz w:val="6"/>
                <w:szCs w:val="12"/>
                <w:lang w:eastAsia="en-US"/>
              </w:rPr>
              <w:br/>
              <w:t>Përmirësimi i procedurave të regjistrimit automjeteve</w:t>
            </w:r>
          </w:p>
        </w:tc>
        <w:tc>
          <w:tcPr>
            <w:tcW w:w="571" w:type="dxa"/>
            <w:tcBorders>
              <w:top w:val="nil"/>
              <w:left w:val="nil"/>
              <w:bottom w:val="single" w:sz="4" w:space="0" w:color="auto"/>
              <w:right w:val="single" w:sz="4" w:space="0" w:color="auto"/>
            </w:tcBorders>
            <w:shd w:val="clear" w:color="auto" w:fill="auto"/>
            <w:hideMark/>
          </w:tcPr>
          <w:p w14:paraId="08A95B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643504E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610AA5F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08D61C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AECC4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683AEE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37D92D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21C0D9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7E6EF8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E2EFD9"/>
            <w:hideMark/>
          </w:tcPr>
          <w:p w14:paraId="0238F32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3.1.1 </w:t>
            </w:r>
            <w:r w:rsidRPr="00B907A3">
              <w:rPr>
                <w:rFonts w:ascii="Garamond" w:hAnsi="Garamond" w:cs="Arial"/>
                <w:b/>
                <w:bCs/>
                <w:color w:val="000000"/>
                <w:sz w:val="6"/>
                <w:szCs w:val="12"/>
                <w:lang w:eastAsia="en-US"/>
              </w:rPr>
              <w:br/>
              <w:t>Përditësim i aktit të lejes së qarkullimit për përputhshmëri me direktivën Evropiane 1999/37/EC</w:t>
            </w:r>
          </w:p>
        </w:tc>
        <w:tc>
          <w:tcPr>
            <w:tcW w:w="520" w:type="dxa"/>
            <w:tcBorders>
              <w:top w:val="nil"/>
              <w:left w:val="nil"/>
              <w:bottom w:val="single" w:sz="4" w:space="0" w:color="auto"/>
              <w:right w:val="single" w:sz="4" w:space="0" w:color="auto"/>
            </w:tcBorders>
            <w:shd w:val="clear" w:color="auto" w:fill="auto"/>
            <w:hideMark/>
          </w:tcPr>
          <w:p w14:paraId="5DD5BE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512" w:type="dxa"/>
            <w:tcBorders>
              <w:top w:val="nil"/>
              <w:left w:val="nil"/>
              <w:bottom w:val="single" w:sz="4" w:space="0" w:color="auto"/>
              <w:right w:val="single" w:sz="4" w:space="0" w:color="auto"/>
            </w:tcBorders>
            <w:shd w:val="clear" w:color="auto" w:fill="auto"/>
            <w:hideMark/>
          </w:tcPr>
          <w:p w14:paraId="6BEF3F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w:t>
            </w:r>
          </w:p>
        </w:tc>
        <w:tc>
          <w:tcPr>
            <w:tcW w:w="367" w:type="dxa"/>
            <w:tcBorders>
              <w:top w:val="nil"/>
              <w:left w:val="nil"/>
              <w:bottom w:val="single" w:sz="4" w:space="0" w:color="auto"/>
              <w:right w:val="single" w:sz="8" w:space="0" w:color="auto"/>
            </w:tcBorders>
            <w:shd w:val="clear" w:color="auto" w:fill="auto"/>
            <w:hideMark/>
          </w:tcPr>
          <w:p w14:paraId="545150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4E90B6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20BAA6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33A403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3634D6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40C52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7C419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925BD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07DCFE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442617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465CD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07B9A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0DEF7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4B67A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1784FB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63A98B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7A5294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D0B051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AD045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30599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Analiza e mangësive e përfunduar</w:t>
            </w:r>
          </w:p>
        </w:tc>
        <w:tc>
          <w:tcPr>
            <w:tcW w:w="442" w:type="dxa"/>
            <w:tcBorders>
              <w:top w:val="nil"/>
              <w:left w:val="nil"/>
              <w:bottom w:val="single" w:sz="4" w:space="0" w:color="auto"/>
              <w:right w:val="single" w:sz="4" w:space="0" w:color="auto"/>
            </w:tcBorders>
            <w:shd w:val="clear" w:color="000000" w:fill="FFFFFF"/>
            <w:hideMark/>
          </w:tcPr>
          <w:p w14:paraId="68DDE6D0" w14:textId="5C2CEDF3"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p>
        </w:tc>
        <w:tc>
          <w:tcPr>
            <w:tcW w:w="287" w:type="dxa"/>
            <w:tcBorders>
              <w:top w:val="nil"/>
              <w:left w:val="nil"/>
              <w:bottom w:val="single" w:sz="4" w:space="0" w:color="auto"/>
              <w:right w:val="single" w:sz="8" w:space="0" w:color="auto"/>
            </w:tcBorders>
            <w:shd w:val="clear" w:color="000000" w:fill="FFFFFF"/>
            <w:hideMark/>
          </w:tcPr>
          <w:p w14:paraId="23EC9F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7A8B387"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8391828"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E2EFD9"/>
            <w:vAlign w:val="center"/>
            <w:hideMark/>
          </w:tcPr>
          <w:p w14:paraId="3B3F64D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nil"/>
              <w:right w:val="nil"/>
            </w:tcBorders>
            <w:shd w:val="clear" w:color="auto" w:fill="auto"/>
            <w:noWrap/>
            <w:hideMark/>
          </w:tcPr>
          <w:p w14:paraId="0A0CDA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TKP në përdorim</w:t>
            </w:r>
          </w:p>
        </w:tc>
        <w:tc>
          <w:tcPr>
            <w:tcW w:w="470" w:type="dxa"/>
            <w:tcBorders>
              <w:top w:val="nil"/>
              <w:left w:val="single" w:sz="4" w:space="0" w:color="auto"/>
              <w:bottom w:val="single" w:sz="4" w:space="0" w:color="auto"/>
              <w:right w:val="single" w:sz="4" w:space="0" w:color="auto"/>
            </w:tcBorders>
            <w:shd w:val="clear" w:color="auto" w:fill="auto"/>
            <w:hideMark/>
          </w:tcPr>
          <w:p w14:paraId="2A259D7C" w14:textId="5B3A1D96"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001775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1F1174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7BB41A0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475883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29ADF5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nil"/>
              <w:right w:val="single" w:sz="8" w:space="0" w:color="auto"/>
            </w:tcBorders>
            <w:shd w:val="clear" w:color="auto" w:fill="auto"/>
            <w:hideMark/>
          </w:tcPr>
          <w:p w14:paraId="11B3BF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IT-së</w:t>
            </w:r>
          </w:p>
        </w:tc>
        <w:tc>
          <w:tcPr>
            <w:tcW w:w="236" w:type="dxa"/>
            <w:tcBorders>
              <w:top w:val="nil"/>
              <w:left w:val="nil"/>
              <w:bottom w:val="single" w:sz="4" w:space="0" w:color="auto"/>
              <w:right w:val="nil"/>
            </w:tcBorders>
            <w:shd w:val="clear" w:color="000000" w:fill="EE0000"/>
            <w:hideMark/>
          </w:tcPr>
          <w:p w14:paraId="37CC580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355A407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3.1.2</w:t>
            </w:r>
            <w:r w:rsidRPr="00B907A3">
              <w:rPr>
                <w:rFonts w:ascii="Garamond" w:hAnsi="Garamond" w:cs="Arial"/>
                <w:b/>
                <w:bCs/>
                <w:color w:val="000000"/>
                <w:sz w:val="6"/>
                <w:szCs w:val="12"/>
                <w:lang w:eastAsia="en-US"/>
              </w:rPr>
              <w:br/>
              <w:t>Monitorimi i moshës mesatare të automjeteve si TKP</w:t>
            </w:r>
          </w:p>
        </w:tc>
        <w:tc>
          <w:tcPr>
            <w:tcW w:w="520" w:type="dxa"/>
            <w:tcBorders>
              <w:top w:val="nil"/>
              <w:left w:val="nil"/>
              <w:bottom w:val="single" w:sz="4" w:space="0" w:color="auto"/>
              <w:right w:val="single" w:sz="4" w:space="0" w:color="auto"/>
            </w:tcBorders>
            <w:shd w:val="clear" w:color="auto" w:fill="auto"/>
            <w:hideMark/>
          </w:tcPr>
          <w:p w14:paraId="6267DDF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w:t>
            </w:r>
          </w:p>
        </w:tc>
        <w:tc>
          <w:tcPr>
            <w:tcW w:w="512" w:type="dxa"/>
            <w:tcBorders>
              <w:top w:val="nil"/>
              <w:left w:val="nil"/>
              <w:bottom w:val="single" w:sz="4" w:space="0" w:color="auto"/>
              <w:right w:val="single" w:sz="4" w:space="0" w:color="auto"/>
            </w:tcBorders>
            <w:shd w:val="clear" w:color="auto" w:fill="auto"/>
            <w:hideMark/>
          </w:tcPr>
          <w:p w14:paraId="45BBF4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367" w:type="dxa"/>
            <w:tcBorders>
              <w:top w:val="nil"/>
              <w:left w:val="nil"/>
              <w:bottom w:val="single" w:sz="4" w:space="0" w:color="auto"/>
              <w:right w:val="single" w:sz="8" w:space="0" w:color="auto"/>
            </w:tcBorders>
            <w:shd w:val="clear" w:color="auto" w:fill="auto"/>
            <w:hideMark/>
          </w:tcPr>
          <w:p w14:paraId="56A73C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68D988B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7C5EEA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604DEA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2816DD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04D15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83178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CED44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568D8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3248B06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29A534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1DE78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ED090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256B1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02F647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3D1603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108CA5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EBA4E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C6DF5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316A40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TKP e përditësuar</w:t>
            </w:r>
          </w:p>
        </w:tc>
        <w:tc>
          <w:tcPr>
            <w:tcW w:w="442" w:type="dxa"/>
            <w:tcBorders>
              <w:top w:val="nil"/>
              <w:left w:val="nil"/>
              <w:bottom w:val="single" w:sz="4" w:space="0" w:color="auto"/>
              <w:right w:val="single" w:sz="4" w:space="0" w:color="auto"/>
            </w:tcBorders>
            <w:shd w:val="clear" w:color="000000" w:fill="FFFFFF"/>
            <w:hideMark/>
          </w:tcPr>
          <w:p w14:paraId="5431DC8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IT-së</w:t>
            </w:r>
          </w:p>
        </w:tc>
        <w:tc>
          <w:tcPr>
            <w:tcW w:w="287" w:type="dxa"/>
            <w:tcBorders>
              <w:top w:val="nil"/>
              <w:left w:val="nil"/>
              <w:bottom w:val="single" w:sz="4" w:space="0" w:color="auto"/>
              <w:right w:val="single" w:sz="8" w:space="0" w:color="auto"/>
            </w:tcBorders>
            <w:shd w:val="clear" w:color="000000" w:fill="FFFFFF"/>
            <w:hideMark/>
          </w:tcPr>
          <w:p w14:paraId="17E632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525DA6A"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0BDC025"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E2EFD9"/>
            <w:vAlign w:val="center"/>
            <w:hideMark/>
          </w:tcPr>
          <w:p w14:paraId="516095E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4" w:space="0" w:color="auto"/>
              <w:left w:val="nil"/>
              <w:bottom w:val="single" w:sz="4" w:space="0" w:color="auto"/>
              <w:right w:val="single" w:sz="4" w:space="0" w:color="auto"/>
            </w:tcBorders>
            <w:shd w:val="clear" w:color="auto" w:fill="auto"/>
            <w:vAlign w:val="center"/>
            <w:hideMark/>
          </w:tcPr>
          <w:p w14:paraId="016414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7777A6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443674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781EB2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4CA364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334490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685F517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4" w:space="0" w:color="auto"/>
              <w:right w:val="single" w:sz="8" w:space="0" w:color="auto"/>
            </w:tcBorders>
            <w:shd w:val="clear" w:color="auto" w:fill="auto"/>
            <w:vAlign w:val="center"/>
            <w:hideMark/>
          </w:tcPr>
          <w:p w14:paraId="2BC587D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53F8363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7445AFC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30755B8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hideMark/>
          </w:tcPr>
          <w:p w14:paraId="21453C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7821BC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15797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86B00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1C09FB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46073C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EB4AB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14268F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6581E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DA894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674ADB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DD179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8331D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BF805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4FF0E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47D45FE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96F5E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09BA3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DC9B6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6E6B5B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27AF18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034DC4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596AA0F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AAF4382"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7BEB8931" w14:textId="77777777" w:rsidTr="00962754">
        <w:trPr>
          <w:trHeight w:val="20"/>
        </w:trPr>
        <w:tc>
          <w:tcPr>
            <w:tcW w:w="718" w:type="dxa"/>
            <w:tcBorders>
              <w:top w:val="nil"/>
              <w:left w:val="single" w:sz="8" w:space="0" w:color="auto"/>
              <w:bottom w:val="nil"/>
              <w:right w:val="single" w:sz="4" w:space="0" w:color="auto"/>
            </w:tcBorders>
            <w:shd w:val="clear" w:color="000000" w:fill="E2EFD9"/>
            <w:hideMark/>
          </w:tcPr>
          <w:p w14:paraId="6A81373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3.2</w:t>
            </w:r>
            <w:r w:rsidRPr="00B907A3">
              <w:rPr>
                <w:rFonts w:ascii="Garamond" w:hAnsi="Garamond" w:cs="Arial"/>
                <w:b/>
                <w:bCs/>
                <w:color w:val="000000"/>
                <w:sz w:val="6"/>
                <w:szCs w:val="12"/>
                <w:lang w:eastAsia="en-US"/>
              </w:rPr>
              <w:br/>
              <w:t>Përmirësimi dhe kontrolli i gjendjes teknike të automjeteve</w:t>
            </w:r>
          </w:p>
        </w:tc>
        <w:tc>
          <w:tcPr>
            <w:tcW w:w="571" w:type="dxa"/>
            <w:tcBorders>
              <w:top w:val="nil"/>
              <w:left w:val="nil"/>
              <w:bottom w:val="single" w:sz="4" w:space="0" w:color="auto"/>
              <w:right w:val="single" w:sz="4" w:space="0" w:color="auto"/>
            </w:tcBorders>
            <w:shd w:val="clear" w:color="auto" w:fill="auto"/>
            <w:hideMark/>
          </w:tcPr>
          <w:p w14:paraId="7A2F0DEA" w14:textId="130B4AF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Personel i trajnuar</w:t>
            </w:r>
            <w:r w:rsidR="005C1DD9">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për inspektorët e kontrollit teknik të mjeteve</w:t>
            </w:r>
          </w:p>
        </w:tc>
        <w:tc>
          <w:tcPr>
            <w:tcW w:w="470" w:type="dxa"/>
            <w:tcBorders>
              <w:top w:val="nil"/>
              <w:left w:val="nil"/>
              <w:bottom w:val="single" w:sz="4" w:space="0" w:color="auto"/>
              <w:right w:val="single" w:sz="4" w:space="0" w:color="auto"/>
            </w:tcBorders>
            <w:shd w:val="clear" w:color="auto" w:fill="auto"/>
            <w:hideMark/>
          </w:tcPr>
          <w:p w14:paraId="7A35D645" w14:textId="557D9440"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r w:rsidR="00FB5830">
              <w:rPr>
                <w:rFonts w:ascii="Garamond" w:hAnsi="Garamond" w:cs="Arial"/>
                <w:color w:val="000000"/>
                <w:sz w:val="6"/>
                <w:szCs w:val="12"/>
                <w:lang w:eastAsia="en-US"/>
              </w:rPr>
              <w:t>/jo/</w:t>
            </w:r>
            <w:r w:rsidR="00FB5830"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7E6A16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46ECC7B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04B7AF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15CADA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nil"/>
              <w:left w:val="nil"/>
              <w:bottom w:val="single" w:sz="4" w:space="0" w:color="auto"/>
              <w:right w:val="single" w:sz="4" w:space="0" w:color="auto"/>
            </w:tcBorders>
            <w:shd w:val="clear" w:color="auto" w:fill="auto"/>
            <w:hideMark/>
          </w:tcPr>
          <w:p w14:paraId="223E9F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nil"/>
              <w:right w:val="single" w:sz="8" w:space="0" w:color="auto"/>
            </w:tcBorders>
            <w:shd w:val="clear" w:color="auto" w:fill="auto"/>
            <w:hideMark/>
          </w:tcPr>
          <w:p w14:paraId="5767A7F5" w14:textId="2FE58425"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5C1DD9" w:rsidRPr="00B907A3">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3EA348B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192A08E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3.2.1</w:t>
            </w:r>
            <w:r w:rsidRPr="00B907A3">
              <w:rPr>
                <w:rFonts w:ascii="Garamond" w:hAnsi="Garamond" w:cs="Arial"/>
                <w:b/>
                <w:bCs/>
                <w:color w:val="000000"/>
                <w:sz w:val="6"/>
                <w:szCs w:val="12"/>
                <w:lang w:eastAsia="en-US"/>
              </w:rPr>
              <w:br/>
              <w:t xml:space="preserve">Zhvillim trajnimesh për inspektorët e kontrollit teknik të mjeteve </w:t>
            </w:r>
          </w:p>
        </w:tc>
        <w:tc>
          <w:tcPr>
            <w:tcW w:w="520" w:type="dxa"/>
            <w:tcBorders>
              <w:top w:val="nil"/>
              <w:left w:val="nil"/>
              <w:bottom w:val="single" w:sz="4" w:space="0" w:color="auto"/>
              <w:right w:val="single" w:sz="4" w:space="0" w:color="auto"/>
            </w:tcBorders>
            <w:shd w:val="clear" w:color="auto" w:fill="auto"/>
            <w:hideMark/>
          </w:tcPr>
          <w:p w14:paraId="7CA426A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w:t>
            </w:r>
          </w:p>
        </w:tc>
        <w:tc>
          <w:tcPr>
            <w:tcW w:w="512" w:type="dxa"/>
            <w:tcBorders>
              <w:top w:val="nil"/>
              <w:left w:val="nil"/>
              <w:bottom w:val="single" w:sz="4" w:space="0" w:color="auto"/>
              <w:right w:val="single" w:sz="4" w:space="0" w:color="auto"/>
            </w:tcBorders>
            <w:shd w:val="clear" w:color="auto" w:fill="auto"/>
            <w:hideMark/>
          </w:tcPr>
          <w:p w14:paraId="406C09B2" w14:textId="2E5963B8" w:rsidR="00962754" w:rsidRPr="00B907A3" w:rsidRDefault="00DB76F6"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Task-</w:t>
            </w:r>
            <w:r w:rsidR="00962754" w:rsidRPr="00B907A3">
              <w:rPr>
                <w:rFonts w:ascii="Garamond" w:hAnsi="Garamond" w:cs="Arial"/>
                <w:color w:val="000000"/>
                <w:sz w:val="6"/>
                <w:szCs w:val="12"/>
                <w:lang w:eastAsia="en-US"/>
              </w:rPr>
              <w:t>Forca</w:t>
            </w:r>
          </w:p>
        </w:tc>
        <w:tc>
          <w:tcPr>
            <w:tcW w:w="367" w:type="dxa"/>
            <w:tcBorders>
              <w:top w:val="nil"/>
              <w:left w:val="nil"/>
              <w:bottom w:val="single" w:sz="4" w:space="0" w:color="auto"/>
              <w:right w:val="single" w:sz="8" w:space="0" w:color="auto"/>
            </w:tcBorders>
            <w:shd w:val="clear" w:color="auto" w:fill="auto"/>
            <w:hideMark/>
          </w:tcPr>
          <w:p w14:paraId="0BBCC5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63F1EFE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nil"/>
              <w:left w:val="nil"/>
              <w:bottom w:val="single" w:sz="4" w:space="0" w:color="auto"/>
              <w:right w:val="single" w:sz="4" w:space="0" w:color="auto"/>
            </w:tcBorders>
            <w:shd w:val="clear" w:color="auto" w:fill="auto"/>
            <w:hideMark/>
          </w:tcPr>
          <w:p w14:paraId="538C7A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FFFFFF"/>
            <w:hideMark/>
          </w:tcPr>
          <w:p w14:paraId="4F53ECE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618" w:type="dxa"/>
            <w:tcBorders>
              <w:top w:val="nil"/>
              <w:left w:val="nil"/>
              <w:bottom w:val="single" w:sz="4" w:space="0" w:color="auto"/>
              <w:right w:val="single" w:sz="4" w:space="0" w:color="auto"/>
            </w:tcBorders>
            <w:shd w:val="clear" w:color="000000" w:fill="FFFFFF"/>
            <w:hideMark/>
          </w:tcPr>
          <w:p w14:paraId="61B40C7E"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1000</w:t>
            </w:r>
          </w:p>
        </w:tc>
        <w:tc>
          <w:tcPr>
            <w:tcW w:w="618" w:type="dxa"/>
            <w:tcBorders>
              <w:top w:val="nil"/>
              <w:left w:val="nil"/>
              <w:bottom w:val="single" w:sz="4" w:space="0" w:color="auto"/>
              <w:right w:val="single" w:sz="4" w:space="0" w:color="auto"/>
            </w:tcBorders>
            <w:shd w:val="clear" w:color="auto" w:fill="auto"/>
            <w:hideMark/>
          </w:tcPr>
          <w:p w14:paraId="53502E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4624AB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7D3A4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nil"/>
              <w:left w:val="nil"/>
              <w:bottom w:val="single" w:sz="4" w:space="0" w:color="auto"/>
              <w:right w:val="single" w:sz="4" w:space="0" w:color="auto"/>
            </w:tcBorders>
            <w:shd w:val="clear" w:color="auto" w:fill="auto"/>
            <w:hideMark/>
          </w:tcPr>
          <w:p w14:paraId="5D4CC8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65BD64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82" w:type="dxa"/>
            <w:tcBorders>
              <w:top w:val="nil"/>
              <w:left w:val="nil"/>
              <w:bottom w:val="single" w:sz="4" w:space="0" w:color="auto"/>
              <w:right w:val="single" w:sz="4" w:space="0" w:color="auto"/>
            </w:tcBorders>
            <w:shd w:val="clear" w:color="000000" w:fill="FFFFFF"/>
            <w:hideMark/>
          </w:tcPr>
          <w:p w14:paraId="2DCA6542"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1000</w:t>
            </w:r>
          </w:p>
        </w:tc>
        <w:tc>
          <w:tcPr>
            <w:tcW w:w="382" w:type="dxa"/>
            <w:tcBorders>
              <w:top w:val="nil"/>
              <w:left w:val="nil"/>
              <w:bottom w:val="single" w:sz="4" w:space="0" w:color="auto"/>
              <w:right w:val="single" w:sz="4" w:space="0" w:color="auto"/>
            </w:tcBorders>
            <w:shd w:val="clear" w:color="000000" w:fill="FFFFFF"/>
            <w:hideMark/>
          </w:tcPr>
          <w:p w14:paraId="489B569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A56A3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38C641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nil"/>
              <w:left w:val="nil"/>
              <w:bottom w:val="single" w:sz="4" w:space="0" w:color="auto"/>
              <w:right w:val="single" w:sz="4" w:space="0" w:color="auto"/>
            </w:tcBorders>
            <w:shd w:val="clear" w:color="000000" w:fill="FFFFFF"/>
            <w:hideMark/>
          </w:tcPr>
          <w:p w14:paraId="28C37C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6E8022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82" w:type="dxa"/>
            <w:tcBorders>
              <w:top w:val="nil"/>
              <w:left w:val="nil"/>
              <w:bottom w:val="single" w:sz="4" w:space="0" w:color="auto"/>
              <w:right w:val="single" w:sz="4" w:space="0" w:color="auto"/>
            </w:tcBorders>
            <w:shd w:val="clear" w:color="000000" w:fill="FFFFFF"/>
            <w:hideMark/>
          </w:tcPr>
          <w:p w14:paraId="44AA9DB6"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1000</w:t>
            </w:r>
          </w:p>
        </w:tc>
        <w:tc>
          <w:tcPr>
            <w:tcW w:w="382" w:type="dxa"/>
            <w:tcBorders>
              <w:top w:val="nil"/>
              <w:left w:val="nil"/>
              <w:bottom w:val="single" w:sz="4" w:space="0" w:color="auto"/>
              <w:right w:val="single" w:sz="4" w:space="0" w:color="auto"/>
            </w:tcBorders>
            <w:shd w:val="clear" w:color="000000" w:fill="FFFFFF"/>
            <w:hideMark/>
          </w:tcPr>
          <w:p w14:paraId="607138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29E75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440547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Personel I trajnuar</w:t>
            </w:r>
          </w:p>
        </w:tc>
        <w:tc>
          <w:tcPr>
            <w:tcW w:w="442" w:type="dxa"/>
            <w:tcBorders>
              <w:top w:val="nil"/>
              <w:left w:val="nil"/>
              <w:bottom w:val="single" w:sz="4" w:space="0" w:color="auto"/>
              <w:right w:val="single" w:sz="4" w:space="0" w:color="auto"/>
            </w:tcBorders>
            <w:shd w:val="clear" w:color="000000" w:fill="FFFFFF"/>
            <w:hideMark/>
          </w:tcPr>
          <w:p w14:paraId="1983DB73" w14:textId="2DA68786"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5C1DD9" w:rsidRPr="00B907A3">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72868B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EAE9DE1"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9DDD973"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E2EFD9"/>
            <w:hideMark/>
          </w:tcPr>
          <w:p w14:paraId="15FB0F7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5B8C38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Përqindja e automjeteve me rezultat negativ të kontrollit teknik e monitoruar</w:t>
            </w:r>
          </w:p>
        </w:tc>
        <w:tc>
          <w:tcPr>
            <w:tcW w:w="470" w:type="dxa"/>
            <w:tcBorders>
              <w:top w:val="nil"/>
              <w:left w:val="nil"/>
              <w:bottom w:val="single" w:sz="4" w:space="0" w:color="auto"/>
              <w:right w:val="single" w:sz="4" w:space="0" w:color="auto"/>
            </w:tcBorders>
            <w:shd w:val="clear" w:color="auto" w:fill="auto"/>
            <w:hideMark/>
          </w:tcPr>
          <w:p w14:paraId="2D63F131" w14:textId="4365FA87"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6E28B3B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2A82BE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74C4EB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418F57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33111A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single" w:sz="4" w:space="0" w:color="auto"/>
              <w:left w:val="nil"/>
              <w:bottom w:val="nil"/>
              <w:right w:val="single" w:sz="8" w:space="0" w:color="auto"/>
            </w:tcBorders>
            <w:shd w:val="clear" w:color="auto" w:fill="auto"/>
            <w:hideMark/>
          </w:tcPr>
          <w:p w14:paraId="32407A3C" w14:textId="337F261A"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5C1DD9" w:rsidRPr="00B907A3">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6E9E23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43C46E7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3.2.2</w:t>
            </w:r>
            <w:r w:rsidRPr="00B907A3">
              <w:rPr>
                <w:rFonts w:ascii="Garamond" w:hAnsi="Garamond" w:cs="Arial"/>
                <w:b/>
                <w:bCs/>
                <w:color w:val="000000"/>
                <w:sz w:val="6"/>
                <w:szCs w:val="12"/>
                <w:lang w:eastAsia="en-US"/>
              </w:rPr>
              <w:br/>
              <w:t>Monitorimi i përqindjes së automjeteve me rezultat negativ të kontrollit teknik</w:t>
            </w:r>
          </w:p>
        </w:tc>
        <w:tc>
          <w:tcPr>
            <w:tcW w:w="520" w:type="dxa"/>
            <w:tcBorders>
              <w:top w:val="nil"/>
              <w:left w:val="nil"/>
              <w:bottom w:val="single" w:sz="4" w:space="0" w:color="auto"/>
              <w:right w:val="single" w:sz="4" w:space="0" w:color="auto"/>
            </w:tcBorders>
            <w:shd w:val="clear" w:color="auto" w:fill="auto"/>
            <w:hideMark/>
          </w:tcPr>
          <w:p w14:paraId="61CFA9D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w:t>
            </w:r>
          </w:p>
        </w:tc>
        <w:tc>
          <w:tcPr>
            <w:tcW w:w="512" w:type="dxa"/>
            <w:tcBorders>
              <w:top w:val="nil"/>
              <w:left w:val="nil"/>
              <w:bottom w:val="single" w:sz="4" w:space="0" w:color="auto"/>
              <w:right w:val="single" w:sz="4" w:space="0" w:color="auto"/>
            </w:tcBorders>
            <w:shd w:val="clear" w:color="auto" w:fill="auto"/>
            <w:hideMark/>
          </w:tcPr>
          <w:p w14:paraId="76B2B327" w14:textId="1E31274B"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Ta</w:t>
            </w:r>
            <w:r w:rsidR="00DB76F6">
              <w:rPr>
                <w:rFonts w:ascii="Garamond" w:hAnsi="Garamond" w:cs="Arial"/>
                <w:color w:val="000000"/>
                <w:sz w:val="6"/>
                <w:szCs w:val="12"/>
                <w:lang w:eastAsia="en-US"/>
              </w:rPr>
              <w:t>sk-</w:t>
            </w:r>
            <w:r w:rsidRPr="00B907A3">
              <w:rPr>
                <w:rFonts w:ascii="Garamond" w:hAnsi="Garamond" w:cs="Arial"/>
                <w:color w:val="000000"/>
                <w:sz w:val="6"/>
                <w:szCs w:val="12"/>
                <w:lang w:eastAsia="en-US"/>
              </w:rPr>
              <w:t>Forca</w:t>
            </w:r>
          </w:p>
        </w:tc>
        <w:tc>
          <w:tcPr>
            <w:tcW w:w="367" w:type="dxa"/>
            <w:tcBorders>
              <w:top w:val="nil"/>
              <w:left w:val="nil"/>
              <w:bottom w:val="single" w:sz="4" w:space="0" w:color="auto"/>
              <w:right w:val="single" w:sz="8" w:space="0" w:color="auto"/>
            </w:tcBorders>
            <w:shd w:val="clear" w:color="auto" w:fill="auto"/>
            <w:hideMark/>
          </w:tcPr>
          <w:p w14:paraId="408FE58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2027- 2029</w:t>
            </w:r>
          </w:p>
        </w:tc>
        <w:tc>
          <w:tcPr>
            <w:tcW w:w="372" w:type="dxa"/>
            <w:tcBorders>
              <w:top w:val="nil"/>
              <w:left w:val="nil"/>
              <w:bottom w:val="single" w:sz="4" w:space="0" w:color="auto"/>
              <w:right w:val="single" w:sz="4" w:space="0" w:color="auto"/>
            </w:tcBorders>
            <w:shd w:val="clear" w:color="auto" w:fill="auto"/>
            <w:hideMark/>
          </w:tcPr>
          <w:p w14:paraId="6B64C6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1425DC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000000" w:fill="FFFFFF"/>
            <w:hideMark/>
          </w:tcPr>
          <w:p w14:paraId="0B83EA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000000" w:fill="FFFFFF"/>
            <w:hideMark/>
          </w:tcPr>
          <w:p w14:paraId="5EDA30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38BC9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54C3D8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845F5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2ED6AF8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7D1832F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246924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0AAF2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691416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42ADB8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1D8C03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1F689E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BA417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117E3F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C9258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154896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Të dhëna monitorimi të përllogaritura </w:t>
            </w:r>
          </w:p>
        </w:tc>
        <w:tc>
          <w:tcPr>
            <w:tcW w:w="442" w:type="dxa"/>
            <w:tcBorders>
              <w:top w:val="nil"/>
              <w:left w:val="nil"/>
              <w:bottom w:val="single" w:sz="4" w:space="0" w:color="auto"/>
              <w:right w:val="single" w:sz="4" w:space="0" w:color="auto"/>
            </w:tcBorders>
            <w:shd w:val="clear" w:color="000000" w:fill="FFFFFF"/>
            <w:hideMark/>
          </w:tcPr>
          <w:p w14:paraId="1CD028F3" w14:textId="42B17A1D"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5C1DD9" w:rsidRPr="00B907A3">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78BFC0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F48E09D"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EEAC118"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E2EFD9"/>
            <w:vAlign w:val="center"/>
            <w:hideMark/>
          </w:tcPr>
          <w:p w14:paraId="2EEBF8B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2DB0E8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76DE2C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445926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B3295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4E8D53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1ED06E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3D342BE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4" w:space="0" w:color="auto"/>
              <w:right w:val="single" w:sz="8" w:space="0" w:color="auto"/>
            </w:tcBorders>
            <w:shd w:val="clear" w:color="auto" w:fill="auto"/>
            <w:vAlign w:val="center"/>
            <w:hideMark/>
          </w:tcPr>
          <w:p w14:paraId="158563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3951DD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149FDCC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53E64D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hideMark/>
          </w:tcPr>
          <w:p w14:paraId="4544C8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7AC92A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26D7F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DD34E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7E716C7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05B24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38181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A3EA4C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04466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B2E270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249C44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A0D55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C8E21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3ABAE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2C3FBB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240BD4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74DEC51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13B93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597F7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21088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3F55A6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53D806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21898B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4B06A4C"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1E61949" w14:textId="77777777" w:rsidTr="00962754">
        <w:trPr>
          <w:trHeight w:val="20"/>
        </w:trPr>
        <w:tc>
          <w:tcPr>
            <w:tcW w:w="718" w:type="dxa"/>
            <w:tcBorders>
              <w:top w:val="nil"/>
              <w:left w:val="single" w:sz="8" w:space="0" w:color="auto"/>
              <w:bottom w:val="nil"/>
              <w:right w:val="single" w:sz="4" w:space="0" w:color="auto"/>
            </w:tcBorders>
            <w:shd w:val="clear" w:color="000000" w:fill="E2EFD9"/>
            <w:hideMark/>
          </w:tcPr>
          <w:p w14:paraId="3EFEAD9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3.3</w:t>
            </w:r>
            <w:r w:rsidRPr="00B907A3">
              <w:rPr>
                <w:rFonts w:ascii="Garamond" w:hAnsi="Garamond" w:cs="Arial"/>
                <w:b/>
                <w:bCs/>
                <w:color w:val="000000"/>
                <w:sz w:val="6"/>
                <w:szCs w:val="12"/>
                <w:lang w:eastAsia="en-US"/>
              </w:rPr>
              <w:br/>
              <w:t>Inspektime teknike në anë të rrugës</w:t>
            </w:r>
          </w:p>
        </w:tc>
        <w:tc>
          <w:tcPr>
            <w:tcW w:w="571" w:type="dxa"/>
            <w:tcBorders>
              <w:top w:val="nil"/>
              <w:left w:val="nil"/>
              <w:bottom w:val="single" w:sz="4" w:space="0" w:color="auto"/>
              <w:right w:val="single" w:sz="4" w:space="0" w:color="auto"/>
            </w:tcBorders>
            <w:shd w:val="clear" w:color="auto" w:fill="auto"/>
            <w:hideMark/>
          </w:tcPr>
          <w:p w14:paraId="4B56DE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Zbatimi i legjislacionit të inspektimeve në ane të rrugës</w:t>
            </w:r>
          </w:p>
        </w:tc>
        <w:tc>
          <w:tcPr>
            <w:tcW w:w="470" w:type="dxa"/>
            <w:tcBorders>
              <w:top w:val="nil"/>
              <w:left w:val="nil"/>
              <w:bottom w:val="single" w:sz="4" w:space="0" w:color="auto"/>
              <w:right w:val="single" w:sz="4" w:space="0" w:color="auto"/>
            </w:tcBorders>
            <w:shd w:val="clear" w:color="auto" w:fill="auto"/>
            <w:hideMark/>
          </w:tcPr>
          <w:p w14:paraId="5EACB54E" w14:textId="2B72FBFC"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22B462B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MIE/MPB</w:t>
            </w:r>
          </w:p>
        </w:tc>
        <w:tc>
          <w:tcPr>
            <w:tcW w:w="366" w:type="dxa"/>
            <w:tcBorders>
              <w:top w:val="nil"/>
              <w:left w:val="nil"/>
              <w:bottom w:val="single" w:sz="4" w:space="0" w:color="auto"/>
              <w:right w:val="single" w:sz="4" w:space="0" w:color="auto"/>
            </w:tcBorders>
            <w:shd w:val="clear" w:color="auto" w:fill="auto"/>
            <w:hideMark/>
          </w:tcPr>
          <w:p w14:paraId="7D3B66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6AD4AD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7C1F3B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552FD3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26C7F420" w14:textId="07FA96FD"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Task-</w:t>
            </w:r>
            <w:r w:rsidR="00962754" w:rsidRPr="00B907A3">
              <w:rPr>
                <w:rFonts w:ascii="Garamond" w:hAnsi="Garamond" w:cs="Arial"/>
                <w:color w:val="000000"/>
                <w:sz w:val="6"/>
                <w:szCs w:val="12"/>
                <w:lang w:eastAsia="en-US"/>
              </w:rPr>
              <w:t>Forcës</w:t>
            </w:r>
          </w:p>
        </w:tc>
        <w:tc>
          <w:tcPr>
            <w:tcW w:w="236" w:type="dxa"/>
            <w:tcBorders>
              <w:top w:val="nil"/>
              <w:left w:val="nil"/>
              <w:bottom w:val="single" w:sz="4" w:space="0" w:color="auto"/>
              <w:right w:val="nil"/>
            </w:tcBorders>
            <w:shd w:val="clear" w:color="000000" w:fill="EE0000"/>
            <w:hideMark/>
          </w:tcPr>
          <w:p w14:paraId="5FED3A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2ADAE66A" w14:textId="01CFFA90"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3.3.1</w:t>
            </w:r>
            <w:r w:rsidRPr="00B907A3">
              <w:rPr>
                <w:rFonts w:ascii="Garamond" w:hAnsi="Garamond" w:cs="Arial"/>
                <w:b/>
                <w:bCs/>
                <w:color w:val="000000"/>
                <w:sz w:val="6"/>
                <w:szCs w:val="12"/>
                <w:lang w:eastAsia="en-US"/>
              </w:rPr>
              <w:br/>
              <w:t xml:space="preserve">Kryerja e inspektimeve me grupe të </w:t>
            </w:r>
            <w:r w:rsidR="005C1DD9">
              <w:rPr>
                <w:rFonts w:ascii="Garamond" w:hAnsi="Garamond" w:cs="Arial"/>
                <w:b/>
                <w:bCs/>
                <w:color w:val="000000"/>
                <w:sz w:val="6"/>
                <w:szCs w:val="12"/>
                <w:lang w:eastAsia="en-US"/>
              </w:rPr>
              <w:t>përbashkëta polici rrugore/Task-</w:t>
            </w:r>
            <w:r w:rsidRPr="00B907A3">
              <w:rPr>
                <w:rFonts w:ascii="Garamond" w:hAnsi="Garamond" w:cs="Arial"/>
                <w:b/>
                <w:bCs/>
                <w:color w:val="000000"/>
                <w:sz w:val="6"/>
                <w:szCs w:val="12"/>
                <w:lang w:eastAsia="en-US"/>
              </w:rPr>
              <w:t>Forcë</w:t>
            </w:r>
          </w:p>
        </w:tc>
        <w:tc>
          <w:tcPr>
            <w:tcW w:w="520" w:type="dxa"/>
            <w:tcBorders>
              <w:top w:val="nil"/>
              <w:left w:val="nil"/>
              <w:bottom w:val="nil"/>
              <w:right w:val="single" w:sz="4" w:space="0" w:color="auto"/>
            </w:tcBorders>
            <w:shd w:val="clear" w:color="auto" w:fill="auto"/>
            <w:hideMark/>
          </w:tcPr>
          <w:p w14:paraId="2AC64AB9" w14:textId="6EB965A1"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Task-</w:t>
            </w:r>
            <w:r w:rsidR="00962754" w:rsidRPr="00B907A3">
              <w:rPr>
                <w:rFonts w:ascii="Garamond" w:hAnsi="Garamond" w:cs="Arial"/>
                <w:color w:val="000000"/>
                <w:sz w:val="6"/>
                <w:szCs w:val="12"/>
                <w:lang w:eastAsia="en-US"/>
              </w:rPr>
              <w:t>Forca</w:t>
            </w:r>
          </w:p>
        </w:tc>
        <w:tc>
          <w:tcPr>
            <w:tcW w:w="512" w:type="dxa"/>
            <w:tcBorders>
              <w:top w:val="nil"/>
              <w:left w:val="nil"/>
              <w:bottom w:val="single" w:sz="4" w:space="0" w:color="auto"/>
              <w:right w:val="single" w:sz="4" w:space="0" w:color="auto"/>
            </w:tcBorders>
            <w:shd w:val="clear" w:color="auto" w:fill="auto"/>
            <w:hideMark/>
          </w:tcPr>
          <w:p w14:paraId="142D695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PRr/ DPSHTRR</w:t>
            </w:r>
          </w:p>
        </w:tc>
        <w:tc>
          <w:tcPr>
            <w:tcW w:w="367" w:type="dxa"/>
            <w:tcBorders>
              <w:top w:val="nil"/>
              <w:left w:val="nil"/>
              <w:bottom w:val="single" w:sz="4" w:space="0" w:color="auto"/>
              <w:right w:val="single" w:sz="8" w:space="0" w:color="auto"/>
            </w:tcBorders>
            <w:shd w:val="clear" w:color="auto" w:fill="auto"/>
            <w:hideMark/>
          </w:tcPr>
          <w:p w14:paraId="2D2FB3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2028-2029</w:t>
            </w:r>
          </w:p>
        </w:tc>
        <w:tc>
          <w:tcPr>
            <w:tcW w:w="372" w:type="dxa"/>
            <w:tcBorders>
              <w:top w:val="nil"/>
              <w:left w:val="nil"/>
              <w:bottom w:val="single" w:sz="4" w:space="0" w:color="auto"/>
              <w:right w:val="single" w:sz="4" w:space="0" w:color="auto"/>
            </w:tcBorders>
            <w:shd w:val="clear" w:color="auto" w:fill="auto"/>
            <w:hideMark/>
          </w:tcPr>
          <w:p w14:paraId="19FAC8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4E505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210573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93D5B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1F41E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D3C1B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5F378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286301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793873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5BF54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81D0B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D5DAD9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DD8BD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7EE668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684DEC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108877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E5982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AF74C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C396EFD" w14:textId="79F1603E"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Ins</w:t>
            </w:r>
            <w:r w:rsidR="00DB76F6">
              <w:rPr>
                <w:rFonts w:ascii="Garamond" w:hAnsi="Garamond" w:cs="Arial"/>
                <w:color w:val="000000"/>
                <w:sz w:val="6"/>
                <w:szCs w:val="12"/>
                <w:lang w:eastAsia="en-US"/>
              </w:rPr>
              <w:t>pektime të përbashkëta PRr/Task-</w:t>
            </w:r>
            <w:r w:rsidRPr="00B907A3">
              <w:rPr>
                <w:rFonts w:ascii="Garamond" w:hAnsi="Garamond" w:cs="Arial"/>
                <w:color w:val="000000"/>
                <w:sz w:val="6"/>
                <w:szCs w:val="12"/>
                <w:lang w:eastAsia="en-US"/>
              </w:rPr>
              <w:t>Forcë të realizuara</w:t>
            </w:r>
          </w:p>
        </w:tc>
        <w:tc>
          <w:tcPr>
            <w:tcW w:w="442" w:type="dxa"/>
            <w:tcBorders>
              <w:top w:val="nil"/>
              <w:left w:val="nil"/>
              <w:bottom w:val="single" w:sz="4" w:space="0" w:color="auto"/>
              <w:right w:val="single" w:sz="4" w:space="0" w:color="auto"/>
            </w:tcBorders>
            <w:shd w:val="clear" w:color="000000" w:fill="FFFFFF"/>
            <w:hideMark/>
          </w:tcPr>
          <w:p w14:paraId="7263CCA1" w14:textId="777DF9FD"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Task-</w:t>
            </w:r>
            <w:r w:rsidR="00962754" w:rsidRPr="00B907A3">
              <w:rPr>
                <w:rFonts w:ascii="Garamond" w:hAnsi="Garamond" w:cs="Arial"/>
                <w:color w:val="000000"/>
                <w:sz w:val="6"/>
                <w:szCs w:val="12"/>
                <w:lang w:eastAsia="en-US"/>
              </w:rPr>
              <w:t>Forcës</w:t>
            </w:r>
          </w:p>
        </w:tc>
        <w:tc>
          <w:tcPr>
            <w:tcW w:w="287" w:type="dxa"/>
            <w:tcBorders>
              <w:top w:val="nil"/>
              <w:left w:val="nil"/>
              <w:bottom w:val="single" w:sz="4" w:space="0" w:color="auto"/>
              <w:right w:val="single" w:sz="8" w:space="0" w:color="auto"/>
            </w:tcBorders>
            <w:shd w:val="clear" w:color="000000" w:fill="FFFFFF"/>
            <w:hideMark/>
          </w:tcPr>
          <w:p w14:paraId="79AE2B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9D74105"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0F5940CF"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E2EFD9"/>
            <w:vAlign w:val="center"/>
            <w:hideMark/>
          </w:tcPr>
          <w:p w14:paraId="3364CF6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3D7559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59FCBD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4FFABD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61397B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7538A2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18AFB7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281903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62A1AA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6F10E3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75EE2D4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3.3.2</w:t>
            </w:r>
            <w:r w:rsidRPr="00B907A3">
              <w:rPr>
                <w:rFonts w:ascii="Garamond" w:hAnsi="Garamond" w:cs="Arial"/>
                <w:b/>
                <w:bCs/>
                <w:color w:val="000000"/>
                <w:sz w:val="6"/>
                <w:szCs w:val="12"/>
                <w:lang w:eastAsia="en-US"/>
              </w:rPr>
              <w:br/>
              <w:t>Monitorimi i përqindjes së automjeteve me rezultate negative të inspektimit të gjendjes rrugore</w:t>
            </w:r>
          </w:p>
        </w:tc>
        <w:tc>
          <w:tcPr>
            <w:tcW w:w="520" w:type="dxa"/>
            <w:tcBorders>
              <w:top w:val="single" w:sz="4" w:space="0" w:color="auto"/>
              <w:left w:val="nil"/>
              <w:bottom w:val="single" w:sz="4" w:space="0" w:color="auto"/>
              <w:right w:val="single" w:sz="4" w:space="0" w:color="auto"/>
            </w:tcBorders>
            <w:shd w:val="clear" w:color="auto" w:fill="auto"/>
            <w:hideMark/>
          </w:tcPr>
          <w:p w14:paraId="4D4B4712" w14:textId="31776C40"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Task-</w:t>
            </w:r>
            <w:r w:rsidR="00962754" w:rsidRPr="00B907A3">
              <w:rPr>
                <w:rFonts w:ascii="Garamond" w:hAnsi="Garamond" w:cs="Arial"/>
                <w:color w:val="000000"/>
                <w:sz w:val="6"/>
                <w:szCs w:val="12"/>
                <w:lang w:eastAsia="en-US"/>
              </w:rPr>
              <w:t>Forca</w:t>
            </w:r>
          </w:p>
        </w:tc>
        <w:tc>
          <w:tcPr>
            <w:tcW w:w="512" w:type="dxa"/>
            <w:tcBorders>
              <w:top w:val="nil"/>
              <w:left w:val="nil"/>
              <w:bottom w:val="nil"/>
              <w:right w:val="nil"/>
            </w:tcBorders>
            <w:shd w:val="clear" w:color="auto" w:fill="auto"/>
            <w:noWrap/>
            <w:hideMark/>
          </w:tcPr>
          <w:p w14:paraId="5BF24E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PRr</w:t>
            </w:r>
          </w:p>
        </w:tc>
        <w:tc>
          <w:tcPr>
            <w:tcW w:w="367" w:type="dxa"/>
            <w:tcBorders>
              <w:top w:val="nil"/>
              <w:left w:val="single" w:sz="4" w:space="0" w:color="auto"/>
              <w:bottom w:val="single" w:sz="4" w:space="0" w:color="auto"/>
              <w:right w:val="single" w:sz="8" w:space="0" w:color="auto"/>
            </w:tcBorders>
            <w:shd w:val="clear" w:color="auto" w:fill="auto"/>
            <w:hideMark/>
          </w:tcPr>
          <w:p w14:paraId="79B605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56FB22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7B5A203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4B9397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82722E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0739E6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E9010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7C6DB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62D951E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4628C9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25BC0D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A6B8F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B797DA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ED533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241812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4A8496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5B8059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604400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C188C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4E35821" w14:textId="756863A2"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Monitoring</w:t>
            </w:r>
            <w:r w:rsidR="00887CC6">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report</w:t>
            </w:r>
          </w:p>
        </w:tc>
        <w:tc>
          <w:tcPr>
            <w:tcW w:w="442" w:type="dxa"/>
            <w:tcBorders>
              <w:top w:val="nil"/>
              <w:left w:val="nil"/>
              <w:bottom w:val="single" w:sz="4" w:space="0" w:color="auto"/>
              <w:right w:val="single" w:sz="4" w:space="0" w:color="auto"/>
            </w:tcBorders>
            <w:shd w:val="clear" w:color="000000" w:fill="FFFFFF"/>
            <w:hideMark/>
          </w:tcPr>
          <w:p w14:paraId="00B8E9BF" w14:textId="63EE5BFA"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 xml:space="preserve">Raportimi i </w:t>
            </w:r>
            <w:r>
              <w:rPr>
                <w:rFonts w:ascii="Garamond" w:hAnsi="Garamond" w:cs="Arial"/>
                <w:color w:val="000000"/>
                <w:sz w:val="6"/>
                <w:szCs w:val="12"/>
                <w:lang w:eastAsia="en-US"/>
              </w:rPr>
              <w:br/>
              <w:t>Task-</w:t>
            </w:r>
            <w:r w:rsidR="00962754" w:rsidRPr="00B907A3">
              <w:rPr>
                <w:rFonts w:ascii="Garamond" w:hAnsi="Garamond" w:cs="Arial"/>
                <w:color w:val="000000"/>
                <w:sz w:val="6"/>
                <w:szCs w:val="12"/>
                <w:lang w:eastAsia="en-US"/>
              </w:rPr>
              <w:t>Forcës</w:t>
            </w:r>
          </w:p>
        </w:tc>
        <w:tc>
          <w:tcPr>
            <w:tcW w:w="287" w:type="dxa"/>
            <w:tcBorders>
              <w:top w:val="nil"/>
              <w:left w:val="nil"/>
              <w:bottom w:val="single" w:sz="4" w:space="0" w:color="auto"/>
              <w:right w:val="single" w:sz="8" w:space="0" w:color="auto"/>
            </w:tcBorders>
            <w:shd w:val="clear" w:color="000000" w:fill="FFFFFF"/>
            <w:vAlign w:val="center"/>
            <w:hideMark/>
          </w:tcPr>
          <w:p w14:paraId="50EBEC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05D31F02"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6EC2F09"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E2EFD9"/>
            <w:vAlign w:val="center"/>
            <w:hideMark/>
          </w:tcPr>
          <w:p w14:paraId="6E17F7B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288678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49BE25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1EA60C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632F69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CDD23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3AAAF6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4BBF71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0A7236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5A8EC3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31FDE18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73C136B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auto" w:fill="auto"/>
            <w:hideMark/>
          </w:tcPr>
          <w:p w14:paraId="565C889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36F18D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BDAF0F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95AB2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78E48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8775E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4677E3F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0727C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32357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DEA03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5595CF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F34CF0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7F65C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1527B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46975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CD78F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4B992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E3327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B8BCD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D6121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024F3B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349C8F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7536F6A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58A256E3"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07C3954D" w14:textId="77777777" w:rsidTr="00962754">
        <w:trPr>
          <w:trHeight w:val="20"/>
        </w:trPr>
        <w:tc>
          <w:tcPr>
            <w:tcW w:w="718" w:type="dxa"/>
            <w:tcBorders>
              <w:top w:val="nil"/>
              <w:left w:val="single" w:sz="8" w:space="0" w:color="auto"/>
              <w:bottom w:val="nil"/>
              <w:right w:val="single" w:sz="4" w:space="0" w:color="auto"/>
            </w:tcBorders>
            <w:shd w:val="clear" w:color="000000" w:fill="E2EFD9"/>
            <w:hideMark/>
          </w:tcPr>
          <w:p w14:paraId="0DD54DAE" w14:textId="56D77D7C" w:rsidR="00962754" w:rsidRPr="00B907A3" w:rsidRDefault="00962754" w:rsidP="005C1DD9">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3.4</w:t>
            </w:r>
            <w:r w:rsidRPr="00B907A3">
              <w:rPr>
                <w:rFonts w:ascii="Garamond" w:hAnsi="Garamond" w:cs="Arial"/>
                <w:b/>
                <w:bCs/>
                <w:color w:val="000000"/>
                <w:sz w:val="6"/>
                <w:szCs w:val="12"/>
                <w:lang w:eastAsia="en-US"/>
              </w:rPr>
              <w:br/>
              <w:t xml:space="preserve">Përafrimi i </w:t>
            </w:r>
            <w:r w:rsidRPr="005C1DD9">
              <w:rPr>
                <w:rFonts w:ascii="Garamond" w:hAnsi="Garamond" w:cs="Arial"/>
                <w:b/>
                <w:bCs/>
                <w:i/>
                <w:color w:val="000000"/>
                <w:sz w:val="6"/>
                <w:szCs w:val="12"/>
                <w:lang w:eastAsia="en-US"/>
              </w:rPr>
              <w:t>acquis</w:t>
            </w:r>
            <w:r w:rsidRPr="00B907A3">
              <w:rPr>
                <w:rFonts w:ascii="Garamond" w:hAnsi="Garamond" w:cs="Arial"/>
                <w:b/>
                <w:bCs/>
                <w:color w:val="000000"/>
                <w:sz w:val="6"/>
                <w:szCs w:val="12"/>
                <w:lang w:eastAsia="en-US"/>
              </w:rPr>
              <w:t xml:space="preserve"> </w:t>
            </w:r>
            <w:r w:rsidR="005C1DD9" w:rsidRPr="00DB76F6">
              <w:rPr>
                <w:rFonts w:ascii="Garamond" w:hAnsi="Garamond" w:cs="Arial"/>
                <w:b/>
                <w:color w:val="000000"/>
                <w:sz w:val="6"/>
                <w:szCs w:val="12"/>
                <w:lang w:eastAsia="en-US"/>
              </w:rPr>
              <w:t>të</w:t>
            </w:r>
            <w:r w:rsidR="005C1DD9" w:rsidRPr="00B907A3">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BE-së për miratimin e tipit të mjeteve të reja rrugore</w:t>
            </w:r>
          </w:p>
        </w:tc>
        <w:tc>
          <w:tcPr>
            <w:tcW w:w="571" w:type="dxa"/>
            <w:tcBorders>
              <w:top w:val="nil"/>
              <w:left w:val="nil"/>
              <w:bottom w:val="single" w:sz="4" w:space="0" w:color="auto"/>
              <w:right w:val="single" w:sz="4" w:space="0" w:color="auto"/>
            </w:tcBorders>
            <w:shd w:val="clear" w:color="auto" w:fill="auto"/>
            <w:hideMark/>
          </w:tcPr>
          <w:p w14:paraId="4B11C4C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Ndryshimet legjislative që kanë të bëjnë me miratimin e tipit të automjetit u realizuan</w:t>
            </w:r>
          </w:p>
        </w:tc>
        <w:tc>
          <w:tcPr>
            <w:tcW w:w="470" w:type="dxa"/>
            <w:tcBorders>
              <w:top w:val="nil"/>
              <w:left w:val="nil"/>
              <w:bottom w:val="single" w:sz="4" w:space="0" w:color="auto"/>
              <w:right w:val="single" w:sz="4" w:space="0" w:color="auto"/>
            </w:tcBorders>
            <w:shd w:val="clear" w:color="auto" w:fill="auto"/>
            <w:hideMark/>
          </w:tcPr>
          <w:p w14:paraId="03B70BD2" w14:textId="3CD5F1C9"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204D1E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499CC7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1EAAD2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1A5970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7440CA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nil"/>
              <w:right w:val="single" w:sz="8" w:space="0" w:color="auto"/>
            </w:tcBorders>
            <w:shd w:val="clear" w:color="auto" w:fill="auto"/>
            <w:hideMark/>
          </w:tcPr>
          <w:p w14:paraId="74B6259D" w14:textId="0B87863E" w:rsidR="00962754" w:rsidRPr="00B907A3" w:rsidRDefault="005C1DD9"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Raportimi i MIE-s</w:t>
            </w:r>
          </w:p>
        </w:tc>
        <w:tc>
          <w:tcPr>
            <w:tcW w:w="236" w:type="dxa"/>
            <w:tcBorders>
              <w:top w:val="nil"/>
              <w:left w:val="nil"/>
              <w:bottom w:val="single" w:sz="4" w:space="0" w:color="auto"/>
              <w:right w:val="nil"/>
            </w:tcBorders>
            <w:shd w:val="clear" w:color="000000" w:fill="EE0000"/>
            <w:hideMark/>
          </w:tcPr>
          <w:p w14:paraId="0ACDDC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168BBE0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3.4.1</w:t>
            </w:r>
            <w:r w:rsidRPr="00B907A3">
              <w:rPr>
                <w:rFonts w:ascii="Garamond" w:hAnsi="Garamond" w:cs="Arial"/>
                <w:b/>
                <w:bCs/>
                <w:color w:val="000000"/>
                <w:sz w:val="6"/>
                <w:szCs w:val="12"/>
                <w:lang w:eastAsia="en-US"/>
              </w:rPr>
              <w:br/>
              <w:t>Përditësimi I legjislacionit të miratimit të tipit të mjeteve rrugore (homologimi)</w:t>
            </w:r>
          </w:p>
        </w:tc>
        <w:tc>
          <w:tcPr>
            <w:tcW w:w="520" w:type="dxa"/>
            <w:tcBorders>
              <w:top w:val="nil"/>
              <w:left w:val="nil"/>
              <w:bottom w:val="single" w:sz="4" w:space="0" w:color="auto"/>
              <w:right w:val="single" w:sz="4" w:space="0" w:color="auto"/>
            </w:tcBorders>
            <w:shd w:val="clear" w:color="auto" w:fill="auto"/>
            <w:hideMark/>
          </w:tcPr>
          <w:p w14:paraId="0A057E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512" w:type="dxa"/>
            <w:tcBorders>
              <w:top w:val="nil"/>
              <w:left w:val="nil"/>
              <w:bottom w:val="single" w:sz="4" w:space="0" w:color="auto"/>
              <w:right w:val="single" w:sz="4" w:space="0" w:color="auto"/>
            </w:tcBorders>
            <w:shd w:val="clear" w:color="auto" w:fill="auto"/>
            <w:hideMark/>
          </w:tcPr>
          <w:p w14:paraId="0FCB9B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w:t>
            </w:r>
          </w:p>
        </w:tc>
        <w:tc>
          <w:tcPr>
            <w:tcW w:w="367" w:type="dxa"/>
            <w:tcBorders>
              <w:top w:val="nil"/>
              <w:left w:val="nil"/>
              <w:bottom w:val="single" w:sz="4" w:space="0" w:color="auto"/>
              <w:right w:val="single" w:sz="8" w:space="0" w:color="auto"/>
            </w:tcBorders>
            <w:shd w:val="clear" w:color="auto" w:fill="auto"/>
            <w:hideMark/>
          </w:tcPr>
          <w:p w14:paraId="110FDE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28D52F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1591DF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183DD6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174E1AE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A6B87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A3679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6CE9A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0EFC87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08D724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409922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DD311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54E45E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6DC60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1F80F0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30A383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BEF1B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F074A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5B441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F3971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Aktet ligjore u miratuan</w:t>
            </w:r>
          </w:p>
        </w:tc>
        <w:tc>
          <w:tcPr>
            <w:tcW w:w="442" w:type="dxa"/>
            <w:tcBorders>
              <w:top w:val="nil"/>
              <w:left w:val="nil"/>
              <w:bottom w:val="single" w:sz="4" w:space="0" w:color="auto"/>
              <w:right w:val="single" w:sz="4" w:space="0" w:color="auto"/>
            </w:tcBorders>
            <w:shd w:val="clear" w:color="000000" w:fill="FFFFFF"/>
            <w:hideMark/>
          </w:tcPr>
          <w:p w14:paraId="09BA75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MIE-së</w:t>
            </w:r>
          </w:p>
        </w:tc>
        <w:tc>
          <w:tcPr>
            <w:tcW w:w="287" w:type="dxa"/>
            <w:tcBorders>
              <w:top w:val="nil"/>
              <w:left w:val="nil"/>
              <w:bottom w:val="single" w:sz="4" w:space="0" w:color="auto"/>
              <w:right w:val="single" w:sz="8" w:space="0" w:color="auto"/>
            </w:tcBorders>
            <w:shd w:val="clear" w:color="000000" w:fill="FFFFFF"/>
            <w:hideMark/>
          </w:tcPr>
          <w:p w14:paraId="512839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0F3F3AE8"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B91B4D7"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E2EFD9"/>
            <w:hideMark/>
          </w:tcPr>
          <w:p w14:paraId="7543553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3329A3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Personel i trajnuar</w:t>
            </w:r>
          </w:p>
        </w:tc>
        <w:tc>
          <w:tcPr>
            <w:tcW w:w="470" w:type="dxa"/>
            <w:tcBorders>
              <w:top w:val="nil"/>
              <w:left w:val="nil"/>
              <w:bottom w:val="single" w:sz="4" w:space="0" w:color="auto"/>
              <w:right w:val="single" w:sz="4" w:space="0" w:color="auto"/>
            </w:tcBorders>
            <w:shd w:val="clear" w:color="auto" w:fill="auto"/>
            <w:hideMark/>
          </w:tcPr>
          <w:p w14:paraId="5F6CBBB0" w14:textId="2BBD143D"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Po/jo/</w:t>
            </w:r>
            <w:r w:rsidRPr="00B907A3">
              <w:rPr>
                <w:rFonts w:ascii="Garamond" w:hAnsi="Garamond" w:cs="Arial"/>
                <w:color w:val="000000"/>
                <w:sz w:val="6"/>
                <w:szCs w:val="12"/>
                <w:lang w:eastAsia="en-US"/>
              </w:rPr>
              <w:t>pjesërisht</w:t>
            </w:r>
          </w:p>
        </w:tc>
        <w:tc>
          <w:tcPr>
            <w:tcW w:w="668" w:type="dxa"/>
            <w:tcBorders>
              <w:top w:val="nil"/>
              <w:left w:val="nil"/>
              <w:bottom w:val="single" w:sz="4" w:space="0" w:color="auto"/>
              <w:right w:val="single" w:sz="4" w:space="0" w:color="auto"/>
            </w:tcBorders>
            <w:shd w:val="clear" w:color="auto" w:fill="auto"/>
            <w:hideMark/>
          </w:tcPr>
          <w:p w14:paraId="696942C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06339F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056B04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758C35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nil"/>
              <w:left w:val="nil"/>
              <w:bottom w:val="single" w:sz="4" w:space="0" w:color="auto"/>
              <w:right w:val="single" w:sz="4" w:space="0" w:color="auto"/>
            </w:tcBorders>
            <w:shd w:val="clear" w:color="auto" w:fill="auto"/>
            <w:hideMark/>
          </w:tcPr>
          <w:p w14:paraId="1EFA97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single" w:sz="4" w:space="0" w:color="auto"/>
              <w:left w:val="nil"/>
              <w:bottom w:val="nil"/>
              <w:right w:val="single" w:sz="8" w:space="0" w:color="auto"/>
            </w:tcBorders>
            <w:shd w:val="clear" w:color="auto" w:fill="auto"/>
            <w:hideMark/>
          </w:tcPr>
          <w:p w14:paraId="0E8789EC" w14:textId="5A2FBA34"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5C1DD9" w:rsidRPr="00B907A3">
              <w:rPr>
                <w:rFonts w:ascii="Garamond" w:hAnsi="Garamond" w:cs="Arial"/>
                <w:color w:val="000000"/>
                <w:sz w:val="6"/>
                <w:szCs w:val="12"/>
                <w:lang w:eastAsia="en-US"/>
              </w:rPr>
              <w:t xml:space="preserve">-së </w:t>
            </w:r>
            <w:r w:rsidR="005C1DD9">
              <w:rPr>
                <w:rFonts w:ascii="Garamond" w:hAnsi="Garamond" w:cs="Arial"/>
                <w:color w:val="000000"/>
                <w:sz w:val="6"/>
                <w:szCs w:val="12"/>
                <w:lang w:eastAsia="en-US"/>
              </w:rPr>
              <w:t>/</w:t>
            </w:r>
            <w:r w:rsidRPr="00B907A3">
              <w:rPr>
                <w:rFonts w:ascii="Garamond" w:hAnsi="Garamond" w:cs="Arial"/>
                <w:color w:val="000000"/>
                <w:sz w:val="6"/>
                <w:szCs w:val="12"/>
                <w:lang w:eastAsia="en-US"/>
              </w:rPr>
              <w:t>ISHMT</w:t>
            </w:r>
            <w:r w:rsidR="005C1DD9" w:rsidRPr="00B907A3">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00C2E9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507226D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3.4.2</w:t>
            </w:r>
            <w:r w:rsidRPr="00B907A3">
              <w:rPr>
                <w:rFonts w:ascii="Garamond" w:hAnsi="Garamond" w:cs="Arial"/>
                <w:b/>
                <w:bCs/>
                <w:color w:val="000000"/>
                <w:sz w:val="6"/>
                <w:szCs w:val="12"/>
                <w:lang w:eastAsia="en-US"/>
              </w:rPr>
              <w:br/>
              <w:t>Trajnime për rritje kapacitetesh të institucioneve zbatuese</w:t>
            </w:r>
          </w:p>
        </w:tc>
        <w:tc>
          <w:tcPr>
            <w:tcW w:w="520" w:type="dxa"/>
            <w:tcBorders>
              <w:top w:val="nil"/>
              <w:left w:val="nil"/>
              <w:bottom w:val="single" w:sz="4" w:space="0" w:color="auto"/>
              <w:right w:val="single" w:sz="4" w:space="0" w:color="auto"/>
            </w:tcBorders>
            <w:shd w:val="clear" w:color="auto" w:fill="auto"/>
            <w:hideMark/>
          </w:tcPr>
          <w:p w14:paraId="46486D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DPSHTRr/ISHMT</w:t>
            </w:r>
          </w:p>
        </w:tc>
        <w:tc>
          <w:tcPr>
            <w:tcW w:w="512" w:type="dxa"/>
            <w:tcBorders>
              <w:top w:val="nil"/>
              <w:left w:val="nil"/>
              <w:bottom w:val="nil"/>
              <w:right w:val="nil"/>
            </w:tcBorders>
            <w:shd w:val="clear" w:color="auto" w:fill="auto"/>
            <w:hideMark/>
          </w:tcPr>
          <w:p w14:paraId="63AA49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Drejtoria e Përgjithshme e Doganave</w:t>
            </w:r>
          </w:p>
        </w:tc>
        <w:tc>
          <w:tcPr>
            <w:tcW w:w="367" w:type="dxa"/>
            <w:tcBorders>
              <w:top w:val="nil"/>
              <w:left w:val="single" w:sz="4" w:space="0" w:color="auto"/>
              <w:bottom w:val="single" w:sz="4" w:space="0" w:color="auto"/>
              <w:right w:val="single" w:sz="8" w:space="0" w:color="auto"/>
            </w:tcBorders>
            <w:shd w:val="clear" w:color="auto" w:fill="auto"/>
            <w:hideMark/>
          </w:tcPr>
          <w:p w14:paraId="16BFE0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2028-2029</w:t>
            </w:r>
          </w:p>
        </w:tc>
        <w:tc>
          <w:tcPr>
            <w:tcW w:w="372" w:type="dxa"/>
            <w:tcBorders>
              <w:top w:val="nil"/>
              <w:left w:val="nil"/>
              <w:bottom w:val="single" w:sz="4" w:space="0" w:color="auto"/>
              <w:right w:val="single" w:sz="4" w:space="0" w:color="auto"/>
            </w:tcBorders>
            <w:shd w:val="clear" w:color="auto" w:fill="auto"/>
            <w:hideMark/>
          </w:tcPr>
          <w:p w14:paraId="5A18CFC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4E829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5985AC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84A58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572B50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33A906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67AFC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67395F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1F0853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1D7A03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CDC26A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4C31A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5BD7A2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7A8A88D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2FB0A7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27057C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891D7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E15B1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113EFF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Trajnime të realizuara</w:t>
            </w:r>
          </w:p>
        </w:tc>
        <w:tc>
          <w:tcPr>
            <w:tcW w:w="442" w:type="dxa"/>
            <w:tcBorders>
              <w:top w:val="nil"/>
              <w:left w:val="nil"/>
              <w:bottom w:val="single" w:sz="4" w:space="0" w:color="auto"/>
              <w:right w:val="single" w:sz="4" w:space="0" w:color="auto"/>
            </w:tcBorders>
            <w:shd w:val="clear" w:color="000000" w:fill="FFFFFF"/>
            <w:hideMark/>
          </w:tcPr>
          <w:p w14:paraId="38E0BF17" w14:textId="0ED4A43F"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5C1DD9" w:rsidRPr="00B907A3">
              <w:rPr>
                <w:rFonts w:ascii="Garamond" w:hAnsi="Garamond" w:cs="Arial"/>
                <w:color w:val="000000"/>
                <w:sz w:val="6"/>
                <w:szCs w:val="12"/>
                <w:lang w:eastAsia="en-US"/>
              </w:rPr>
              <w:t xml:space="preserve">-së </w:t>
            </w:r>
            <w:r w:rsidR="00FB5830">
              <w:rPr>
                <w:rFonts w:ascii="Garamond" w:hAnsi="Garamond" w:cs="Arial"/>
                <w:color w:val="000000"/>
                <w:sz w:val="6"/>
                <w:szCs w:val="12"/>
                <w:lang w:eastAsia="en-US"/>
              </w:rPr>
              <w:t>/</w:t>
            </w:r>
            <w:r w:rsidRPr="00B907A3">
              <w:rPr>
                <w:rFonts w:ascii="Garamond" w:hAnsi="Garamond" w:cs="Arial"/>
                <w:color w:val="000000"/>
                <w:sz w:val="6"/>
                <w:szCs w:val="12"/>
                <w:lang w:eastAsia="en-US"/>
              </w:rPr>
              <w:t>ISHMT</w:t>
            </w:r>
            <w:r w:rsidR="005C1DD9" w:rsidRPr="00B907A3">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210FB0C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1FD401E"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9F0AF46"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E2EFD9"/>
            <w:vAlign w:val="center"/>
            <w:hideMark/>
          </w:tcPr>
          <w:p w14:paraId="3FD34BF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2816DF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10762F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20FA27C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37D4D8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7B8782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18A3D6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606443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single" w:sz="4" w:space="0" w:color="auto"/>
              <w:left w:val="nil"/>
              <w:bottom w:val="single" w:sz="4" w:space="0" w:color="auto"/>
              <w:right w:val="single" w:sz="8" w:space="0" w:color="auto"/>
            </w:tcBorders>
            <w:shd w:val="clear" w:color="auto" w:fill="auto"/>
            <w:vAlign w:val="center"/>
            <w:hideMark/>
          </w:tcPr>
          <w:p w14:paraId="017A52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4CC3BB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E2EFD9"/>
            <w:hideMark/>
          </w:tcPr>
          <w:p w14:paraId="0BFCFDD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vAlign w:val="center"/>
            <w:hideMark/>
          </w:tcPr>
          <w:p w14:paraId="03A3B6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3A9CC3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vAlign w:val="center"/>
            <w:hideMark/>
          </w:tcPr>
          <w:p w14:paraId="2B13933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29035D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013448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vAlign w:val="center"/>
            <w:hideMark/>
          </w:tcPr>
          <w:p w14:paraId="4DDC29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vAlign w:val="center"/>
            <w:hideMark/>
          </w:tcPr>
          <w:p w14:paraId="123EEC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vAlign w:val="center"/>
            <w:hideMark/>
          </w:tcPr>
          <w:p w14:paraId="130337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vAlign w:val="center"/>
            <w:hideMark/>
          </w:tcPr>
          <w:p w14:paraId="7D6B62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1BBA10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4C071B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vAlign w:val="center"/>
            <w:hideMark/>
          </w:tcPr>
          <w:p w14:paraId="47BC36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1A89508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20E222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vAlign w:val="center"/>
            <w:hideMark/>
          </w:tcPr>
          <w:p w14:paraId="1E4AE21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vAlign w:val="center"/>
            <w:hideMark/>
          </w:tcPr>
          <w:p w14:paraId="39CFE7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vAlign w:val="center"/>
            <w:hideMark/>
          </w:tcPr>
          <w:p w14:paraId="77F658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vAlign w:val="center"/>
            <w:hideMark/>
          </w:tcPr>
          <w:p w14:paraId="40A512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17CF241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00A8ED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vAlign w:val="center"/>
            <w:hideMark/>
          </w:tcPr>
          <w:p w14:paraId="6BA3DC50"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0847DE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482625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7A89C5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2678F49"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90C23AF"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EE0000"/>
            <w:vAlign w:val="center"/>
            <w:hideMark/>
          </w:tcPr>
          <w:p w14:paraId="1180DC6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EE0000"/>
            <w:vAlign w:val="center"/>
            <w:hideMark/>
          </w:tcPr>
          <w:p w14:paraId="179462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EE0000"/>
            <w:vAlign w:val="center"/>
            <w:hideMark/>
          </w:tcPr>
          <w:p w14:paraId="3299E8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EE0000"/>
            <w:vAlign w:val="center"/>
            <w:hideMark/>
          </w:tcPr>
          <w:p w14:paraId="5570C1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61B9B0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2BBF29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5F9C1C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EE0000"/>
            <w:vAlign w:val="center"/>
            <w:hideMark/>
          </w:tcPr>
          <w:p w14:paraId="02FAB94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EE0000"/>
            <w:vAlign w:val="center"/>
            <w:hideMark/>
          </w:tcPr>
          <w:p w14:paraId="67A341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EE0000"/>
            <w:vAlign w:val="center"/>
            <w:hideMark/>
          </w:tcPr>
          <w:p w14:paraId="7D09EC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EE0000"/>
            <w:vAlign w:val="center"/>
            <w:hideMark/>
          </w:tcPr>
          <w:p w14:paraId="00BFA50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EE0000"/>
            <w:vAlign w:val="center"/>
            <w:hideMark/>
          </w:tcPr>
          <w:p w14:paraId="5329F3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EE0000"/>
            <w:vAlign w:val="center"/>
            <w:hideMark/>
          </w:tcPr>
          <w:p w14:paraId="0B5C26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EE0000"/>
            <w:vAlign w:val="center"/>
            <w:hideMark/>
          </w:tcPr>
          <w:p w14:paraId="693C4B8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492AE2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0D47A0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EE0000"/>
            <w:vAlign w:val="center"/>
            <w:hideMark/>
          </w:tcPr>
          <w:p w14:paraId="0FDCA6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1EFC91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5A6635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4" w:space="0" w:color="auto"/>
            </w:tcBorders>
            <w:shd w:val="clear" w:color="000000" w:fill="EE0000"/>
            <w:vAlign w:val="center"/>
            <w:hideMark/>
          </w:tcPr>
          <w:p w14:paraId="1E1FB8E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42057FB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680144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13A9203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5A45DC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451BE63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E0000"/>
            <w:vAlign w:val="center"/>
            <w:hideMark/>
          </w:tcPr>
          <w:p w14:paraId="5A5C87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2ACFD5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022CE5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0F5E1C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2866A6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0514C2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E0000"/>
            <w:vAlign w:val="center"/>
            <w:hideMark/>
          </w:tcPr>
          <w:p w14:paraId="087063BE"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EE0000"/>
            <w:vAlign w:val="center"/>
            <w:hideMark/>
          </w:tcPr>
          <w:p w14:paraId="5AAF253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EE0000"/>
            <w:vAlign w:val="center"/>
            <w:hideMark/>
          </w:tcPr>
          <w:p w14:paraId="0C33D4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EE0000"/>
            <w:vAlign w:val="center"/>
            <w:hideMark/>
          </w:tcPr>
          <w:p w14:paraId="3B606F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DB021C3" w14:textId="77777777" w:rsidR="00962754" w:rsidRPr="00B907A3" w:rsidRDefault="00962754" w:rsidP="00962754">
            <w:pPr>
              <w:spacing w:after="0"/>
              <w:jc w:val="left"/>
              <w:rPr>
                <w:rFonts w:ascii="Garamond" w:hAnsi="Garamond" w:cs="Arial"/>
                <w:color w:val="000000"/>
                <w:sz w:val="6"/>
                <w:szCs w:val="12"/>
                <w:lang w:eastAsia="en-US"/>
              </w:rPr>
            </w:pPr>
          </w:p>
        </w:tc>
      </w:tr>
      <w:tr w:rsidR="00B907A3" w:rsidRPr="00B907A3" w14:paraId="3133E53C"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E2EFD9"/>
            <w:vAlign w:val="center"/>
            <w:hideMark/>
          </w:tcPr>
          <w:p w14:paraId="11C1D58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E2EFD9"/>
            <w:vAlign w:val="center"/>
            <w:hideMark/>
          </w:tcPr>
          <w:p w14:paraId="5428830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E2EFD9"/>
            <w:vAlign w:val="center"/>
            <w:hideMark/>
          </w:tcPr>
          <w:p w14:paraId="3137F3E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E2EFD9"/>
            <w:vAlign w:val="center"/>
            <w:hideMark/>
          </w:tcPr>
          <w:p w14:paraId="4A955DA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2EFD9"/>
            <w:vAlign w:val="center"/>
            <w:hideMark/>
          </w:tcPr>
          <w:p w14:paraId="5F37B7D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2EFD9"/>
            <w:vAlign w:val="center"/>
            <w:hideMark/>
          </w:tcPr>
          <w:p w14:paraId="7794DF4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2EFD9"/>
            <w:vAlign w:val="center"/>
            <w:hideMark/>
          </w:tcPr>
          <w:p w14:paraId="2547037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E2EFD9"/>
            <w:vAlign w:val="center"/>
            <w:hideMark/>
          </w:tcPr>
          <w:p w14:paraId="305C76C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E2EFD9"/>
            <w:vAlign w:val="center"/>
            <w:hideMark/>
          </w:tcPr>
          <w:p w14:paraId="66463B0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E2EFD9"/>
            <w:vAlign w:val="center"/>
            <w:hideMark/>
          </w:tcPr>
          <w:p w14:paraId="2F53BAB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E2EFD9"/>
            <w:vAlign w:val="center"/>
            <w:hideMark/>
          </w:tcPr>
          <w:p w14:paraId="3A2DB36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E2EFD9"/>
            <w:vAlign w:val="center"/>
            <w:hideMark/>
          </w:tcPr>
          <w:p w14:paraId="06492D0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E2EFD9"/>
            <w:vAlign w:val="center"/>
            <w:hideMark/>
          </w:tcPr>
          <w:p w14:paraId="405008A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E2EFD9"/>
            <w:vAlign w:val="center"/>
            <w:hideMark/>
          </w:tcPr>
          <w:p w14:paraId="5968DC9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2EFD9"/>
            <w:vAlign w:val="center"/>
            <w:hideMark/>
          </w:tcPr>
          <w:p w14:paraId="26E3523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2EFD9"/>
            <w:vAlign w:val="center"/>
            <w:hideMark/>
          </w:tcPr>
          <w:p w14:paraId="79D6CFA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E2EFD9"/>
            <w:vAlign w:val="center"/>
            <w:hideMark/>
          </w:tcPr>
          <w:p w14:paraId="40E8AC7B"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1000</w:t>
            </w:r>
          </w:p>
        </w:tc>
        <w:tc>
          <w:tcPr>
            <w:tcW w:w="618" w:type="dxa"/>
            <w:tcBorders>
              <w:top w:val="nil"/>
              <w:left w:val="nil"/>
              <w:bottom w:val="single" w:sz="4" w:space="0" w:color="auto"/>
              <w:right w:val="single" w:sz="4" w:space="0" w:color="auto"/>
            </w:tcBorders>
            <w:shd w:val="clear" w:color="000000" w:fill="E2EFD9"/>
            <w:vAlign w:val="center"/>
            <w:hideMark/>
          </w:tcPr>
          <w:p w14:paraId="392DC5B9"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618" w:type="dxa"/>
            <w:tcBorders>
              <w:top w:val="nil"/>
              <w:left w:val="nil"/>
              <w:bottom w:val="single" w:sz="4" w:space="0" w:color="auto"/>
              <w:right w:val="single" w:sz="4" w:space="0" w:color="auto"/>
            </w:tcBorders>
            <w:shd w:val="clear" w:color="000000" w:fill="E2EFD9"/>
            <w:vAlign w:val="center"/>
            <w:hideMark/>
          </w:tcPr>
          <w:p w14:paraId="2C07184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05" w:type="dxa"/>
            <w:tcBorders>
              <w:top w:val="nil"/>
              <w:left w:val="nil"/>
              <w:bottom w:val="single" w:sz="4" w:space="0" w:color="auto"/>
              <w:right w:val="single" w:sz="4" w:space="0" w:color="auto"/>
            </w:tcBorders>
            <w:shd w:val="clear" w:color="000000" w:fill="E2EFD9"/>
            <w:vAlign w:val="center"/>
            <w:hideMark/>
          </w:tcPr>
          <w:p w14:paraId="273B665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2EFD9"/>
            <w:vAlign w:val="center"/>
            <w:hideMark/>
          </w:tcPr>
          <w:p w14:paraId="2CD1C57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2EFD9"/>
            <w:vAlign w:val="center"/>
            <w:hideMark/>
          </w:tcPr>
          <w:p w14:paraId="0691200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2EFD9"/>
            <w:vAlign w:val="center"/>
            <w:hideMark/>
          </w:tcPr>
          <w:p w14:paraId="08857B91"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1000</w:t>
            </w:r>
          </w:p>
        </w:tc>
        <w:tc>
          <w:tcPr>
            <w:tcW w:w="382" w:type="dxa"/>
            <w:tcBorders>
              <w:top w:val="nil"/>
              <w:left w:val="nil"/>
              <w:bottom w:val="single" w:sz="4" w:space="0" w:color="auto"/>
              <w:right w:val="single" w:sz="4" w:space="0" w:color="auto"/>
            </w:tcBorders>
            <w:shd w:val="clear" w:color="000000" w:fill="E2EFD9"/>
            <w:vAlign w:val="center"/>
            <w:hideMark/>
          </w:tcPr>
          <w:p w14:paraId="03E21BCF"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82" w:type="dxa"/>
            <w:tcBorders>
              <w:top w:val="nil"/>
              <w:left w:val="nil"/>
              <w:bottom w:val="single" w:sz="4" w:space="0" w:color="auto"/>
              <w:right w:val="single" w:sz="4" w:space="0" w:color="auto"/>
            </w:tcBorders>
            <w:shd w:val="clear" w:color="000000" w:fill="E2EFD9"/>
            <w:vAlign w:val="center"/>
            <w:hideMark/>
          </w:tcPr>
          <w:p w14:paraId="1451752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2EFD9"/>
            <w:vAlign w:val="center"/>
            <w:hideMark/>
          </w:tcPr>
          <w:p w14:paraId="1408C97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2EFD9"/>
            <w:vAlign w:val="center"/>
            <w:hideMark/>
          </w:tcPr>
          <w:p w14:paraId="3025A1B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2EFD9"/>
            <w:vAlign w:val="center"/>
            <w:hideMark/>
          </w:tcPr>
          <w:p w14:paraId="2EB9A7E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2EFD9"/>
            <w:vAlign w:val="center"/>
            <w:hideMark/>
          </w:tcPr>
          <w:p w14:paraId="236AE1CC"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1000</w:t>
            </w:r>
          </w:p>
        </w:tc>
        <w:tc>
          <w:tcPr>
            <w:tcW w:w="382" w:type="dxa"/>
            <w:tcBorders>
              <w:top w:val="nil"/>
              <w:left w:val="nil"/>
              <w:bottom w:val="single" w:sz="4" w:space="0" w:color="auto"/>
              <w:right w:val="single" w:sz="4" w:space="0" w:color="auto"/>
            </w:tcBorders>
            <w:shd w:val="clear" w:color="000000" w:fill="E2EFD9"/>
            <w:vAlign w:val="center"/>
            <w:hideMark/>
          </w:tcPr>
          <w:p w14:paraId="56650E46"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82" w:type="dxa"/>
            <w:tcBorders>
              <w:top w:val="nil"/>
              <w:left w:val="nil"/>
              <w:bottom w:val="single" w:sz="4" w:space="0" w:color="auto"/>
              <w:right w:val="single" w:sz="4" w:space="0" w:color="auto"/>
            </w:tcBorders>
            <w:shd w:val="clear" w:color="000000" w:fill="E2EFD9"/>
            <w:vAlign w:val="center"/>
            <w:hideMark/>
          </w:tcPr>
          <w:p w14:paraId="7DE171F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2EFD9"/>
            <w:vAlign w:val="center"/>
            <w:hideMark/>
          </w:tcPr>
          <w:p w14:paraId="4CDED99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E2EFD9"/>
            <w:vAlign w:val="center"/>
            <w:hideMark/>
          </w:tcPr>
          <w:p w14:paraId="1C4E583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E2EFD9"/>
            <w:vAlign w:val="center"/>
            <w:hideMark/>
          </w:tcPr>
          <w:p w14:paraId="049BE29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E2EFD9"/>
            <w:vAlign w:val="center"/>
            <w:hideMark/>
          </w:tcPr>
          <w:p w14:paraId="6B50B12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single" w:sz="4" w:space="0" w:color="auto"/>
              <w:left w:val="nil"/>
              <w:bottom w:val="single" w:sz="4" w:space="0" w:color="auto"/>
              <w:right w:val="single" w:sz="4" w:space="0" w:color="auto"/>
            </w:tcBorders>
            <w:shd w:val="clear" w:color="000000" w:fill="E2EFD9"/>
            <w:vAlign w:val="center"/>
            <w:hideMark/>
          </w:tcPr>
          <w:p w14:paraId="11A99132"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3000</w:t>
            </w:r>
          </w:p>
        </w:tc>
      </w:tr>
      <w:tr w:rsidR="00962754" w:rsidRPr="00B907A3" w14:paraId="7D75DF9E" w14:textId="77777777" w:rsidTr="00962754">
        <w:trPr>
          <w:trHeight w:val="20"/>
        </w:trPr>
        <w:tc>
          <w:tcPr>
            <w:tcW w:w="718" w:type="dxa"/>
            <w:tcBorders>
              <w:top w:val="nil"/>
              <w:left w:val="nil"/>
              <w:bottom w:val="nil"/>
              <w:right w:val="nil"/>
            </w:tcBorders>
            <w:shd w:val="clear" w:color="auto" w:fill="auto"/>
            <w:noWrap/>
            <w:vAlign w:val="bottom"/>
            <w:hideMark/>
          </w:tcPr>
          <w:p w14:paraId="2EEDFFDF" w14:textId="77777777" w:rsidR="00962754" w:rsidRPr="00B907A3" w:rsidRDefault="00962754" w:rsidP="00962754">
            <w:pPr>
              <w:spacing w:after="0"/>
              <w:jc w:val="right"/>
              <w:rPr>
                <w:rFonts w:ascii="Garamond" w:hAnsi="Garamond" w:cs="Arial"/>
                <w:b/>
                <w:bCs/>
                <w:color w:val="000000"/>
                <w:sz w:val="6"/>
                <w:szCs w:val="12"/>
                <w:lang w:eastAsia="en-US"/>
              </w:rPr>
            </w:pPr>
          </w:p>
        </w:tc>
        <w:tc>
          <w:tcPr>
            <w:tcW w:w="571" w:type="dxa"/>
            <w:tcBorders>
              <w:top w:val="nil"/>
              <w:left w:val="nil"/>
              <w:bottom w:val="nil"/>
              <w:right w:val="nil"/>
            </w:tcBorders>
            <w:shd w:val="clear" w:color="auto" w:fill="auto"/>
            <w:noWrap/>
            <w:vAlign w:val="bottom"/>
            <w:hideMark/>
          </w:tcPr>
          <w:p w14:paraId="7B7DD604"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258846A6"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780B170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C808299"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91F1401"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84F3DD5"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2303FB8F"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6AD654FE"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3B878F62"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5A9466DC"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0A3AF1F9"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12618E17"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4394B76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B4D13A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6F8E091"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64CBD2CC"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7A62B7D2"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3832D9B8"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11D7270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600564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5FB1133"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1BCFB3D6"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A32D836"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B9D3D52"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A466B5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A91192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B7E2B74"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6255F5E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6C6929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AF20970"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1260E714"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2A8DB87E"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19EB8587"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7B6E5804"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533398B3" w14:textId="77777777" w:rsidR="00962754" w:rsidRPr="00B907A3" w:rsidRDefault="00962754" w:rsidP="00962754">
            <w:pPr>
              <w:spacing w:after="0"/>
              <w:jc w:val="left"/>
              <w:rPr>
                <w:rFonts w:ascii="Garamond" w:hAnsi="Garamond"/>
                <w:sz w:val="6"/>
                <w:szCs w:val="12"/>
                <w:lang w:eastAsia="en-US"/>
              </w:rPr>
            </w:pPr>
          </w:p>
        </w:tc>
      </w:tr>
      <w:tr w:rsidR="00962754" w:rsidRPr="00B907A3" w14:paraId="6C7FC7E2" w14:textId="77777777" w:rsidTr="00962754">
        <w:trPr>
          <w:trHeight w:val="20"/>
        </w:trPr>
        <w:tc>
          <w:tcPr>
            <w:tcW w:w="718" w:type="dxa"/>
            <w:tcBorders>
              <w:top w:val="nil"/>
              <w:left w:val="nil"/>
              <w:bottom w:val="nil"/>
              <w:right w:val="nil"/>
            </w:tcBorders>
            <w:shd w:val="clear" w:color="auto" w:fill="auto"/>
            <w:noWrap/>
            <w:vAlign w:val="bottom"/>
            <w:hideMark/>
          </w:tcPr>
          <w:p w14:paraId="2E10B360"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51BE30D5"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086435BF"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076E961D"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8819314"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DF4371D"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CF32CFF"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18122E32"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0C82FBE0"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18056D56"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23402F1F"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705C788C"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26898D38"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05FB68A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8EA70D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4F794FC"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591B802E"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F114FA3"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2628DB69"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087611A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4900A9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4F2EAF2"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462C003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110D73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E1DD471"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796BBD0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53EB3EB"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1890F38"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4219B0CF"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EA0CA6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9814C53"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6059D881"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71D3AA39"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603632FC"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A4EC524"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5AEDB684" w14:textId="77777777" w:rsidR="00962754" w:rsidRPr="00B907A3" w:rsidRDefault="00962754" w:rsidP="00962754">
            <w:pPr>
              <w:spacing w:after="0"/>
              <w:jc w:val="left"/>
              <w:rPr>
                <w:rFonts w:ascii="Garamond" w:hAnsi="Garamond"/>
                <w:sz w:val="6"/>
                <w:szCs w:val="12"/>
                <w:lang w:eastAsia="en-US"/>
              </w:rPr>
            </w:pPr>
          </w:p>
        </w:tc>
      </w:tr>
      <w:tr w:rsidR="00962754" w:rsidRPr="00B907A3" w14:paraId="6DFD312F" w14:textId="77777777" w:rsidTr="00962754">
        <w:trPr>
          <w:trHeight w:val="20"/>
        </w:trPr>
        <w:tc>
          <w:tcPr>
            <w:tcW w:w="1760" w:type="dxa"/>
            <w:gridSpan w:val="3"/>
            <w:tcBorders>
              <w:top w:val="nil"/>
              <w:left w:val="nil"/>
              <w:bottom w:val="nil"/>
              <w:right w:val="nil"/>
            </w:tcBorders>
            <w:shd w:val="clear" w:color="auto" w:fill="auto"/>
            <w:noWrap/>
            <w:vAlign w:val="bottom"/>
            <w:hideMark/>
          </w:tcPr>
          <w:p w14:paraId="7D241273" w14:textId="4F0A3A3C" w:rsidR="00962754" w:rsidRPr="00B907A3" w:rsidRDefault="00962754" w:rsidP="00962754">
            <w:pPr>
              <w:spacing w:after="0"/>
              <w:jc w:val="left"/>
              <w:rPr>
                <w:rFonts w:ascii="Garamond" w:hAnsi="Garamond" w:cs="Arial"/>
                <w:b/>
                <w:bCs/>
                <w:color w:val="000000"/>
                <w:sz w:val="6"/>
                <w:szCs w:val="12"/>
                <w:lang w:eastAsia="en-US"/>
              </w:rPr>
            </w:pPr>
            <w:bookmarkStart w:id="195" w:name="RANGE!A70"/>
            <w:r w:rsidRPr="00B907A3">
              <w:rPr>
                <w:rFonts w:ascii="Garamond" w:hAnsi="Garamond" w:cs="Arial"/>
                <w:b/>
                <w:bCs/>
                <w:color w:val="000000"/>
                <w:sz w:val="6"/>
                <w:szCs w:val="12"/>
                <w:lang w:eastAsia="en-US"/>
              </w:rPr>
              <w:t xml:space="preserve">Komponenti 4: Përdorues më të </w:t>
            </w:r>
            <w:r w:rsidR="00DB76F6" w:rsidRPr="00B907A3">
              <w:rPr>
                <w:rFonts w:ascii="Garamond" w:hAnsi="Garamond" w:cs="Arial"/>
                <w:b/>
                <w:bCs/>
                <w:color w:val="000000"/>
                <w:sz w:val="6"/>
                <w:szCs w:val="12"/>
                <w:lang w:eastAsia="en-US"/>
              </w:rPr>
              <w:t>sigurt të rrugës</w:t>
            </w:r>
            <w:bookmarkEnd w:id="195"/>
          </w:p>
        </w:tc>
        <w:tc>
          <w:tcPr>
            <w:tcW w:w="668" w:type="dxa"/>
            <w:tcBorders>
              <w:top w:val="nil"/>
              <w:left w:val="nil"/>
              <w:bottom w:val="nil"/>
              <w:right w:val="nil"/>
            </w:tcBorders>
            <w:shd w:val="clear" w:color="auto" w:fill="auto"/>
            <w:noWrap/>
            <w:vAlign w:val="bottom"/>
            <w:hideMark/>
          </w:tcPr>
          <w:p w14:paraId="6BE4AE9A" w14:textId="77777777" w:rsidR="00962754" w:rsidRPr="00B907A3" w:rsidRDefault="00962754" w:rsidP="00962754">
            <w:pPr>
              <w:spacing w:after="0"/>
              <w:jc w:val="left"/>
              <w:rPr>
                <w:rFonts w:ascii="Garamond" w:hAnsi="Garamond" w:cs="Arial"/>
                <w:b/>
                <w:bCs/>
                <w:color w:val="000000"/>
                <w:sz w:val="6"/>
                <w:szCs w:val="12"/>
                <w:lang w:eastAsia="en-US"/>
              </w:rPr>
            </w:pPr>
          </w:p>
        </w:tc>
        <w:tc>
          <w:tcPr>
            <w:tcW w:w="366" w:type="dxa"/>
            <w:tcBorders>
              <w:top w:val="nil"/>
              <w:left w:val="nil"/>
              <w:bottom w:val="nil"/>
              <w:right w:val="nil"/>
            </w:tcBorders>
            <w:shd w:val="clear" w:color="auto" w:fill="auto"/>
            <w:noWrap/>
            <w:vAlign w:val="bottom"/>
            <w:hideMark/>
          </w:tcPr>
          <w:p w14:paraId="3F0B2848"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2A152002"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0779BC01"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642E2C95"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5A712F23"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432A37D8"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45AD230C"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1E266B70"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42F466A1"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3511F82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D696C2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065C272"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7AE15971"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32312F93"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23FAE70E"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6B7ED6F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C094ACB"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B874D34"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60A9765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02CE4A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54BE136"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B0B9D9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7A9CD4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834D656"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E0F8E4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5D1853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1EF9586"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1F47FEAA"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28017017"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5A35DBE6"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5F41F393"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002A3343" w14:textId="77777777" w:rsidR="00962754" w:rsidRPr="00B907A3" w:rsidRDefault="00962754" w:rsidP="00962754">
            <w:pPr>
              <w:spacing w:after="0"/>
              <w:jc w:val="left"/>
              <w:rPr>
                <w:rFonts w:ascii="Garamond" w:hAnsi="Garamond"/>
                <w:sz w:val="6"/>
                <w:szCs w:val="12"/>
                <w:lang w:eastAsia="en-US"/>
              </w:rPr>
            </w:pPr>
          </w:p>
        </w:tc>
      </w:tr>
      <w:tr w:rsidR="00962754" w:rsidRPr="00B907A3" w14:paraId="1DFF862D" w14:textId="77777777" w:rsidTr="00962754">
        <w:trPr>
          <w:trHeight w:val="20"/>
        </w:trPr>
        <w:tc>
          <w:tcPr>
            <w:tcW w:w="718" w:type="dxa"/>
            <w:tcBorders>
              <w:top w:val="nil"/>
              <w:left w:val="nil"/>
              <w:bottom w:val="nil"/>
              <w:right w:val="nil"/>
            </w:tcBorders>
            <w:shd w:val="clear" w:color="auto" w:fill="auto"/>
            <w:noWrap/>
            <w:vAlign w:val="bottom"/>
            <w:hideMark/>
          </w:tcPr>
          <w:p w14:paraId="2554B97C"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3E5C9101"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0033ADBB"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599C94A8"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6FFD3F0"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F727D6B"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6426CE7"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1D58BDA6"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70705A13"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213C83C4"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2997A93B"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3A440AA9"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5F59C125"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11539AC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F65CB8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F3E41A8"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6269794F"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35FBD25"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AE7E812"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7DBEB3C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803F72B"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B2DFBAB"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5E1CC129"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02B2D6B"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37A2E72"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6154BDA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AFD9621"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D752244"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51B05FF9"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65EA20E"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77BE1AF"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68DADF2"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1456FFAC"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689B2C65"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24030066"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22331D80" w14:textId="77777777" w:rsidR="00962754" w:rsidRPr="00B907A3" w:rsidRDefault="00962754" w:rsidP="00962754">
            <w:pPr>
              <w:spacing w:after="0"/>
              <w:jc w:val="left"/>
              <w:rPr>
                <w:rFonts w:ascii="Garamond" w:hAnsi="Garamond"/>
                <w:sz w:val="6"/>
                <w:szCs w:val="12"/>
                <w:lang w:eastAsia="en-US"/>
              </w:rPr>
            </w:pPr>
          </w:p>
        </w:tc>
      </w:tr>
      <w:tr w:rsidR="00962754" w:rsidRPr="00B907A3" w14:paraId="49679CEB" w14:textId="77777777" w:rsidTr="00962754">
        <w:trPr>
          <w:trHeight w:val="20"/>
        </w:trPr>
        <w:tc>
          <w:tcPr>
            <w:tcW w:w="718" w:type="dxa"/>
            <w:tcBorders>
              <w:top w:val="single" w:sz="8" w:space="0" w:color="auto"/>
              <w:left w:val="single" w:sz="8" w:space="0" w:color="auto"/>
              <w:bottom w:val="nil"/>
              <w:right w:val="nil"/>
            </w:tcBorders>
            <w:shd w:val="clear" w:color="000000" w:fill="FBE2D5"/>
            <w:vAlign w:val="center"/>
            <w:hideMark/>
          </w:tcPr>
          <w:p w14:paraId="6ECB3B8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8" w:space="0" w:color="auto"/>
              <w:left w:val="single" w:sz="4" w:space="0" w:color="auto"/>
              <w:bottom w:val="nil"/>
              <w:right w:val="nil"/>
            </w:tcBorders>
            <w:shd w:val="clear" w:color="000000" w:fill="FBE2D5"/>
            <w:hideMark/>
          </w:tcPr>
          <w:p w14:paraId="05B843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8" w:space="0" w:color="auto"/>
              <w:left w:val="single" w:sz="4" w:space="0" w:color="auto"/>
              <w:bottom w:val="nil"/>
              <w:right w:val="nil"/>
            </w:tcBorders>
            <w:shd w:val="clear" w:color="000000" w:fill="FBE2D5"/>
            <w:vAlign w:val="center"/>
            <w:hideMark/>
          </w:tcPr>
          <w:p w14:paraId="09015C1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single" w:sz="8" w:space="0" w:color="auto"/>
              <w:left w:val="single" w:sz="4" w:space="0" w:color="auto"/>
              <w:bottom w:val="nil"/>
              <w:right w:val="single" w:sz="4" w:space="0" w:color="auto"/>
            </w:tcBorders>
            <w:shd w:val="clear" w:color="000000" w:fill="FBE2D5"/>
            <w:vAlign w:val="center"/>
            <w:hideMark/>
          </w:tcPr>
          <w:p w14:paraId="14369DB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8" w:space="0" w:color="auto"/>
              <w:left w:val="nil"/>
              <w:bottom w:val="single" w:sz="4" w:space="0" w:color="auto"/>
              <w:right w:val="nil"/>
            </w:tcBorders>
            <w:shd w:val="clear" w:color="000000" w:fill="FBE2D5"/>
            <w:vAlign w:val="center"/>
            <w:hideMark/>
          </w:tcPr>
          <w:p w14:paraId="0E4E757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bazë</w:t>
            </w:r>
          </w:p>
        </w:tc>
        <w:tc>
          <w:tcPr>
            <w:tcW w:w="1091" w:type="dxa"/>
            <w:gridSpan w:val="3"/>
            <w:tcBorders>
              <w:top w:val="single" w:sz="8" w:space="0" w:color="auto"/>
              <w:left w:val="single" w:sz="4" w:space="0" w:color="auto"/>
              <w:bottom w:val="single" w:sz="4" w:space="0" w:color="auto"/>
              <w:right w:val="nil"/>
            </w:tcBorders>
            <w:shd w:val="clear" w:color="000000" w:fill="FBE2D5"/>
            <w:noWrap/>
            <w:hideMark/>
          </w:tcPr>
          <w:p w14:paraId="72FE12BA" w14:textId="5668DD6C"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Vlerat e synuara të RM</w:t>
            </w:r>
            <w:r w:rsidR="00DB76F6" w:rsidRPr="00B907A3">
              <w:rPr>
                <w:rFonts w:ascii="Garamond" w:hAnsi="Garamond" w:cs="Arial"/>
                <w:color w:val="000000"/>
                <w:sz w:val="6"/>
                <w:szCs w:val="12"/>
                <w:lang w:eastAsia="en-US"/>
              </w:rPr>
              <w:t>-së</w:t>
            </w:r>
          </w:p>
        </w:tc>
        <w:tc>
          <w:tcPr>
            <w:tcW w:w="525" w:type="dxa"/>
            <w:tcBorders>
              <w:top w:val="single" w:sz="8" w:space="0" w:color="auto"/>
              <w:left w:val="single" w:sz="4" w:space="0" w:color="auto"/>
              <w:bottom w:val="nil"/>
              <w:right w:val="single" w:sz="8" w:space="0" w:color="auto"/>
            </w:tcBorders>
            <w:shd w:val="clear" w:color="000000" w:fill="FBE2D5"/>
            <w:vAlign w:val="center"/>
            <w:hideMark/>
          </w:tcPr>
          <w:p w14:paraId="18214D0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single" w:sz="8" w:space="0" w:color="auto"/>
              <w:left w:val="nil"/>
              <w:bottom w:val="single" w:sz="4" w:space="0" w:color="auto"/>
              <w:right w:val="nil"/>
            </w:tcBorders>
            <w:shd w:val="clear" w:color="000000" w:fill="FBE2D5"/>
            <w:vAlign w:val="center"/>
            <w:hideMark/>
          </w:tcPr>
          <w:p w14:paraId="5093D45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single" w:sz="8" w:space="0" w:color="auto"/>
              <w:left w:val="single" w:sz="8" w:space="0" w:color="auto"/>
              <w:bottom w:val="nil"/>
              <w:right w:val="single" w:sz="4" w:space="0" w:color="auto"/>
            </w:tcBorders>
            <w:shd w:val="clear" w:color="000000" w:fill="FBE2D5"/>
            <w:vAlign w:val="center"/>
            <w:hideMark/>
          </w:tcPr>
          <w:p w14:paraId="5245D13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8" w:space="0" w:color="auto"/>
              <w:left w:val="nil"/>
              <w:bottom w:val="nil"/>
              <w:right w:val="single" w:sz="4" w:space="0" w:color="auto"/>
            </w:tcBorders>
            <w:shd w:val="clear" w:color="000000" w:fill="FBE2D5"/>
            <w:vAlign w:val="center"/>
            <w:hideMark/>
          </w:tcPr>
          <w:p w14:paraId="5B77187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single" w:sz="8" w:space="0" w:color="auto"/>
              <w:left w:val="nil"/>
              <w:bottom w:val="nil"/>
              <w:right w:val="single" w:sz="4" w:space="0" w:color="auto"/>
            </w:tcBorders>
            <w:shd w:val="clear" w:color="000000" w:fill="FBE2D5"/>
            <w:vAlign w:val="center"/>
            <w:hideMark/>
          </w:tcPr>
          <w:p w14:paraId="02F395D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single" w:sz="8" w:space="0" w:color="auto"/>
              <w:left w:val="nil"/>
              <w:bottom w:val="nil"/>
              <w:right w:val="single" w:sz="8" w:space="0" w:color="auto"/>
            </w:tcBorders>
            <w:shd w:val="clear" w:color="000000" w:fill="FBE2D5"/>
            <w:vAlign w:val="center"/>
            <w:hideMark/>
          </w:tcPr>
          <w:p w14:paraId="55C8C49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8" w:space="0" w:color="auto"/>
              <w:left w:val="nil"/>
              <w:bottom w:val="single" w:sz="4" w:space="0" w:color="auto"/>
              <w:right w:val="nil"/>
            </w:tcBorders>
            <w:shd w:val="clear" w:color="000000" w:fill="FBE2D5"/>
            <w:vAlign w:val="center"/>
            <w:hideMark/>
          </w:tcPr>
          <w:p w14:paraId="122B442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639" w:type="dxa"/>
            <w:gridSpan w:val="5"/>
            <w:tcBorders>
              <w:top w:val="single" w:sz="8" w:space="0" w:color="auto"/>
              <w:left w:val="nil"/>
              <w:bottom w:val="single" w:sz="4" w:space="0" w:color="auto"/>
              <w:right w:val="single" w:sz="8" w:space="0" w:color="000000"/>
            </w:tcBorders>
            <w:shd w:val="clear" w:color="000000" w:fill="FBE2D5"/>
            <w:noWrap/>
            <w:hideMark/>
          </w:tcPr>
          <w:p w14:paraId="20E36956" w14:textId="0A7D05DA"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2027</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nil"/>
              <w:bottom w:val="single" w:sz="4" w:space="0" w:color="auto"/>
              <w:right w:val="nil"/>
            </w:tcBorders>
            <w:shd w:val="clear" w:color="000000" w:fill="FBE2D5"/>
            <w:noWrap/>
            <w:hideMark/>
          </w:tcPr>
          <w:p w14:paraId="4F4CCCC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1829" w:type="dxa"/>
            <w:gridSpan w:val="5"/>
            <w:tcBorders>
              <w:top w:val="single" w:sz="8" w:space="0" w:color="auto"/>
              <w:left w:val="nil"/>
              <w:bottom w:val="single" w:sz="4" w:space="0" w:color="auto"/>
              <w:right w:val="nil"/>
            </w:tcBorders>
            <w:shd w:val="clear" w:color="000000" w:fill="FBE2D5"/>
            <w:noWrap/>
            <w:hideMark/>
          </w:tcPr>
          <w:p w14:paraId="5059B607" w14:textId="79D75D82"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2028</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single" w:sz="8" w:space="0" w:color="auto"/>
              <w:bottom w:val="single" w:sz="4" w:space="0" w:color="auto"/>
              <w:right w:val="nil"/>
            </w:tcBorders>
            <w:shd w:val="clear" w:color="000000" w:fill="FBE2D5"/>
            <w:hideMark/>
          </w:tcPr>
          <w:p w14:paraId="1CA917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1829" w:type="dxa"/>
            <w:gridSpan w:val="5"/>
            <w:tcBorders>
              <w:top w:val="single" w:sz="8" w:space="0" w:color="auto"/>
              <w:left w:val="nil"/>
              <w:bottom w:val="single" w:sz="4" w:space="0" w:color="auto"/>
              <w:right w:val="single" w:sz="8" w:space="0" w:color="000000"/>
            </w:tcBorders>
            <w:shd w:val="clear" w:color="000000" w:fill="FBE2D5"/>
            <w:noWrap/>
            <w:hideMark/>
          </w:tcPr>
          <w:p w14:paraId="1DF4146D" w14:textId="554EBD4F"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2029</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464" w:type="dxa"/>
            <w:tcBorders>
              <w:top w:val="single" w:sz="8" w:space="0" w:color="auto"/>
              <w:left w:val="nil"/>
              <w:bottom w:val="nil"/>
              <w:right w:val="single" w:sz="4" w:space="0" w:color="auto"/>
            </w:tcBorders>
            <w:shd w:val="clear" w:color="000000" w:fill="FBE2D5"/>
            <w:hideMark/>
          </w:tcPr>
          <w:p w14:paraId="37C068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single" w:sz="8" w:space="0" w:color="auto"/>
              <w:left w:val="nil"/>
              <w:bottom w:val="nil"/>
              <w:right w:val="single" w:sz="4" w:space="0" w:color="auto"/>
            </w:tcBorders>
            <w:shd w:val="clear" w:color="000000" w:fill="FBE2D5"/>
            <w:vAlign w:val="center"/>
            <w:hideMark/>
          </w:tcPr>
          <w:p w14:paraId="6B64750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single" w:sz="8" w:space="0" w:color="auto"/>
              <w:left w:val="nil"/>
              <w:bottom w:val="nil"/>
              <w:right w:val="single" w:sz="8" w:space="0" w:color="auto"/>
            </w:tcBorders>
            <w:shd w:val="clear" w:color="000000" w:fill="FBE2D5"/>
            <w:vAlign w:val="center"/>
            <w:hideMark/>
          </w:tcPr>
          <w:p w14:paraId="07EA006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71F5E0B"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5571EA8F" w14:textId="77777777" w:rsidTr="00962754">
        <w:trPr>
          <w:trHeight w:val="20"/>
        </w:trPr>
        <w:tc>
          <w:tcPr>
            <w:tcW w:w="718" w:type="dxa"/>
            <w:tcBorders>
              <w:top w:val="nil"/>
              <w:left w:val="single" w:sz="8" w:space="0" w:color="auto"/>
              <w:bottom w:val="single" w:sz="8" w:space="0" w:color="auto"/>
              <w:right w:val="nil"/>
            </w:tcBorders>
            <w:shd w:val="clear" w:color="000000" w:fill="FBE2D5"/>
            <w:vAlign w:val="center"/>
            <w:hideMark/>
          </w:tcPr>
          <w:p w14:paraId="26FBC3C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i Masës dhe Detajet</w:t>
            </w:r>
          </w:p>
        </w:tc>
        <w:tc>
          <w:tcPr>
            <w:tcW w:w="571" w:type="dxa"/>
            <w:tcBorders>
              <w:top w:val="nil"/>
              <w:left w:val="single" w:sz="4" w:space="0" w:color="auto"/>
              <w:bottom w:val="single" w:sz="8" w:space="0" w:color="auto"/>
              <w:right w:val="nil"/>
            </w:tcBorders>
            <w:shd w:val="clear" w:color="000000" w:fill="FBE2D5"/>
            <w:vAlign w:val="center"/>
            <w:hideMark/>
          </w:tcPr>
          <w:p w14:paraId="239386E9" w14:textId="6B78E8AD"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Treguesi i rezultatit të </w:t>
            </w:r>
            <w:r w:rsidR="00DB76F6">
              <w:rPr>
                <w:rFonts w:ascii="Garamond" w:hAnsi="Garamond" w:cs="Arial"/>
                <w:b/>
                <w:bCs/>
                <w:color w:val="000000"/>
                <w:sz w:val="6"/>
                <w:szCs w:val="12"/>
                <w:lang w:eastAsia="en-US"/>
              </w:rPr>
              <w:t>masës</w:t>
            </w:r>
            <w:r w:rsidRPr="00B907A3">
              <w:rPr>
                <w:rFonts w:ascii="Garamond" w:hAnsi="Garamond" w:cs="Arial"/>
                <w:b/>
                <w:bCs/>
                <w:color w:val="000000"/>
                <w:sz w:val="6"/>
                <w:szCs w:val="12"/>
                <w:lang w:eastAsia="en-US"/>
              </w:rPr>
              <w:t xml:space="preserve"> (MoI)</w:t>
            </w:r>
          </w:p>
        </w:tc>
        <w:tc>
          <w:tcPr>
            <w:tcW w:w="470" w:type="dxa"/>
            <w:tcBorders>
              <w:top w:val="nil"/>
              <w:left w:val="single" w:sz="4" w:space="0" w:color="auto"/>
              <w:bottom w:val="single" w:sz="8" w:space="0" w:color="auto"/>
              <w:right w:val="nil"/>
            </w:tcBorders>
            <w:shd w:val="clear" w:color="000000" w:fill="FBE2D5"/>
            <w:vAlign w:val="center"/>
            <w:hideMark/>
          </w:tcPr>
          <w:p w14:paraId="6DAB60A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(njësia)</w:t>
            </w:r>
          </w:p>
        </w:tc>
        <w:tc>
          <w:tcPr>
            <w:tcW w:w="668" w:type="dxa"/>
            <w:tcBorders>
              <w:top w:val="nil"/>
              <w:left w:val="single" w:sz="4" w:space="0" w:color="auto"/>
              <w:bottom w:val="single" w:sz="8" w:space="0" w:color="auto"/>
              <w:right w:val="single" w:sz="4" w:space="0" w:color="auto"/>
            </w:tcBorders>
            <w:shd w:val="clear" w:color="000000" w:fill="FBE2D5"/>
            <w:vAlign w:val="center"/>
            <w:hideMark/>
          </w:tcPr>
          <w:p w14:paraId="62A7AF7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366" w:type="dxa"/>
            <w:tcBorders>
              <w:top w:val="nil"/>
              <w:left w:val="nil"/>
              <w:bottom w:val="single" w:sz="8" w:space="0" w:color="auto"/>
              <w:right w:val="single" w:sz="4" w:space="0" w:color="auto"/>
            </w:tcBorders>
            <w:shd w:val="clear" w:color="000000" w:fill="FBE2D5"/>
            <w:vAlign w:val="center"/>
            <w:hideMark/>
          </w:tcPr>
          <w:p w14:paraId="56048A4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2026</w:t>
            </w:r>
          </w:p>
        </w:tc>
        <w:tc>
          <w:tcPr>
            <w:tcW w:w="366" w:type="dxa"/>
            <w:tcBorders>
              <w:top w:val="nil"/>
              <w:left w:val="nil"/>
              <w:bottom w:val="single" w:sz="8" w:space="0" w:color="auto"/>
              <w:right w:val="single" w:sz="4" w:space="0" w:color="auto"/>
            </w:tcBorders>
            <w:shd w:val="clear" w:color="000000" w:fill="FBE2D5"/>
            <w:vAlign w:val="center"/>
            <w:hideMark/>
          </w:tcPr>
          <w:p w14:paraId="0738C7C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2027</w:t>
            </w:r>
          </w:p>
        </w:tc>
        <w:tc>
          <w:tcPr>
            <w:tcW w:w="366" w:type="dxa"/>
            <w:tcBorders>
              <w:top w:val="nil"/>
              <w:left w:val="nil"/>
              <w:bottom w:val="single" w:sz="8" w:space="0" w:color="auto"/>
              <w:right w:val="single" w:sz="4" w:space="0" w:color="auto"/>
            </w:tcBorders>
            <w:shd w:val="clear" w:color="000000" w:fill="FBE2D5"/>
            <w:vAlign w:val="center"/>
            <w:hideMark/>
          </w:tcPr>
          <w:p w14:paraId="2854701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2028</w:t>
            </w:r>
          </w:p>
        </w:tc>
        <w:tc>
          <w:tcPr>
            <w:tcW w:w="359" w:type="dxa"/>
            <w:tcBorders>
              <w:top w:val="nil"/>
              <w:left w:val="nil"/>
              <w:bottom w:val="single" w:sz="8" w:space="0" w:color="auto"/>
              <w:right w:val="nil"/>
            </w:tcBorders>
            <w:shd w:val="clear" w:color="000000" w:fill="FBE2D5"/>
            <w:vAlign w:val="center"/>
            <w:hideMark/>
          </w:tcPr>
          <w:p w14:paraId="4A5DCE1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2029</w:t>
            </w:r>
          </w:p>
        </w:tc>
        <w:tc>
          <w:tcPr>
            <w:tcW w:w="525" w:type="dxa"/>
            <w:tcBorders>
              <w:top w:val="nil"/>
              <w:left w:val="single" w:sz="4" w:space="0" w:color="auto"/>
              <w:bottom w:val="single" w:sz="8" w:space="0" w:color="auto"/>
              <w:right w:val="single" w:sz="8" w:space="0" w:color="auto"/>
            </w:tcBorders>
            <w:shd w:val="clear" w:color="000000" w:fill="FBE2D5"/>
            <w:vAlign w:val="center"/>
            <w:hideMark/>
          </w:tcPr>
          <w:p w14:paraId="0BB7519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36" w:type="dxa"/>
            <w:tcBorders>
              <w:top w:val="nil"/>
              <w:left w:val="nil"/>
              <w:bottom w:val="single" w:sz="8" w:space="0" w:color="auto"/>
              <w:right w:val="nil"/>
            </w:tcBorders>
            <w:shd w:val="clear" w:color="000000" w:fill="FBE2D5"/>
            <w:vAlign w:val="center"/>
            <w:hideMark/>
          </w:tcPr>
          <w:p w14:paraId="12C211E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FBE2D5"/>
            <w:vAlign w:val="center"/>
            <w:hideMark/>
          </w:tcPr>
          <w:p w14:paraId="3A34C08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dhe detajet e aktivitetit</w:t>
            </w:r>
          </w:p>
        </w:tc>
        <w:tc>
          <w:tcPr>
            <w:tcW w:w="520" w:type="dxa"/>
            <w:tcBorders>
              <w:top w:val="nil"/>
              <w:left w:val="nil"/>
              <w:bottom w:val="single" w:sz="8" w:space="0" w:color="auto"/>
              <w:right w:val="single" w:sz="4" w:space="0" w:color="auto"/>
            </w:tcBorders>
            <w:shd w:val="clear" w:color="000000" w:fill="FBE2D5"/>
            <w:vAlign w:val="center"/>
            <w:hideMark/>
          </w:tcPr>
          <w:p w14:paraId="14CAC21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512" w:type="dxa"/>
            <w:tcBorders>
              <w:top w:val="nil"/>
              <w:left w:val="nil"/>
              <w:bottom w:val="single" w:sz="8" w:space="0" w:color="auto"/>
              <w:right w:val="single" w:sz="4" w:space="0" w:color="auto"/>
            </w:tcBorders>
            <w:shd w:val="clear" w:color="000000" w:fill="FBE2D5"/>
            <w:vAlign w:val="center"/>
            <w:hideMark/>
          </w:tcPr>
          <w:p w14:paraId="4184343C" w14:textId="777280B3"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Mbështetës </w:t>
            </w:r>
            <w:r w:rsidR="00DB76F6" w:rsidRPr="00B907A3">
              <w:rPr>
                <w:rFonts w:ascii="Garamond" w:hAnsi="Garamond" w:cs="Arial"/>
                <w:b/>
                <w:bCs/>
                <w:color w:val="000000"/>
                <w:sz w:val="6"/>
                <w:szCs w:val="12"/>
                <w:lang w:eastAsia="en-US"/>
              </w:rPr>
              <w:t xml:space="preserve">VITI </w:t>
            </w:r>
            <w:r w:rsidRPr="00B907A3">
              <w:rPr>
                <w:rFonts w:ascii="Garamond" w:hAnsi="Garamond" w:cs="Arial"/>
                <w:b/>
                <w:bCs/>
                <w:color w:val="000000"/>
                <w:sz w:val="6"/>
                <w:szCs w:val="12"/>
                <w:lang w:eastAsia="en-US"/>
              </w:rPr>
              <w:t>i fillimit dhe i mbarimit</w:t>
            </w:r>
          </w:p>
        </w:tc>
        <w:tc>
          <w:tcPr>
            <w:tcW w:w="367" w:type="dxa"/>
            <w:tcBorders>
              <w:top w:val="nil"/>
              <w:left w:val="nil"/>
              <w:bottom w:val="single" w:sz="8" w:space="0" w:color="auto"/>
              <w:right w:val="single" w:sz="8" w:space="0" w:color="auto"/>
            </w:tcBorders>
            <w:shd w:val="clear" w:color="000000" w:fill="FBE2D5"/>
            <w:vAlign w:val="center"/>
            <w:hideMark/>
          </w:tcPr>
          <w:p w14:paraId="07D4B9C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i fillimit dhe i mbarimit</w:t>
            </w:r>
          </w:p>
        </w:tc>
        <w:tc>
          <w:tcPr>
            <w:tcW w:w="372" w:type="dxa"/>
            <w:tcBorders>
              <w:top w:val="nil"/>
              <w:left w:val="nil"/>
              <w:bottom w:val="single" w:sz="8" w:space="0" w:color="auto"/>
              <w:right w:val="single" w:sz="4" w:space="0" w:color="auto"/>
            </w:tcBorders>
            <w:shd w:val="clear" w:color="000000" w:fill="FBE2D5"/>
            <w:vAlign w:val="center"/>
            <w:hideMark/>
          </w:tcPr>
          <w:p w14:paraId="06E7512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FBE2D5"/>
            <w:vAlign w:val="center"/>
            <w:hideMark/>
          </w:tcPr>
          <w:p w14:paraId="731FDF9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426" w:type="dxa"/>
            <w:tcBorders>
              <w:top w:val="nil"/>
              <w:left w:val="nil"/>
              <w:bottom w:val="single" w:sz="8" w:space="0" w:color="auto"/>
              <w:right w:val="single" w:sz="4" w:space="0" w:color="auto"/>
            </w:tcBorders>
            <w:shd w:val="clear" w:color="000000" w:fill="FBE2D5"/>
            <w:vAlign w:val="center"/>
            <w:hideMark/>
          </w:tcPr>
          <w:p w14:paraId="28D168B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618" w:type="dxa"/>
            <w:tcBorders>
              <w:top w:val="nil"/>
              <w:left w:val="nil"/>
              <w:bottom w:val="single" w:sz="8" w:space="0" w:color="auto"/>
              <w:right w:val="single" w:sz="4" w:space="0" w:color="auto"/>
            </w:tcBorders>
            <w:shd w:val="clear" w:color="000000" w:fill="FBE2D5"/>
            <w:vAlign w:val="center"/>
            <w:hideMark/>
          </w:tcPr>
          <w:p w14:paraId="04AB0BA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618" w:type="dxa"/>
            <w:tcBorders>
              <w:top w:val="nil"/>
              <w:left w:val="nil"/>
              <w:bottom w:val="single" w:sz="8" w:space="0" w:color="auto"/>
              <w:right w:val="single" w:sz="4" w:space="0" w:color="auto"/>
            </w:tcBorders>
            <w:shd w:val="clear" w:color="000000" w:fill="FBE2D5"/>
            <w:vAlign w:val="center"/>
            <w:hideMark/>
          </w:tcPr>
          <w:p w14:paraId="30E9B61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 Banka Botërore</w:t>
            </w:r>
          </w:p>
        </w:tc>
        <w:tc>
          <w:tcPr>
            <w:tcW w:w="605" w:type="dxa"/>
            <w:tcBorders>
              <w:top w:val="nil"/>
              <w:left w:val="nil"/>
              <w:bottom w:val="single" w:sz="8" w:space="0" w:color="auto"/>
              <w:right w:val="single" w:sz="8" w:space="0" w:color="auto"/>
            </w:tcBorders>
            <w:shd w:val="clear" w:color="000000" w:fill="FBE2D5"/>
            <w:vAlign w:val="center"/>
            <w:hideMark/>
          </w:tcPr>
          <w:p w14:paraId="10FC713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nil"/>
              <w:bottom w:val="single" w:sz="8" w:space="0" w:color="auto"/>
              <w:right w:val="single" w:sz="4" w:space="0" w:color="auto"/>
            </w:tcBorders>
            <w:shd w:val="clear" w:color="000000" w:fill="FBE2D5"/>
            <w:vAlign w:val="center"/>
            <w:hideMark/>
          </w:tcPr>
          <w:p w14:paraId="3F8F4BE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FBE2D5"/>
            <w:vAlign w:val="center"/>
            <w:hideMark/>
          </w:tcPr>
          <w:p w14:paraId="775FB45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FBE2D5"/>
            <w:vAlign w:val="center"/>
            <w:hideMark/>
          </w:tcPr>
          <w:p w14:paraId="2D97064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FBE2D5"/>
            <w:vAlign w:val="center"/>
            <w:hideMark/>
          </w:tcPr>
          <w:p w14:paraId="15D908D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FBE2D5"/>
            <w:vAlign w:val="center"/>
            <w:hideMark/>
          </w:tcPr>
          <w:p w14:paraId="423516A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nil"/>
            </w:tcBorders>
            <w:shd w:val="clear" w:color="000000" w:fill="FBE2D5"/>
            <w:vAlign w:val="center"/>
            <w:hideMark/>
          </w:tcPr>
          <w:p w14:paraId="09B2790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single" w:sz="8" w:space="0" w:color="auto"/>
              <w:bottom w:val="single" w:sz="8" w:space="0" w:color="auto"/>
              <w:right w:val="single" w:sz="4" w:space="0" w:color="auto"/>
            </w:tcBorders>
            <w:shd w:val="clear" w:color="000000" w:fill="FBE2D5"/>
            <w:vAlign w:val="center"/>
            <w:hideMark/>
          </w:tcPr>
          <w:p w14:paraId="1EDAE20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FBE2D5"/>
            <w:vAlign w:val="center"/>
            <w:hideMark/>
          </w:tcPr>
          <w:p w14:paraId="4E1D2AF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FBE2D5"/>
            <w:vAlign w:val="center"/>
            <w:hideMark/>
          </w:tcPr>
          <w:p w14:paraId="5006F19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FBE2D5"/>
            <w:vAlign w:val="center"/>
            <w:hideMark/>
          </w:tcPr>
          <w:p w14:paraId="356F2B3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FBE2D5"/>
            <w:vAlign w:val="center"/>
            <w:hideMark/>
          </w:tcPr>
          <w:p w14:paraId="04D98C0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single" w:sz="8" w:space="0" w:color="auto"/>
            </w:tcBorders>
            <w:shd w:val="clear" w:color="000000" w:fill="FBE2D5"/>
            <w:vAlign w:val="center"/>
            <w:hideMark/>
          </w:tcPr>
          <w:p w14:paraId="28DE11CF"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464" w:type="dxa"/>
            <w:tcBorders>
              <w:top w:val="nil"/>
              <w:left w:val="nil"/>
              <w:bottom w:val="single" w:sz="8" w:space="0" w:color="auto"/>
              <w:right w:val="single" w:sz="4" w:space="0" w:color="auto"/>
            </w:tcBorders>
            <w:shd w:val="clear" w:color="000000" w:fill="FBE2D5"/>
            <w:vAlign w:val="center"/>
            <w:hideMark/>
          </w:tcPr>
          <w:p w14:paraId="6A5DF23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Produktit të Aktivitetit</w:t>
            </w:r>
          </w:p>
        </w:tc>
        <w:tc>
          <w:tcPr>
            <w:tcW w:w="442" w:type="dxa"/>
            <w:tcBorders>
              <w:top w:val="nil"/>
              <w:left w:val="nil"/>
              <w:bottom w:val="single" w:sz="8" w:space="0" w:color="auto"/>
              <w:right w:val="single" w:sz="4" w:space="0" w:color="auto"/>
            </w:tcBorders>
            <w:shd w:val="clear" w:color="000000" w:fill="FBE2D5"/>
            <w:vAlign w:val="center"/>
            <w:hideMark/>
          </w:tcPr>
          <w:p w14:paraId="3120F9E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87" w:type="dxa"/>
            <w:tcBorders>
              <w:top w:val="nil"/>
              <w:left w:val="nil"/>
              <w:bottom w:val="single" w:sz="8" w:space="0" w:color="auto"/>
              <w:right w:val="single" w:sz="8" w:space="0" w:color="auto"/>
            </w:tcBorders>
            <w:shd w:val="clear" w:color="000000" w:fill="FBE2D5"/>
            <w:vAlign w:val="center"/>
            <w:hideMark/>
          </w:tcPr>
          <w:p w14:paraId="5920AE7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Shënime</w:t>
            </w:r>
          </w:p>
        </w:tc>
        <w:tc>
          <w:tcPr>
            <w:tcW w:w="394" w:type="dxa"/>
            <w:tcBorders>
              <w:top w:val="nil"/>
              <w:left w:val="nil"/>
              <w:bottom w:val="nil"/>
              <w:right w:val="nil"/>
            </w:tcBorders>
            <w:shd w:val="clear" w:color="auto" w:fill="auto"/>
            <w:noWrap/>
            <w:vAlign w:val="bottom"/>
            <w:hideMark/>
          </w:tcPr>
          <w:p w14:paraId="55D131D7"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139ABD73" w14:textId="77777777" w:rsidTr="00962754">
        <w:trPr>
          <w:trHeight w:val="20"/>
        </w:trPr>
        <w:tc>
          <w:tcPr>
            <w:tcW w:w="718" w:type="dxa"/>
            <w:tcBorders>
              <w:top w:val="nil"/>
              <w:left w:val="single" w:sz="8" w:space="0" w:color="auto"/>
              <w:bottom w:val="nil"/>
              <w:right w:val="single" w:sz="4" w:space="0" w:color="auto"/>
            </w:tcBorders>
            <w:shd w:val="clear" w:color="000000" w:fill="FBE4D5"/>
            <w:hideMark/>
          </w:tcPr>
          <w:p w14:paraId="0E40478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4.1</w:t>
            </w:r>
            <w:r w:rsidRPr="00B907A3">
              <w:rPr>
                <w:rFonts w:ascii="Garamond" w:hAnsi="Garamond" w:cs="Arial"/>
                <w:b/>
                <w:bCs/>
                <w:color w:val="000000"/>
                <w:sz w:val="6"/>
                <w:szCs w:val="12"/>
                <w:lang w:eastAsia="en-US"/>
              </w:rPr>
              <w:br/>
              <w:t>Përmirësime në sistemin e edukimit për sigurinë rrugore</w:t>
            </w:r>
          </w:p>
        </w:tc>
        <w:tc>
          <w:tcPr>
            <w:tcW w:w="571" w:type="dxa"/>
            <w:tcBorders>
              <w:top w:val="nil"/>
              <w:left w:val="nil"/>
              <w:bottom w:val="single" w:sz="4" w:space="0" w:color="auto"/>
              <w:right w:val="single" w:sz="4" w:space="0" w:color="auto"/>
            </w:tcBorders>
            <w:shd w:val="clear" w:color="auto" w:fill="auto"/>
            <w:hideMark/>
          </w:tcPr>
          <w:p w14:paraId="53055F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Integrimi sistematik i një kurrikule të rishikuar/përmirësuar të sigurisë rrugore në shkolla</w:t>
            </w:r>
          </w:p>
        </w:tc>
        <w:tc>
          <w:tcPr>
            <w:tcW w:w="470" w:type="dxa"/>
            <w:tcBorders>
              <w:top w:val="nil"/>
              <w:left w:val="nil"/>
              <w:bottom w:val="single" w:sz="4" w:space="0" w:color="auto"/>
              <w:right w:val="single" w:sz="4" w:space="0" w:color="auto"/>
            </w:tcBorders>
            <w:shd w:val="clear" w:color="auto" w:fill="auto"/>
            <w:hideMark/>
          </w:tcPr>
          <w:p w14:paraId="103E35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4" w:space="0" w:color="auto"/>
              <w:right w:val="single" w:sz="4" w:space="0" w:color="auto"/>
            </w:tcBorders>
            <w:shd w:val="clear" w:color="auto" w:fill="auto"/>
            <w:hideMark/>
          </w:tcPr>
          <w:p w14:paraId="3DA116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MA</w:t>
            </w:r>
          </w:p>
        </w:tc>
        <w:tc>
          <w:tcPr>
            <w:tcW w:w="366" w:type="dxa"/>
            <w:tcBorders>
              <w:top w:val="nil"/>
              <w:left w:val="nil"/>
              <w:bottom w:val="single" w:sz="4" w:space="0" w:color="auto"/>
              <w:right w:val="single" w:sz="4" w:space="0" w:color="auto"/>
            </w:tcBorders>
            <w:shd w:val="clear" w:color="auto" w:fill="auto"/>
            <w:hideMark/>
          </w:tcPr>
          <w:p w14:paraId="67E7958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hideMark/>
          </w:tcPr>
          <w:p w14:paraId="3A60C5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2D91D85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4F254D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6512AE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MAS-it</w:t>
            </w:r>
          </w:p>
        </w:tc>
        <w:tc>
          <w:tcPr>
            <w:tcW w:w="236" w:type="dxa"/>
            <w:tcBorders>
              <w:top w:val="nil"/>
              <w:left w:val="nil"/>
              <w:bottom w:val="single" w:sz="4" w:space="0" w:color="auto"/>
              <w:right w:val="nil"/>
            </w:tcBorders>
            <w:shd w:val="clear" w:color="000000" w:fill="EE0000"/>
            <w:hideMark/>
          </w:tcPr>
          <w:p w14:paraId="18BE560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FBE4D5"/>
            <w:hideMark/>
          </w:tcPr>
          <w:p w14:paraId="58F7DE8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4.1.1 </w:t>
            </w:r>
            <w:r w:rsidRPr="00B907A3">
              <w:rPr>
                <w:rFonts w:ascii="Garamond" w:hAnsi="Garamond" w:cs="Arial"/>
                <w:b/>
                <w:bCs/>
                <w:color w:val="000000"/>
                <w:sz w:val="6"/>
                <w:szCs w:val="12"/>
                <w:lang w:eastAsia="en-US"/>
              </w:rPr>
              <w:br/>
              <w:t>Rishikimi dhe përmirësimi i kurrikulës së sigurisë rrugore në kopshte, dhe zbatimi i kurrikulës së përmirësuar në shkolla fillore dhe të mesme</w:t>
            </w:r>
          </w:p>
        </w:tc>
        <w:tc>
          <w:tcPr>
            <w:tcW w:w="520" w:type="dxa"/>
            <w:tcBorders>
              <w:top w:val="nil"/>
              <w:left w:val="nil"/>
              <w:bottom w:val="single" w:sz="4" w:space="0" w:color="auto"/>
              <w:right w:val="single" w:sz="4" w:space="0" w:color="auto"/>
            </w:tcBorders>
            <w:shd w:val="clear" w:color="auto" w:fill="auto"/>
            <w:hideMark/>
          </w:tcPr>
          <w:p w14:paraId="381FD4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MA</w:t>
            </w:r>
          </w:p>
        </w:tc>
        <w:tc>
          <w:tcPr>
            <w:tcW w:w="512" w:type="dxa"/>
            <w:tcBorders>
              <w:top w:val="nil"/>
              <w:left w:val="nil"/>
              <w:bottom w:val="single" w:sz="4" w:space="0" w:color="auto"/>
              <w:right w:val="single" w:sz="4" w:space="0" w:color="auto"/>
            </w:tcBorders>
            <w:shd w:val="clear" w:color="auto" w:fill="auto"/>
            <w:hideMark/>
          </w:tcPr>
          <w:p w14:paraId="3815F0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 DPSHTRR, ASCAP, OJQ</w:t>
            </w:r>
          </w:p>
        </w:tc>
        <w:tc>
          <w:tcPr>
            <w:tcW w:w="367" w:type="dxa"/>
            <w:tcBorders>
              <w:top w:val="nil"/>
              <w:left w:val="nil"/>
              <w:bottom w:val="single" w:sz="4" w:space="0" w:color="auto"/>
              <w:right w:val="single" w:sz="8" w:space="0" w:color="auto"/>
            </w:tcBorders>
            <w:shd w:val="clear" w:color="auto" w:fill="auto"/>
            <w:hideMark/>
          </w:tcPr>
          <w:p w14:paraId="3CADB9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6FA631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5BDCF5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6DC7B5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21900C2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E2FEB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7F75B5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1C462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460F69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nil"/>
              <w:left w:val="nil"/>
              <w:bottom w:val="single" w:sz="4" w:space="0" w:color="auto"/>
              <w:right w:val="single" w:sz="4" w:space="0" w:color="auto"/>
            </w:tcBorders>
            <w:shd w:val="clear" w:color="000000" w:fill="FFFFFF"/>
            <w:hideMark/>
          </w:tcPr>
          <w:p w14:paraId="585EA0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413D69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C111F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67FF35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44AD903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51833A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27728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05F50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3A9DDE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6B2759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275685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Kurrikula, librat për fëmijë dhe materialet për mësuesit të përmirësuara</w:t>
            </w:r>
          </w:p>
        </w:tc>
        <w:tc>
          <w:tcPr>
            <w:tcW w:w="442" w:type="dxa"/>
            <w:tcBorders>
              <w:top w:val="nil"/>
              <w:left w:val="nil"/>
              <w:bottom w:val="single" w:sz="4" w:space="0" w:color="auto"/>
              <w:right w:val="single" w:sz="4" w:space="0" w:color="auto"/>
            </w:tcBorders>
            <w:shd w:val="clear" w:color="000000" w:fill="FFFFFF"/>
            <w:hideMark/>
          </w:tcPr>
          <w:p w14:paraId="3D5A3EDC" w14:textId="12146BFF"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MA-</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4A2A54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54E5EBFA"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3F5C744"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BE4D5"/>
            <w:vAlign w:val="center"/>
            <w:hideMark/>
          </w:tcPr>
          <w:p w14:paraId="3262A04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0CAB59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249357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438582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73EEC7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A5E9C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0A9A07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5212E0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000000" w:fill="FFFFFF"/>
            <w:vAlign w:val="center"/>
            <w:hideMark/>
          </w:tcPr>
          <w:p w14:paraId="3936D3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075F0B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FBE4D5"/>
            <w:vAlign w:val="center"/>
            <w:hideMark/>
          </w:tcPr>
          <w:p w14:paraId="64487B8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vAlign w:val="center"/>
            <w:hideMark/>
          </w:tcPr>
          <w:p w14:paraId="4BB797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vAlign w:val="center"/>
            <w:hideMark/>
          </w:tcPr>
          <w:p w14:paraId="5D3FB3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vAlign w:val="center"/>
            <w:hideMark/>
          </w:tcPr>
          <w:p w14:paraId="6FCABD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FE5772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119F5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4BE0AF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5B597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29217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599FFA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9565F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1AC6E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F06FB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9E89D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BFB92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D4152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DFF9F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229032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0E6BD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F0243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4F1F1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0CC11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4FDA6B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09534D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5BDAA4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DDFF638"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5EC2B95" w14:textId="77777777" w:rsidTr="00962754">
        <w:trPr>
          <w:trHeight w:val="20"/>
        </w:trPr>
        <w:tc>
          <w:tcPr>
            <w:tcW w:w="718" w:type="dxa"/>
            <w:tcBorders>
              <w:top w:val="nil"/>
              <w:left w:val="single" w:sz="8" w:space="0" w:color="auto"/>
              <w:bottom w:val="nil"/>
              <w:right w:val="single" w:sz="4" w:space="0" w:color="auto"/>
            </w:tcBorders>
            <w:shd w:val="clear" w:color="000000" w:fill="FBE4D5"/>
            <w:hideMark/>
          </w:tcPr>
          <w:p w14:paraId="46EA5E8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4.2</w:t>
            </w:r>
            <w:r w:rsidRPr="00B907A3">
              <w:rPr>
                <w:rFonts w:ascii="Garamond" w:hAnsi="Garamond" w:cs="Arial"/>
                <w:b/>
                <w:bCs/>
                <w:color w:val="000000"/>
                <w:sz w:val="6"/>
                <w:szCs w:val="12"/>
                <w:lang w:eastAsia="en-US"/>
              </w:rPr>
              <w:br/>
              <w:t>Përmirësimi dhe intensifikimi i fushatave parandaluese të ndërgjegjësimit</w:t>
            </w:r>
          </w:p>
        </w:tc>
        <w:tc>
          <w:tcPr>
            <w:tcW w:w="571" w:type="dxa"/>
            <w:tcBorders>
              <w:top w:val="nil"/>
              <w:left w:val="nil"/>
              <w:bottom w:val="single" w:sz="4" w:space="0" w:color="auto"/>
              <w:right w:val="single" w:sz="4" w:space="0" w:color="auto"/>
            </w:tcBorders>
            <w:shd w:val="clear" w:color="auto" w:fill="auto"/>
            <w:hideMark/>
          </w:tcPr>
          <w:p w14:paraId="283977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3FAFF8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5CEC17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685406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A8897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652765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336825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3D79707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76DBE4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FBE4D5"/>
            <w:hideMark/>
          </w:tcPr>
          <w:p w14:paraId="6CD95AC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4.2.1</w:t>
            </w:r>
            <w:r w:rsidRPr="00B907A3">
              <w:rPr>
                <w:rFonts w:ascii="Garamond" w:hAnsi="Garamond" w:cs="Arial"/>
                <w:b/>
                <w:bCs/>
                <w:color w:val="000000"/>
                <w:sz w:val="6"/>
                <w:szCs w:val="12"/>
                <w:lang w:eastAsia="en-US"/>
              </w:rPr>
              <w:br/>
              <w:t>Zhvillimi i manualeve për komunikimin, raportimin dhe reklamimin e sigurisë rrugore në media</w:t>
            </w:r>
          </w:p>
        </w:tc>
        <w:tc>
          <w:tcPr>
            <w:tcW w:w="520" w:type="dxa"/>
            <w:tcBorders>
              <w:top w:val="nil"/>
              <w:left w:val="nil"/>
              <w:bottom w:val="single" w:sz="4" w:space="0" w:color="auto"/>
              <w:right w:val="single" w:sz="4" w:space="0" w:color="auto"/>
            </w:tcBorders>
            <w:shd w:val="clear" w:color="auto" w:fill="auto"/>
            <w:hideMark/>
          </w:tcPr>
          <w:p w14:paraId="697CC7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DPSHTRR</w:t>
            </w:r>
          </w:p>
        </w:tc>
        <w:tc>
          <w:tcPr>
            <w:tcW w:w="512" w:type="dxa"/>
            <w:tcBorders>
              <w:top w:val="nil"/>
              <w:left w:val="nil"/>
              <w:bottom w:val="single" w:sz="4" w:space="0" w:color="auto"/>
              <w:right w:val="single" w:sz="4" w:space="0" w:color="auto"/>
            </w:tcBorders>
            <w:shd w:val="clear" w:color="auto" w:fill="auto"/>
            <w:hideMark/>
          </w:tcPr>
          <w:p w14:paraId="72EC5B0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p>
        </w:tc>
        <w:tc>
          <w:tcPr>
            <w:tcW w:w="367" w:type="dxa"/>
            <w:tcBorders>
              <w:top w:val="nil"/>
              <w:left w:val="nil"/>
              <w:bottom w:val="single" w:sz="4" w:space="0" w:color="auto"/>
              <w:right w:val="single" w:sz="8" w:space="0" w:color="auto"/>
            </w:tcBorders>
            <w:shd w:val="clear" w:color="auto" w:fill="auto"/>
            <w:hideMark/>
          </w:tcPr>
          <w:p w14:paraId="706D86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4" w:space="0" w:color="auto"/>
              <w:right w:val="single" w:sz="4" w:space="0" w:color="auto"/>
            </w:tcBorders>
            <w:shd w:val="clear" w:color="auto" w:fill="auto"/>
            <w:hideMark/>
          </w:tcPr>
          <w:p w14:paraId="34C8A82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372" w:type="dxa"/>
            <w:tcBorders>
              <w:top w:val="nil"/>
              <w:left w:val="nil"/>
              <w:bottom w:val="single" w:sz="4" w:space="0" w:color="auto"/>
              <w:right w:val="single" w:sz="4" w:space="0" w:color="auto"/>
            </w:tcBorders>
            <w:shd w:val="clear" w:color="auto" w:fill="auto"/>
            <w:hideMark/>
          </w:tcPr>
          <w:p w14:paraId="10E8B31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4A2A82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1000</w:t>
            </w:r>
          </w:p>
        </w:tc>
        <w:tc>
          <w:tcPr>
            <w:tcW w:w="618" w:type="dxa"/>
            <w:tcBorders>
              <w:top w:val="nil"/>
              <w:left w:val="nil"/>
              <w:bottom w:val="single" w:sz="4" w:space="0" w:color="auto"/>
              <w:right w:val="single" w:sz="4" w:space="0" w:color="auto"/>
            </w:tcBorders>
            <w:shd w:val="clear" w:color="auto" w:fill="auto"/>
            <w:hideMark/>
          </w:tcPr>
          <w:p w14:paraId="5BDDFF02"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1000</w:t>
            </w:r>
          </w:p>
        </w:tc>
        <w:tc>
          <w:tcPr>
            <w:tcW w:w="618" w:type="dxa"/>
            <w:tcBorders>
              <w:top w:val="nil"/>
              <w:left w:val="nil"/>
              <w:bottom w:val="single" w:sz="4" w:space="0" w:color="auto"/>
              <w:right w:val="single" w:sz="4" w:space="0" w:color="auto"/>
            </w:tcBorders>
            <w:shd w:val="clear" w:color="auto" w:fill="auto"/>
            <w:hideMark/>
          </w:tcPr>
          <w:p w14:paraId="6E8CCF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2B0666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FA55D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611B3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2028C3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6EE87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7E20B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5D2D8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4D6A6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9C20F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74D0EC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E0E2F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14656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126423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26B215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Manualet janë përgatitur</w:t>
            </w:r>
          </w:p>
        </w:tc>
        <w:tc>
          <w:tcPr>
            <w:tcW w:w="442" w:type="dxa"/>
            <w:tcBorders>
              <w:top w:val="nil"/>
              <w:left w:val="nil"/>
              <w:bottom w:val="single" w:sz="4" w:space="0" w:color="auto"/>
              <w:right w:val="single" w:sz="4" w:space="0" w:color="auto"/>
            </w:tcBorders>
            <w:shd w:val="clear" w:color="000000" w:fill="FFFFFF"/>
            <w:hideMark/>
          </w:tcPr>
          <w:p w14:paraId="18F1A355" w14:textId="2ED20E8C"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0913B6F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545E04D4"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4206A12"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BE4D5"/>
            <w:hideMark/>
          </w:tcPr>
          <w:p w14:paraId="4050C28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754489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Janë zhvilluar fushata ndërgjegjësimi për promovimin e sjelljeve të përgjegjshme dhe të sigurta në trafik</w:t>
            </w:r>
          </w:p>
        </w:tc>
        <w:tc>
          <w:tcPr>
            <w:tcW w:w="470" w:type="dxa"/>
            <w:tcBorders>
              <w:top w:val="nil"/>
              <w:left w:val="nil"/>
              <w:bottom w:val="single" w:sz="4" w:space="0" w:color="auto"/>
              <w:right w:val="single" w:sz="4" w:space="0" w:color="auto"/>
            </w:tcBorders>
            <w:shd w:val="clear" w:color="auto" w:fill="auto"/>
            <w:hideMark/>
          </w:tcPr>
          <w:p w14:paraId="616514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4" w:space="0" w:color="auto"/>
              <w:right w:val="single" w:sz="4" w:space="0" w:color="auto"/>
            </w:tcBorders>
            <w:shd w:val="clear" w:color="auto" w:fill="auto"/>
            <w:hideMark/>
          </w:tcPr>
          <w:p w14:paraId="7DDB70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4" w:space="0" w:color="auto"/>
              <w:right w:val="single" w:sz="4" w:space="0" w:color="auto"/>
            </w:tcBorders>
            <w:shd w:val="clear" w:color="auto" w:fill="auto"/>
            <w:hideMark/>
          </w:tcPr>
          <w:p w14:paraId="66743C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1446568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697297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6C1D23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34F94CB7" w14:textId="428EE4D5"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5B00D2B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BE4D5"/>
            <w:hideMark/>
          </w:tcPr>
          <w:p w14:paraId="49A1505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4.2.2</w:t>
            </w:r>
            <w:r w:rsidRPr="00B907A3">
              <w:rPr>
                <w:rFonts w:ascii="Garamond" w:hAnsi="Garamond" w:cs="Arial"/>
                <w:b/>
                <w:bCs/>
                <w:color w:val="000000"/>
                <w:sz w:val="6"/>
                <w:szCs w:val="12"/>
                <w:lang w:eastAsia="en-US"/>
              </w:rPr>
              <w:br/>
              <w:t xml:space="preserve">Zbatimi i fushatave publike të ndërgjegjësimit dhe edukimit që adresojnë faktorët kryesorë që kontribuojnë në aksidentet rrugore me fatalitete dhe dëmtime, siç janë: shpejtësia e lartë, drejtimi në gjendje të dehur, lodhja, </w:t>
            </w:r>
            <w:r w:rsidRPr="00B907A3">
              <w:rPr>
                <w:rFonts w:ascii="Garamond" w:hAnsi="Garamond" w:cs="Arial"/>
                <w:b/>
                <w:bCs/>
                <w:color w:val="000000"/>
                <w:sz w:val="6"/>
                <w:szCs w:val="12"/>
                <w:lang w:eastAsia="en-US"/>
              </w:rPr>
              <w:lastRenderedPageBreak/>
              <w:t>mos-përdorimi i pajisjeve të sigurisë dhe përdorimi i telefonave celularë gjatë drejtimit ose kalimit të rrugës, me vëmendje të veçantë ndaj përdoruesve të rrugës me vulnerabilitet (PRR).</w:t>
            </w:r>
          </w:p>
        </w:tc>
        <w:tc>
          <w:tcPr>
            <w:tcW w:w="520" w:type="dxa"/>
            <w:tcBorders>
              <w:top w:val="nil"/>
              <w:left w:val="nil"/>
              <w:bottom w:val="single" w:sz="4" w:space="0" w:color="auto"/>
              <w:right w:val="single" w:sz="4" w:space="0" w:color="auto"/>
            </w:tcBorders>
            <w:shd w:val="clear" w:color="auto" w:fill="auto"/>
            <w:hideMark/>
          </w:tcPr>
          <w:p w14:paraId="4C94C00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lastRenderedPageBreak/>
              <w:t>DPSHTRR / MPB/PRr</w:t>
            </w:r>
          </w:p>
        </w:tc>
        <w:tc>
          <w:tcPr>
            <w:tcW w:w="512" w:type="dxa"/>
            <w:tcBorders>
              <w:top w:val="nil"/>
              <w:left w:val="nil"/>
              <w:bottom w:val="nil"/>
              <w:right w:val="single" w:sz="4" w:space="0" w:color="auto"/>
            </w:tcBorders>
            <w:shd w:val="clear" w:color="auto" w:fill="auto"/>
            <w:hideMark/>
          </w:tcPr>
          <w:p w14:paraId="01968D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r w:rsidRPr="00B907A3">
              <w:rPr>
                <w:rFonts w:ascii="Garamond" w:hAnsi="Garamond" w:cs="Arial"/>
                <w:color w:val="000000"/>
                <w:sz w:val="6"/>
                <w:szCs w:val="12"/>
                <w:lang w:eastAsia="en-US"/>
              </w:rPr>
              <w:br/>
              <w:t>MA</w:t>
            </w:r>
          </w:p>
        </w:tc>
        <w:tc>
          <w:tcPr>
            <w:tcW w:w="367" w:type="dxa"/>
            <w:tcBorders>
              <w:top w:val="nil"/>
              <w:left w:val="nil"/>
              <w:bottom w:val="single" w:sz="4" w:space="0" w:color="auto"/>
              <w:right w:val="single" w:sz="8" w:space="0" w:color="auto"/>
            </w:tcBorders>
            <w:shd w:val="clear" w:color="auto" w:fill="auto"/>
            <w:hideMark/>
          </w:tcPr>
          <w:p w14:paraId="07AD14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160756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7000</w:t>
            </w:r>
          </w:p>
        </w:tc>
        <w:tc>
          <w:tcPr>
            <w:tcW w:w="372" w:type="dxa"/>
            <w:tcBorders>
              <w:top w:val="nil"/>
              <w:left w:val="nil"/>
              <w:bottom w:val="single" w:sz="4" w:space="0" w:color="auto"/>
              <w:right w:val="single" w:sz="4" w:space="0" w:color="auto"/>
            </w:tcBorders>
            <w:shd w:val="clear" w:color="auto" w:fill="auto"/>
            <w:hideMark/>
          </w:tcPr>
          <w:p w14:paraId="3289AD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66D6C84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7000</w:t>
            </w:r>
          </w:p>
        </w:tc>
        <w:tc>
          <w:tcPr>
            <w:tcW w:w="618" w:type="dxa"/>
            <w:tcBorders>
              <w:top w:val="nil"/>
              <w:left w:val="nil"/>
              <w:bottom w:val="single" w:sz="4" w:space="0" w:color="auto"/>
              <w:right w:val="single" w:sz="4" w:space="0" w:color="auto"/>
            </w:tcBorders>
            <w:shd w:val="clear" w:color="auto" w:fill="auto"/>
            <w:hideMark/>
          </w:tcPr>
          <w:p w14:paraId="58CE1243"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7000</w:t>
            </w:r>
          </w:p>
        </w:tc>
        <w:tc>
          <w:tcPr>
            <w:tcW w:w="618" w:type="dxa"/>
            <w:tcBorders>
              <w:top w:val="nil"/>
              <w:left w:val="nil"/>
              <w:bottom w:val="single" w:sz="4" w:space="0" w:color="auto"/>
              <w:right w:val="single" w:sz="4" w:space="0" w:color="auto"/>
            </w:tcBorders>
            <w:shd w:val="clear" w:color="auto" w:fill="auto"/>
            <w:hideMark/>
          </w:tcPr>
          <w:p w14:paraId="749F7A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253E36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EB4C0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72" w:type="dxa"/>
            <w:tcBorders>
              <w:top w:val="nil"/>
              <w:left w:val="nil"/>
              <w:bottom w:val="single" w:sz="4" w:space="0" w:color="auto"/>
              <w:right w:val="single" w:sz="4" w:space="0" w:color="auto"/>
            </w:tcBorders>
            <w:shd w:val="clear" w:color="auto" w:fill="auto"/>
            <w:hideMark/>
          </w:tcPr>
          <w:p w14:paraId="5744C5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04480A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82" w:type="dxa"/>
            <w:tcBorders>
              <w:top w:val="nil"/>
              <w:left w:val="nil"/>
              <w:bottom w:val="single" w:sz="4" w:space="0" w:color="auto"/>
              <w:right w:val="single" w:sz="4" w:space="0" w:color="auto"/>
            </w:tcBorders>
            <w:shd w:val="clear" w:color="000000" w:fill="FFFFFF"/>
            <w:hideMark/>
          </w:tcPr>
          <w:p w14:paraId="5ABDBECB"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5000</w:t>
            </w:r>
          </w:p>
        </w:tc>
        <w:tc>
          <w:tcPr>
            <w:tcW w:w="382" w:type="dxa"/>
            <w:tcBorders>
              <w:top w:val="nil"/>
              <w:left w:val="nil"/>
              <w:bottom w:val="single" w:sz="4" w:space="0" w:color="auto"/>
              <w:right w:val="single" w:sz="4" w:space="0" w:color="auto"/>
            </w:tcBorders>
            <w:shd w:val="clear" w:color="000000" w:fill="FFFFFF"/>
            <w:hideMark/>
          </w:tcPr>
          <w:p w14:paraId="3C4D5C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EE32D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6C661E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72" w:type="dxa"/>
            <w:tcBorders>
              <w:top w:val="nil"/>
              <w:left w:val="nil"/>
              <w:bottom w:val="single" w:sz="4" w:space="0" w:color="auto"/>
              <w:right w:val="single" w:sz="4" w:space="0" w:color="auto"/>
            </w:tcBorders>
            <w:shd w:val="clear" w:color="000000" w:fill="FFFFFF"/>
            <w:hideMark/>
          </w:tcPr>
          <w:p w14:paraId="24BDB3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C995F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82" w:type="dxa"/>
            <w:tcBorders>
              <w:top w:val="nil"/>
              <w:left w:val="nil"/>
              <w:bottom w:val="single" w:sz="4" w:space="0" w:color="auto"/>
              <w:right w:val="single" w:sz="4" w:space="0" w:color="auto"/>
            </w:tcBorders>
            <w:shd w:val="clear" w:color="000000" w:fill="FFFFFF"/>
            <w:hideMark/>
          </w:tcPr>
          <w:p w14:paraId="42F1717D" w14:textId="77777777" w:rsidR="00962754" w:rsidRPr="00B907A3" w:rsidRDefault="00962754" w:rsidP="00962754">
            <w:pPr>
              <w:spacing w:after="0"/>
              <w:jc w:val="left"/>
              <w:rPr>
                <w:rFonts w:ascii="Garamond" w:hAnsi="Garamond" w:cs="Arial"/>
                <w:sz w:val="6"/>
                <w:szCs w:val="12"/>
                <w:lang w:eastAsia="en-US"/>
              </w:rPr>
            </w:pPr>
            <w:r w:rsidRPr="00B907A3">
              <w:rPr>
                <w:rFonts w:ascii="Garamond" w:hAnsi="Garamond" w:cs="Arial"/>
                <w:sz w:val="6"/>
                <w:szCs w:val="12"/>
                <w:lang w:eastAsia="en-US"/>
              </w:rPr>
              <w:t>5000</w:t>
            </w:r>
          </w:p>
        </w:tc>
        <w:tc>
          <w:tcPr>
            <w:tcW w:w="382" w:type="dxa"/>
            <w:tcBorders>
              <w:top w:val="nil"/>
              <w:left w:val="nil"/>
              <w:bottom w:val="single" w:sz="4" w:space="0" w:color="auto"/>
              <w:right w:val="single" w:sz="4" w:space="0" w:color="auto"/>
            </w:tcBorders>
            <w:shd w:val="clear" w:color="000000" w:fill="FFFFFF"/>
            <w:hideMark/>
          </w:tcPr>
          <w:p w14:paraId="439BA6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55E7A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549DD6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Fushatat e ndërgjegjësimit janë zhvilluar</w:t>
            </w:r>
          </w:p>
        </w:tc>
        <w:tc>
          <w:tcPr>
            <w:tcW w:w="442" w:type="dxa"/>
            <w:tcBorders>
              <w:top w:val="nil"/>
              <w:left w:val="nil"/>
              <w:bottom w:val="single" w:sz="4" w:space="0" w:color="auto"/>
              <w:right w:val="single" w:sz="4" w:space="0" w:color="auto"/>
            </w:tcBorders>
            <w:shd w:val="clear" w:color="000000" w:fill="FFFFFF"/>
            <w:hideMark/>
          </w:tcPr>
          <w:p w14:paraId="4634D36C" w14:textId="4B84D93D"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DPSHTRR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739FAD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FDC5E74"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4A4404A"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FBE4D5"/>
            <w:vAlign w:val="center"/>
            <w:hideMark/>
          </w:tcPr>
          <w:p w14:paraId="7A921DE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529176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316E13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66EE05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544FA22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0E0CEA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09277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2DEE60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2CF337B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09ADF5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FBE4D5"/>
            <w:vAlign w:val="center"/>
            <w:hideMark/>
          </w:tcPr>
          <w:p w14:paraId="71AB21B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vAlign w:val="center"/>
            <w:hideMark/>
          </w:tcPr>
          <w:p w14:paraId="4D3857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0582697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vAlign w:val="center"/>
            <w:hideMark/>
          </w:tcPr>
          <w:p w14:paraId="77143C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E5BAE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E32BC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7B75E5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4E77F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00294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2E041C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EC7D45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329F1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7B1961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7B65EC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A5FC6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7454EA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8E843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216C9AE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5E7E72A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400F3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390A4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F0E9FA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6F1025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596D643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54AB5EB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D5E45B0"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6649B13" w14:textId="77777777" w:rsidTr="00962754">
        <w:trPr>
          <w:trHeight w:val="20"/>
        </w:trPr>
        <w:tc>
          <w:tcPr>
            <w:tcW w:w="718" w:type="dxa"/>
            <w:tcBorders>
              <w:top w:val="nil"/>
              <w:left w:val="single" w:sz="8" w:space="0" w:color="auto"/>
              <w:bottom w:val="nil"/>
              <w:right w:val="single" w:sz="4" w:space="0" w:color="auto"/>
            </w:tcBorders>
            <w:shd w:val="clear" w:color="000000" w:fill="FBE4D5"/>
            <w:hideMark/>
          </w:tcPr>
          <w:p w14:paraId="1C43181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4.3</w:t>
            </w:r>
            <w:r w:rsidRPr="00B907A3">
              <w:rPr>
                <w:rFonts w:ascii="Garamond" w:hAnsi="Garamond" w:cs="Arial"/>
                <w:b/>
                <w:bCs/>
                <w:color w:val="000000"/>
                <w:sz w:val="6"/>
                <w:szCs w:val="12"/>
                <w:lang w:eastAsia="en-US"/>
              </w:rPr>
              <w:br/>
              <w:t>Përmirësimi i sistemit të zbatimit të ligjit</w:t>
            </w:r>
          </w:p>
        </w:tc>
        <w:tc>
          <w:tcPr>
            <w:tcW w:w="571" w:type="dxa"/>
            <w:tcBorders>
              <w:top w:val="nil"/>
              <w:left w:val="nil"/>
              <w:bottom w:val="single" w:sz="4" w:space="0" w:color="auto"/>
              <w:right w:val="single" w:sz="4" w:space="0" w:color="auto"/>
            </w:tcBorders>
            <w:shd w:val="clear" w:color="auto" w:fill="auto"/>
            <w:hideMark/>
          </w:tcPr>
          <w:p w14:paraId="54FF45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Arritja e nivelit optimal të personelit të policisë rrugore</w:t>
            </w:r>
          </w:p>
        </w:tc>
        <w:tc>
          <w:tcPr>
            <w:tcW w:w="470" w:type="dxa"/>
            <w:tcBorders>
              <w:top w:val="nil"/>
              <w:left w:val="nil"/>
              <w:bottom w:val="single" w:sz="4" w:space="0" w:color="auto"/>
              <w:right w:val="single" w:sz="4" w:space="0" w:color="auto"/>
            </w:tcBorders>
            <w:shd w:val="clear" w:color="auto" w:fill="auto"/>
            <w:hideMark/>
          </w:tcPr>
          <w:p w14:paraId="60174D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Po/Jo/Pjesërisht</w:t>
            </w:r>
          </w:p>
        </w:tc>
        <w:tc>
          <w:tcPr>
            <w:tcW w:w="668" w:type="dxa"/>
            <w:tcBorders>
              <w:top w:val="nil"/>
              <w:left w:val="nil"/>
              <w:bottom w:val="single" w:sz="4" w:space="0" w:color="auto"/>
              <w:right w:val="single" w:sz="4" w:space="0" w:color="auto"/>
            </w:tcBorders>
            <w:shd w:val="clear" w:color="auto" w:fill="auto"/>
            <w:hideMark/>
          </w:tcPr>
          <w:p w14:paraId="78F5A4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w:t>
            </w:r>
          </w:p>
        </w:tc>
        <w:tc>
          <w:tcPr>
            <w:tcW w:w="366" w:type="dxa"/>
            <w:tcBorders>
              <w:top w:val="nil"/>
              <w:left w:val="nil"/>
              <w:bottom w:val="single" w:sz="4" w:space="0" w:color="auto"/>
              <w:right w:val="single" w:sz="4" w:space="0" w:color="auto"/>
            </w:tcBorders>
            <w:shd w:val="clear" w:color="auto" w:fill="auto"/>
            <w:hideMark/>
          </w:tcPr>
          <w:p w14:paraId="02B4BC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6AA9F0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1470E7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4A63F2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776145FC" w14:textId="31C1EAEF"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/PRr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69C6D9C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FBE4D5"/>
            <w:hideMark/>
          </w:tcPr>
          <w:p w14:paraId="0C9D32E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4.3.1</w:t>
            </w:r>
            <w:r w:rsidRPr="00B907A3">
              <w:rPr>
                <w:rFonts w:ascii="Garamond" w:hAnsi="Garamond" w:cs="Arial"/>
                <w:b/>
                <w:bCs/>
                <w:color w:val="000000"/>
                <w:sz w:val="6"/>
                <w:szCs w:val="12"/>
                <w:lang w:eastAsia="en-US"/>
              </w:rPr>
              <w:br/>
              <w:t>Kryerja e një analize mbi kapacitetin e Policisë Rrugore lidhur me numrin e efektivëve dhe shpërndarjen e tyre në zonat me rrezik të lartë në të gjitha rajonet dhe, nëse është e nevojshme, rritja e numrit të punonjësve të Policisë Rrugore si dhe përshtatja e detyrave të tyre</w:t>
            </w:r>
          </w:p>
        </w:tc>
        <w:tc>
          <w:tcPr>
            <w:tcW w:w="520" w:type="dxa"/>
            <w:tcBorders>
              <w:top w:val="nil"/>
              <w:left w:val="nil"/>
              <w:bottom w:val="single" w:sz="4" w:space="0" w:color="auto"/>
              <w:right w:val="single" w:sz="4" w:space="0" w:color="auto"/>
            </w:tcBorders>
            <w:shd w:val="clear" w:color="auto" w:fill="auto"/>
            <w:hideMark/>
          </w:tcPr>
          <w:p w14:paraId="05B6CE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p>
        </w:tc>
        <w:tc>
          <w:tcPr>
            <w:tcW w:w="512" w:type="dxa"/>
            <w:tcBorders>
              <w:top w:val="nil"/>
              <w:left w:val="nil"/>
              <w:bottom w:val="single" w:sz="4" w:space="0" w:color="auto"/>
              <w:right w:val="single" w:sz="4" w:space="0" w:color="auto"/>
            </w:tcBorders>
            <w:shd w:val="clear" w:color="auto" w:fill="auto"/>
            <w:hideMark/>
          </w:tcPr>
          <w:p w14:paraId="510B34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Akademia e Sigurisë</w:t>
            </w:r>
          </w:p>
        </w:tc>
        <w:tc>
          <w:tcPr>
            <w:tcW w:w="367" w:type="dxa"/>
            <w:tcBorders>
              <w:top w:val="nil"/>
              <w:left w:val="nil"/>
              <w:bottom w:val="single" w:sz="4" w:space="0" w:color="auto"/>
              <w:right w:val="single" w:sz="8" w:space="0" w:color="auto"/>
            </w:tcBorders>
            <w:shd w:val="clear" w:color="auto" w:fill="auto"/>
            <w:hideMark/>
          </w:tcPr>
          <w:p w14:paraId="35F23D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4" w:space="0" w:color="auto"/>
              <w:right w:val="single" w:sz="4" w:space="0" w:color="auto"/>
            </w:tcBorders>
            <w:shd w:val="clear" w:color="auto" w:fill="auto"/>
            <w:hideMark/>
          </w:tcPr>
          <w:p w14:paraId="29311C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C149F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nil"/>
              <w:left w:val="nil"/>
              <w:bottom w:val="single" w:sz="4" w:space="0" w:color="auto"/>
              <w:right w:val="single" w:sz="4" w:space="0" w:color="auto"/>
            </w:tcBorders>
            <w:shd w:val="clear" w:color="auto" w:fill="auto"/>
            <w:hideMark/>
          </w:tcPr>
          <w:p w14:paraId="1E2AA3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64C80F7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A0685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174AB1F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7998D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8D1440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F2BF4E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45ED7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56CC9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698444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245EC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F8ADA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2CEC30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C0D381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22F02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070C7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01B3EF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Numri i personelit të nevojshëm për detyrat e përshkruara në Strategjinë e Sigurisë Rrugore caktuar</w:t>
            </w:r>
          </w:p>
        </w:tc>
        <w:tc>
          <w:tcPr>
            <w:tcW w:w="442" w:type="dxa"/>
            <w:tcBorders>
              <w:top w:val="nil"/>
              <w:left w:val="nil"/>
              <w:bottom w:val="single" w:sz="4" w:space="0" w:color="auto"/>
              <w:right w:val="single" w:sz="4" w:space="0" w:color="auto"/>
            </w:tcBorders>
            <w:shd w:val="clear" w:color="000000" w:fill="FFFFFF"/>
            <w:hideMark/>
          </w:tcPr>
          <w:p w14:paraId="6EF3FD63" w14:textId="35130240"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/PRr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214CA2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14003100"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074970A8"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BE4D5"/>
            <w:hideMark/>
          </w:tcPr>
          <w:p w14:paraId="3C9E0C1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164255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09E445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155CF04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297B45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92F2A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2191291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58E32B7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1E06EC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0ABAA1F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BE4D5"/>
            <w:hideMark/>
          </w:tcPr>
          <w:p w14:paraId="34E3A6D1" w14:textId="3F8E9289"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4.3.2</w:t>
            </w:r>
            <w:r w:rsidRPr="00B907A3">
              <w:rPr>
                <w:rFonts w:ascii="Garamond" w:hAnsi="Garamond" w:cs="Arial"/>
                <w:b/>
                <w:bCs/>
                <w:color w:val="000000"/>
                <w:sz w:val="6"/>
                <w:szCs w:val="12"/>
                <w:lang w:eastAsia="en-US"/>
              </w:rPr>
              <w:br/>
              <w:t>Përmirësimi i pajisjeve teknike të përdorura nga efektivët e policisë</w:t>
            </w:r>
            <w:r w:rsidR="00887CC6">
              <w:rPr>
                <w:rFonts w:ascii="Garamond" w:hAnsi="Garamond" w:cs="Arial"/>
                <w:b/>
                <w:bCs/>
                <w:color w:val="000000"/>
                <w:sz w:val="6"/>
                <w:szCs w:val="12"/>
                <w:lang w:eastAsia="en-US"/>
              </w:rPr>
              <w:t xml:space="preserve"> </w:t>
            </w:r>
          </w:p>
        </w:tc>
        <w:tc>
          <w:tcPr>
            <w:tcW w:w="520" w:type="dxa"/>
            <w:tcBorders>
              <w:top w:val="nil"/>
              <w:left w:val="nil"/>
              <w:bottom w:val="single" w:sz="4" w:space="0" w:color="auto"/>
              <w:right w:val="single" w:sz="4" w:space="0" w:color="auto"/>
            </w:tcBorders>
            <w:shd w:val="clear" w:color="auto" w:fill="auto"/>
            <w:hideMark/>
          </w:tcPr>
          <w:p w14:paraId="1C837A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p>
        </w:tc>
        <w:tc>
          <w:tcPr>
            <w:tcW w:w="512" w:type="dxa"/>
            <w:tcBorders>
              <w:top w:val="nil"/>
              <w:left w:val="nil"/>
              <w:bottom w:val="single" w:sz="4" w:space="0" w:color="auto"/>
              <w:right w:val="single" w:sz="4" w:space="0" w:color="auto"/>
            </w:tcBorders>
            <w:shd w:val="clear" w:color="auto" w:fill="auto"/>
            <w:hideMark/>
          </w:tcPr>
          <w:p w14:paraId="7B1123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5B977A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5D30BF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1177</w:t>
            </w:r>
          </w:p>
        </w:tc>
        <w:tc>
          <w:tcPr>
            <w:tcW w:w="372" w:type="dxa"/>
            <w:tcBorders>
              <w:top w:val="nil"/>
              <w:left w:val="nil"/>
              <w:bottom w:val="single" w:sz="4" w:space="0" w:color="auto"/>
              <w:right w:val="single" w:sz="4" w:space="0" w:color="auto"/>
            </w:tcBorders>
            <w:shd w:val="clear" w:color="auto" w:fill="auto"/>
            <w:hideMark/>
          </w:tcPr>
          <w:p w14:paraId="3238E9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FFFFFF"/>
            <w:hideMark/>
          </w:tcPr>
          <w:p w14:paraId="4C6237D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1177</w:t>
            </w:r>
          </w:p>
        </w:tc>
        <w:tc>
          <w:tcPr>
            <w:tcW w:w="618" w:type="dxa"/>
            <w:tcBorders>
              <w:top w:val="nil"/>
              <w:left w:val="nil"/>
              <w:bottom w:val="single" w:sz="4" w:space="0" w:color="auto"/>
              <w:right w:val="single" w:sz="4" w:space="0" w:color="auto"/>
            </w:tcBorders>
            <w:shd w:val="clear" w:color="auto" w:fill="auto"/>
            <w:hideMark/>
          </w:tcPr>
          <w:p w14:paraId="6F057F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40E84C9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1177</w:t>
            </w:r>
          </w:p>
        </w:tc>
        <w:tc>
          <w:tcPr>
            <w:tcW w:w="605" w:type="dxa"/>
            <w:tcBorders>
              <w:top w:val="nil"/>
              <w:left w:val="nil"/>
              <w:bottom w:val="single" w:sz="4" w:space="0" w:color="auto"/>
              <w:right w:val="single" w:sz="8" w:space="0" w:color="auto"/>
            </w:tcBorders>
            <w:shd w:val="clear" w:color="auto" w:fill="auto"/>
            <w:hideMark/>
          </w:tcPr>
          <w:p w14:paraId="2AD058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5DD91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010EF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63563</w:t>
            </w:r>
          </w:p>
        </w:tc>
        <w:tc>
          <w:tcPr>
            <w:tcW w:w="324" w:type="dxa"/>
            <w:tcBorders>
              <w:top w:val="nil"/>
              <w:left w:val="nil"/>
              <w:bottom w:val="single" w:sz="4" w:space="0" w:color="auto"/>
              <w:right w:val="single" w:sz="4" w:space="0" w:color="auto"/>
            </w:tcBorders>
            <w:shd w:val="clear" w:color="auto" w:fill="auto"/>
            <w:hideMark/>
          </w:tcPr>
          <w:p w14:paraId="54B303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63563</w:t>
            </w:r>
          </w:p>
        </w:tc>
        <w:tc>
          <w:tcPr>
            <w:tcW w:w="382" w:type="dxa"/>
            <w:tcBorders>
              <w:top w:val="nil"/>
              <w:left w:val="nil"/>
              <w:bottom w:val="single" w:sz="4" w:space="0" w:color="auto"/>
              <w:right w:val="single" w:sz="4" w:space="0" w:color="auto"/>
            </w:tcBorders>
            <w:shd w:val="clear" w:color="auto" w:fill="auto"/>
            <w:hideMark/>
          </w:tcPr>
          <w:p w14:paraId="72A3EE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606AF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63563</w:t>
            </w:r>
          </w:p>
        </w:tc>
        <w:tc>
          <w:tcPr>
            <w:tcW w:w="369" w:type="dxa"/>
            <w:tcBorders>
              <w:top w:val="nil"/>
              <w:left w:val="nil"/>
              <w:bottom w:val="single" w:sz="4" w:space="0" w:color="auto"/>
              <w:right w:val="single" w:sz="8" w:space="0" w:color="auto"/>
            </w:tcBorders>
            <w:shd w:val="clear" w:color="000000" w:fill="FFFFFF"/>
            <w:hideMark/>
          </w:tcPr>
          <w:p w14:paraId="1992CA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2F7ADB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20000</w:t>
            </w:r>
          </w:p>
        </w:tc>
        <w:tc>
          <w:tcPr>
            <w:tcW w:w="372" w:type="dxa"/>
            <w:tcBorders>
              <w:top w:val="nil"/>
              <w:left w:val="nil"/>
              <w:bottom w:val="single" w:sz="4" w:space="0" w:color="auto"/>
              <w:right w:val="single" w:sz="4" w:space="0" w:color="auto"/>
            </w:tcBorders>
            <w:shd w:val="clear" w:color="000000" w:fill="FFFFFF"/>
            <w:hideMark/>
          </w:tcPr>
          <w:p w14:paraId="17553CC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C09013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20000</w:t>
            </w:r>
          </w:p>
        </w:tc>
        <w:tc>
          <w:tcPr>
            <w:tcW w:w="382" w:type="dxa"/>
            <w:tcBorders>
              <w:top w:val="nil"/>
              <w:left w:val="nil"/>
              <w:bottom w:val="single" w:sz="4" w:space="0" w:color="auto"/>
              <w:right w:val="single" w:sz="4" w:space="0" w:color="auto"/>
            </w:tcBorders>
            <w:shd w:val="clear" w:color="000000" w:fill="FFFFFF"/>
            <w:hideMark/>
          </w:tcPr>
          <w:p w14:paraId="4080AF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3D089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1227F2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20000</w:t>
            </w:r>
          </w:p>
        </w:tc>
        <w:tc>
          <w:tcPr>
            <w:tcW w:w="464" w:type="dxa"/>
            <w:tcBorders>
              <w:top w:val="nil"/>
              <w:left w:val="nil"/>
              <w:bottom w:val="single" w:sz="4" w:space="0" w:color="auto"/>
              <w:right w:val="single" w:sz="4" w:space="0" w:color="auto"/>
            </w:tcBorders>
            <w:shd w:val="clear" w:color="000000" w:fill="FFFFFF"/>
            <w:hideMark/>
          </w:tcPr>
          <w:p w14:paraId="218DF1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Pajisjet e PRr të përmirësuara</w:t>
            </w:r>
          </w:p>
        </w:tc>
        <w:tc>
          <w:tcPr>
            <w:tcW w:w="442" w:type="dxa"/>
            <w:tcBorders>
              <w:top w:val="nil"/>
              <w:left w:val="nil"/>
              <w:bottom w:val="single" w:sz="4" w:space="0" w:color="auto"/>
              <w:right w:val="single" w:sz="4" w:space="0" w:color="auto"/>
            </w:tcBorders>
            <w:shd w:val="clear" w:color="000000" w:fill="FFFFFF"/>
            <w:hideMark/>
          </w:tcPr>
          <w:p w14:paraId="5D845FF5" w14:textId="6C8F184A"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/PRr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3A622E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39C893A"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4CD6D13C" w14:textId="77777777" w:rsidTr="00962754">
        <w:trPr>
          <w:trHeight w:val="20"/>
        </w:trPr>
        <w:tc>
          <w:tcPr>
            <w:tcW w:w="718" w:type="dxa"/>
            <w:tcBorders>
              <w:top w:val="nil"/>
              <w:left w:val="single" w:sz="8" w:space="0" w:color="auto"/>
              <w:bottom w:val="nil"/>
              <w:right w:val="single" w:sz="4" w:space="0" w:color="auto"/>
            </w:tcBorders>
            <w:shd w:val="clear" w:color="000000" w:fill="FBE4D5"/>
            <w:hideMark/>
          </w:tcPr>
          <w:p w14:paraId="277396C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nil"/>
              <w:right w:val="single" w:sz="4" w:space="0" w:color="auto"/>
            </w:tcBorders>
            <w:shd w:val="clear" w:color="auto" w:fill="auto"/>
            <w:hideMark/>
          </w:tcPr>
          <w:p w14:paraId="186D120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nil"/>
              <w:right w:val="single" w:sz="4" w:space="0" w:color="auto"/>
            </w:tcBorders>
            <w:shd w:val="clear" w:color="auto" w:fill="auto"/>
            <w:hideMark/>
          </w:tcPr>
          <w:p w14:paraId="2B59BB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nil"/>
              <w:right w:val="single" w:sz="4" w:space="0" w:color="auto"/>
            </w:tcBorders>
            <w:shd w:val="clear" w:color="auto" w:fill="auto"/>
            <w:hideMark/>
          </w:tcPr>
          <w:p w14:paraId="2C84EF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02D841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3D6229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nil"/>
              <w:right w:val="single" w:sz="4" w:space="0" w:color="auto"/>
            </w:tcBorders>
            <w:shd w:val="clear" w:color="auto" w:fill="auto"/>
            <w:hideMark/>
          </w:tcPr>
          <w:p w14:paraId="79DED1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nil"/>
              <w:right w:val="single" w:sz="4" w:space="0" w:color="auto"/>
            </w:tcBorders>
            <w:shd w:val="clear" w:color="auto" w:fill="auto"/>
            <w:hideMark/>
          </w:tcPr>
          <w:p w14:paraId="7427FA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nil"/>
              <w:right w:val="single" w:sz="8" w:space="0" w:color="auto"/>
            </w:tcBorders>
            <w:shd w:val="clear" w:color="auto" w:fill="auto"/>
            <w:hideMark/>
          </w:tcPr>
          <w:p w14:paraId="3CC635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nil"/>
              <w:right w:val="nil"/>
            </w:tcBorders>
            <w:shd w:val="clear" w:color="000000" w:fill="EE0000"/>
            <w:hideMark/>
          </w:tcPr>
          <w:p w14:paraId="1B02087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BE4D5"/>
            <w:hideMark/>
          </w:tcPr>
          <w:p w14:paraId="380BA2A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4.3.3</w:t>
            </w:r>
            <w:r w:rsidRPr="00B907A3">
              <w:rPr>
                <w:rFonts w:ascii="Garamond" w:hAnsi="Garamond" w:cs="Arial"/>
                <w:b/>
                <w:bCs/>
                <w:color w:val="000000"/>
                <w:sz w:val="6"/>
                <w:szCs w:val="12"/>
                <w:lang w:eastAsia="en-US"/>
              </w:rPr>
              <w:br/>
              <w:t>Trajnimi i efektivëve të policisë rrugore për zbatim efikas të ligjit, të bazuar në inteligjencë dhe të dhëna analitike</w:t>
            </w:r>
          </w:p>
        </w:tc>
        <w:tc>
          <w:tcPr>
            <w:tcW w:w="520" w:type="dxa"/>
            <w:tcBorders>
              <w:top w:val="nil"/>
              <w:left w:val="nil"/>
              <w:bottom w:val="single" w:sz="4" w:space="0" w:color="auto"/>
              <w:right w:val="single" w:sz="4" w:space="0" w:color="auto"/>
            </w:tcBorders>
            <w:shd w:val="clear" w:color="auto" w:fill="auto"/>
            <w:hideMark/>
          </w:tcPr>
          <w:p w14:paraId="316CEB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p>
        </w:tc>
        <w:tc>
          <w:tcPr>
            <w:tcW w:w="512" w:type="dxa"/>
            <w:tcBorders>
              <w:top w:val="nil"/>
              <w:left w:val="nil"/>
              <w:bottom w:val="nil"/>
              <w:right w:val="single" w:sz="4" w:space="0" w:color="auto"/>
            </w:tcBorders>
            <w:shd w:val="clear" w:color="auto" w:fill="auto"/>
            <w:hideMark/>
          </w:tcPr>
          <w:p w14:paraId="3A8691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nil"/>
              <w:right w:val="single" w:sz="8" w:space="0" w:color="auto"/>
            </w:tcBorders>
            <w:shd w:val="clear" w:color="auto" w:fill="auto"/>
            <w:hideMark/>
          </w:tcPr>
          <w:p w14:paraId="5777CE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nil"/>
              <w:right w:val="single" w:sz="4" w:space="0" w:color="auto"/>
            </w:tcBorders>
            <w:shd w:val="clear" w:color="auto" w:fill="auto"/>
            <w:hideMark/>
          </w:tcPr>
          <w:p w14:paraId="2A35489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589</w:t>
            </w:r>
          </w:p>
        </w:tc>
        <w:tc>
          <w:tcPr>
            <w:tcW w:w="372" w:type="dxa"/>
            <w:tcBorders>
              <w:top w:val="nil"/>
              <w:left w:val="nil"/>
              <w:bottom w:val="nil"/>
              <w:right w:val="single" w:sz="4" w:space="0" w:color="auto"/>
            </w:tcBorders>
            <w:shd w:val="clear" w:color="auto" w:fill="auto"/>
            <w:hideMark/>
          </w:tcPr>
          <w:p w14:paraId="592E8B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nil"/>
              <w:right w:val="single" w:sz="4" w:space="0" w:color="auto"/>
            </w:tcBorders>
            <w:shd w:val="clear" w:color="auto" w:fill="auto"/>
            <w:hideMark/>
          </w:tcPr>
          <w:p w14:paraId="699DC0F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589</w:t>
            </w:r>
          </w:p>
        </w:tc>
        <w:tc>
          <w:tcPr>
            <w:tcW w:w="618" w:type="dxa"/>
            <w:tcBorders>
              <w:top w:val="nil"/>
              <w:left w:val="nil"/>
              <w:bottom w:val="nil"/>
              <w:right w:val="single" w:sz="4" w:space="0" w:color="auto"/>
            </w:tcBorders>
            <w:shd w:val="clear" w:color="auto" w:fill="auto"/>
            <w:hideMark/>
          </w:tcPr>
          <w:p w14:paraId="63FFD2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nil"/>
              <w:right w:val="single" w:sz="4" w:space="0" w:color="auto"/>
            </w:tcBorders>
            <w:shd w:val="clear" w:color="auto" w:fill="auto"/>
            <w:hideMark/>
          </w:tcPr>
          <w:p w14:paraId="684D196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589</w:t>
            </w:r>
          </w:p>
        </w:tc>
        <w:tc>
          <w:tcPr>
            <w:tcW w:w="605" w:type="dxa"/>
            <w:tcBorders>
              <w:top w:val="nil"/>
              <w:left w:val="nil"/>
              <w:bottom w:val="nil"/>
              <w:right w:val="single" w:sz="8" w:space="0" w:color="auto"/>
            </w:tcBorders>
            <w:shd w:val="clear" w:color="auto" w:fill="auto"/>
            <w:hideMark/>
          </w:tcPr>
          <w:p w14:paraId="70D496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single" w:sz="4" w:space="0" w:color="auto"/>
            </w:tcBorders>
            <w:shd w:val="clear" w:color="auto" w:fill="auto"/>
            <w:hideMark/>
          </w:tcPr>
          <w:p w14:paraId="26913B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588</w:t>
            </w:r>
          </w:p>
        </w:tc>
        <w:tc>
          <w:tcPr>
            <w:tcW w:w="372" w:type="dxa"/>
            <w:tcBorders>
              <w:top w:val="nil"/>
              <w:left w:val="nil"/>
              <w:bottom w:val="nil"/>
              <w:right w:val="single" w:sz="4" w:space="0" w:color="auto"/>
            </w:tcBorders>
            <w:shd w:val="clear" w:color="auto" w:fill="auto"/>
            <w:hideMark/>
          </w:tcPr>
          <w:p w14:paraId="2C97DB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nil"/>
              <w:right w:val="single" w:sz="4" w:space="0" w:color="auto"/>
            </w:tcBorders>
            <w:shd w:val="clear" w:color="auto" w:fill="auto"/>
            <w:hideMark/>
          </w:tcPr>
          <w:p w14:paraId="58BE5A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588</w:t>
            </w:r>
          </w:p>
        </w:tc>
        <w:tc>
          <w:tcPr>
            <w:tcW w:w="382" w:type="dxa"/>
            <w:tcBorders>
              <w:top w:val="nil"/>
              <w:left w:val="nil"/>
              <w:bottom w:val="nil"/>
              <w:right w:val="single" w:sz="4" w:space="0" w:color="auto"/>
            </w:tcBorders>
            <w:shd w:val="clear" w:color="auto" w:fill="auto"/>
            <w:hideMark/>
          </w:tcPr>
          <w:p w14:paraId="199569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nil"/>
              <w:right w:val="single" w:sz="4" w:space="0" w:color="auto"/>
            </w:tcBorders>
            <w:shd w:val="clear" w:color="auto" w:fill="auto"/>
            <w:hideMark/>
          </w:tcPr>
          <w:p w14:paraId="140AA85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588</w:t>
            </w:r>
          </w:p>
        </w:tc>
        <w:tc>
          <w:tcPr>
            <w:tcW w:w="369" w:type="dxa"/>
            <w:tcBorders>
              <w:top w:val="nil"/>
              <w:left w:val="nil"/>
              <w:bottom w:val="nil"/>
              <w:right w:val="single" w:sz="8" w:space="0" w:color="auto"/>
            </w:tcBorders>
            <w:shd w:val="clear" w:color="000000" w:fill="FFFFFF"/>
            <w:hideMark/>
          </w:tcPr>
          <w:p w14:paraId="77E7CF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single" w:sz="4" w:space="0" w:color="auto"/>
            </w:tcBorders>
            <w:shd w:val="clear" w:color="000000" w:fill="FFFFFF"/>
            <w:hideMark/>
          </w:tcPr>
          <w:p w14:paraId="13202F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72" w:type="dxa"/>
            <w:tcBorders>
              <w:top w:val="nil"/>
              <w:left w:val="nil"/>
              <w:bottom w:val="nil"/>
              <w:right w:val="single" w:sz="4" w:space="0" w:color="auto"/>
            </w:tcBorders>
            <w:shd w:val="clear" w:color="000000" w:fill="FFFFFF"/>
            <w:hideMark/>
          </w:tcPr>
          <w:p w14:paraId="54C961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nil"/>
              <w:right w:val="single" w:sz="4" w:space="0" w:color="auto"/>
            </w:tcBorders>
            <w:shd w:val="clear" w:color="000000" w:fill="FFFFFF"/>
            <w:hideMark/>
          </w:tcPr>
          <w:p w14:paraId="4CA525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82" w:type="dxa"/>
            <w:tcBorders>
              <w:top w:val="nil"/>
              <w:left w:val="nil"/>
              <w:bottom w:val="nil"/>
              <w:right w:val="single" w:sz="4" w:space="0" w:color="auto"/>
            </w:tcBorders>
            <w:shd w:val="clear" w:color="000000" w:fill="FFFFFF"/>
            <w:hideMark/>
          </w:tcPr>
          <w:p w14:paraId="7694CC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1500</w:t>
            </w:r>
          </w:p>
        </w:tc>
        <w:tc>
          <w:tcPr>
            <w:tcW w:w="382" w:type="dxa"/>
            <w:tcBorders>
              <w:top w:val="nil"/>
              <w:left w:val="nil"/>
              <w:bottom w:val="nil"/>
              <w:right w:val="single" w:sz="4" w:space="0" w:color="auto"/>
            </w:tcBorders>
            <w:shd w:val="clear" w:color="000000" w:fill="FFFFFF"/>
            <w:hideMark/>
          </w:tcPr>
          <w:p w14:paraId="456D4F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nil"/>
              <w:right w:val="single" w:sz="8" w:space="0" w:color="auto"/>
            </w:tcBorders>
            <w:shd w:val="clear" w:color="000000" w:fill="FFFFFF"/>
            <w:hideMark/>
          </w:tcPr>
          <w:p w14:paraId="0DA20C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nil"/>
              <w:right w:val="single" w:sz="4" w:space="0" w:color="auto"/>
            </w:tcBorders>
            <w:shd w:val="clear" w:color="000000" w:fill="FFFFFF"/>
            <w:hideMark/>
          </w:tcPr>
          <w:p w14:paraId="1CCC2C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Numri i efektivëve të PRr të trajnuar</w:t>
            </w:r>
          </w:p>
        </w:tc>
        <w:tc>
          <w:tcPr>
            <w:tcW w:w="442" w:type="dxa"/>
            <w:tcBorders>
              <w:top w:val="nil"/>
              <w:left w:val="nil"/>
              <w:bottom w:val="single" w:sz="4" w:space="0" w:color="auto"/>
              <w:right w:val="single" w:sz="4" w:space="0" w:color="auto"/>
            </w:tcBorders>
            <w:shd w:val="clear" w:color="000000" w:fill="FFFFFF"/>
            <w:hideMark/>
          </w:tcPr>
          <w:p w14:paraId="5FD5D471" w14:textId="6FBCCEC0"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/PRr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nil"/>
              <w:right w:val="single" w:sz="8" w:space="0" w:color="auto"/>
            </w:tcBorders>
            <w:shd w:val="clear" w:color="000000" w:fill="FFFFFF"/>
            <w:hideMark/>
          </w:tcPr>
          <w:p w14:paraId="2943EE3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E173EF4"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7344BB5"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FBE4D5"/>
            <w:hideMark/>
          </w:tcPr>
          <w:p w14:paraId="6825C64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4" w:space="0" w:color="auto"/>
              <w:left w:val="nil"/>
              <w:bottom w:val="single" w:sz="4" w:space="0" w:color="auto"/>
              <w:right w:val="single" w:sz="4" w:space="0" w:color="auto"/>
            </w:tcBorders>
            <w:shd w:val="clear" w:color="auto" w:fill="auto"/>
            <w:hideMark/>
          </w:tcPr>
          <w:p w14:paraId="0C34B00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Improved enforcement of critical road safety violations</w:t>
            </w:r>
          </w:p>
        </w:tc>
        <w:tc>
          <w:tcPr>
            <w:tcW w:w="470" w:type="dxa"/>
            <w:tcBorders>
              <w:top w:val="single" w:sz="4" w:space="0" w:color="auto"/>
              <w:left w:val="nil"/>
              <w:bottom w:val="single" w:sz="4" w:space="0" w:color="auto"/>
              <w:right w:val="single" w:sz="4" w:space="0" w:color="auto"/>
            </w:tcBorders>
            <w:shd w:val="clear" w:color="auto" w:fill="auto"/>
            <w:hideMark/>
          </w:tcPr>
          <w:p w14:paraId="5C5261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Yes/No/ Partial</w:t>
            </w:r>
          </w:p>
        </w:tc>
        <w:tc>
          <w:tcPr>
            <w:tcW w:w="668" w:type="dxa"/>
            <w:tcBorders>
              <w:top w:val="single" w:sz="4" w:space="0" w:color="auto"/>
              <w:left w:val="nil"/>
              <w:bottom w:val="single" w:sz="4" w:space="0" w:color="auto"/>
              <w:right w:val="single" w:sz="4" w:space="0" w:color="auto"/>
            </w:tcBorders>
            <w:shd w:val="clear" w:color="auto" w:fill="auto"/>
            <w:hideMark/>
          </w:tcPr>
          <w:p w14:paraId="5F714F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MoI</w:t>
            </w:r>
          </w:p>
        </w:tc>
        <w:tc>
          <w:tcPr>
            <w:tcW w:w="366" w:type="dxa"/>
            <w:tcBorders>
              <w:top w:val="single" w:sz="4" w:space="0" w:color="auto"/>
              <w:left w:val="nil"/>
              <w:bottom w:val="single" w:sz="4" w:space="0" w:color="auto"/>
              <w:right w:val="single" w:sz="4" w:space="0" w:color="auto"/>
            </w:tcBorders>
            <w:shd w:val="clear" w:color="auto" w:fill="auto"/>
            <w:hideMark/>
          </w:tcPr>
          <w:p w14:paraId="18F9EE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No</w:t>
            </w:r>
          </w:p>
        </w:tc>
        <w:tc>
          <w:tcPr>
            <w:tcW w:w="366" w:type="dxa"/>
            <w:tcBorders>
              <w:top w:val="single" w:sz="4" w:space="0" w:color="auto"/>
              <w:left w:val="nil"/>
              <w:bottom w:val="single" w:sz="4" w:space="0" w:color="auto"/>
              <w:right w:val="single" w:sz="4" w:space="0" w:color="auto"/>
            </w:tcBorders>
            <w:shd w:val="clear" w:color="auto" w:fill="auto"/>
            <w:hideMark/>
          </w:tcPr>
          <w:p w14:paraId="474E73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single" w:sz="4" w:space="0" w:color="auto"/>
              <w:left w:val="nil"/>
              <w:bottom w:val="single" w:sz="4" w:space="0" w:color="auto"/>
              <w:right w:val="single" w:sz="4" w:space="0" w:color="auto"/>
            </w:tcBorders>
            <w:shd w:val="clear" w:color="auto" w:fill="auto"/>
            <w:hideMark/>
          </w:tcPr>
          <w:p w14:paraId="27BF2F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Yes</w:t>
            </w:r>
          </w:p>
        </w:tc>
        <w:tc>
          <w:tcPr>
            <w:tcW w:w="359" w:type="dxa"/>
            <w:tcBorders>
              <w:top w:val="single" w:sz="4" w:space="0" w:color="auto"/>
              <w:left w:val="nil"/>
              <w:bottom w:val="single" w:sz="4" w:space="0" w:color="auto"/>
              <w:right w:val="single" w:sz="4" w:space="0" w:color="auto"/>
            </w:tcBorders>
            <w:shd w:val="clear" w:color="auto" w:fill="auto"/>
            <w:hideMark/>
          </w:tcPr>
          <w:p w14:paraId="6C9078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Yes</w:t>
            </w:r>
          </w:p>
        </w:tc>
        <w:tc>
          <w:tcPr>
            <w:tcW w:w="525" w:type="dxa"/>
            <w:tcBorders>
              <w:top w:val="single" w:sz="4" w:space="0" w:color="auto"/>
              <w:left w:val="nil"/>
              <w:bottom w:val="single" w:sz="4" w:space="0" w:color="auto"/>
              <w:right w:val="single" w:sz="8" w:space="0" w:color="auto"/>
            </w:tcBorders>
            <w:shd w:val="clear" w:color="auto" w:fill="auto"/>
            <w:hideMark/>
          </w:tcPr>
          <w:p w14:paraId="7D5BB6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MoI/</w:t>
            </w:r>
            <w:r w:rsidRPr="00DB76F6">
              <w:rPr>
                <w:rFonts w:ascii="Garamond" w:hAnsi="Garamond" w:cs="Arial"/>
                <w:i/>
                <w:color w:val="000000"/>
                <w:sz w:val="6"/>
                <w:szCs w:val="12"/>
                <w:lang w:eastAsia="en-US"/>
              </w:rPr>
              <w:t>TP reporting</w:t>
            </w:r>
          </w:p>
        </w:tc>
        <w:tc>
          <w:tcPr>
            <w:tcW w:w="236" w:type="dxa"/>
            <w:tcBorders>
              <w:top w:val="single" w:sz="4" w:space="0" w:color="auto"/>
              <w:left w:val="nil"/>
              <w:bottom w:val="single" w:sz="4" w:space="0" w:color="auto"/>
              <w:right w:val="nil"/>
            </w:tcBorders>
            <w:shd w:val="clear" w:color="000000" w:fill="EE0000"/>
            <w:hideMark/>
          </w:tcPr>
          <w:p w14:paraId="4274B2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FBE4D5"/>
            <w:hideMark/>
          </w:tcPr>
          <w:p w14:paraId="11FC30C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4.3.4</w:t>
            </w:r>
            <w:r w:rsidRPr="00B907A3">
              <w:rPr>
                <w:rFonts w:ascii="Garamond" w:hAnsi="Garamond" w:cs="Arial"/>
                <w:b/>
                <w:bCs/>
                <w:color w:val="000000"/>
                <w:sz w:val="6"/>
                <w:szCs w:val="12"/>
                <w:lang w:eastAsia="en-US"/>
              </w:rPr>
              <w:br/>
              <w:t>Fuqizimi i zbatimit të ligjit ndaj shkeljeve kritike dhe me rrezik të lartë në trafik, të cilat ndikojnë drejtpërdrejt në sigurinë rrugore, si: tejkalimi i shpejtësisë, drejtimi i shpërqendruar, mosvendosja e rripave të sigurimit dhe pajisjeve të tjera mbrojtëse, drejtimi nën ndikimin e alkoolit apo substancave të tjera, si dhe sjelljet e pakujdesshme në rrugë</w:t>
            </w:r>
          </w:p>
        </w:tc>
        <w:tc>
          <w:tcPr>
            <w:tcW w:w="520" w:type="dxa"/>
            <w:tcBorders>
              <w:top w:val="nil"/>
              <w:left w:val="nil"/>
              <w:bottom w:val="single" w:sz="4" w:space="0" w:color="auto"/>
              <w:right w:val="single" w:sz="4" w:space="0" w:color="auto"/>
            </w:tcBorders>
            <w:shd w:val="clear" w:color="auto" w:fill="auto"/>
            <w:hideMark/>
          </w:tcPr>
          <w:p w14:paraId="12E7EE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p>
        </w:tc>
        <w:tc>
          <w:tcPr>
            <w:tcW w:w="512" w:type="dxa"/>
            <w:tcBorders>
              <w:top w:val="single" w:sz="4" w:space="0" w:color="auto"/>
              <w:left w:val="nil"/>
              <w:bottom w:val="single" w:sz="4" w:space="0" w:color="auto"/>
              <w:right w:val="single" w:sz="4" w:space="0" w:color="auto"/>
            </w:tcBorders>
            <w:shd w:val="clear" w:color="auto" w:fill="auto"/>
            <w:hideMark/>
          </w:tcPr>
          <w:p w14:paraId="66BB448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single" w:sz="4" w:space="0" w:color="auto"/>
              <w:left w:val="nil"/>
              <w:bottom w:val="single" w:sz="4" w:space="0" w:color="auto"/>
              <w:right w:val="single" w:sz="8" w:space="0" w:color="auto"/>
            </w:tcBorders>
            <w:shd w:val="clear" w:color="auto" w:fill="auto"/>
            <w:hideMark/>
          </w:tcPr>
          <w:p w14:paraId="3940A9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single" w:sz="4" w:space="0" w:color="auto"/>
              <w:left w:val="nil"/>
              <w:bottom w:val="single" w:sz="4" w:space="0" w:color="auto"/>
              <w:right w:val="single" w:sz="4" w:space="0" w:color="auto"/>
            </w:tcBorders>
            <w:shd w:val="clear" w:color="auto" w:fill="auto"/>
            <w:hideMark/>
          </w:tcPr>
          <w:p w14:paraId="00C42D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single" w:sz="4" w:space="0" w:color="auto"/>
              <w:right w:val="single" w:sz="4" w:space="0" w:color="auto"/>
            </w:tcBorders>
            <w:shd w:val="clear" w:color="auto" w:fill="auto"/>
            <w:hideMark/>
          </w:tcPr>
          <w:p w14:paraId="01064B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single" w:sz="4" w:space="0" w:color="auto"/>
              <w:left w:val="nil"/>
              <w:bottom w:val="single" w:sz="4" w:space="0" w:color="auto"/>
              <w:right w:val="single" w:sz="4" w:space="0" w:color="auto"/>
            </w:tcBorders>
            <w:shd w:val="clear" w:color="auto" w:fill="auto"/>
            <w:hideMark/>
          </w:tcPr>
          <w:p w14:paraId="698A544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single" w:sz="4" w:space="0" w:color="auto"/>
              <w:left w:val="nil"/>
              <w:bottom w:val="single" w:sz="4" w:space="0" w:color="auto"/>
              <w:right w:val="single" w:sz="4" w:space="0" w:color="auto"/>
            </w:tcBorders>
            <w:shd w:val="clear" w:color="auto" w:fill="auto"/>
            <w:hideMark/>
          </w:tcPr>
          <w:p w14:paraId="7ACFD5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single" w:sz="4" w:space="0" w:color="auto"/>
              <w:right w:val="single" w:sz="4" w:space="0" w:color="auto"/>
            </w:tcBorders>
            <w:shd w:val="clear" w:color="auto" w:fill="auto"/>
            <w:hideMark/>
          </w:tcPr>
          <w:p w14:paraId="12371B0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single" w:sz="4" w:space="0" w:color="auto"/>
              <w:left w:val="nil"/>
              <w:bottom w:val="single" w:sz="4" w:space="0" w:color="auto"/>
              <w:right w:val="single" w:sz="8" w:space="0" w:color="auto"/>
            </w:tcBorders>
            <w:shd w:val="clear" w:color="auto" w:fill="auto"/>
            <w:hideMark/>
          </w:tcPr>
          <w:p w14:paraId="6715BC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47EE7C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single" w:sz="4" w:space="0" w:color="auto"/>
              <w:right w:val="single" w:sz="4" w:space="0" w:color="auto"/>
            </w:tcBorders>
            <w:shd w:val="clear" w:color="auto" w:fill="auto"/>
            <w:hideMark/>
          </w:tcPr>
          <w:p w14:paraId="231B00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single" w:sz="4" w:space="0" w:color="auto"/>
              <w:left w:val="nil"/>
              <w:bottom w:val="single" w:sz="4" w:space="0" w:color="auto"/>
              <w:right w:val="single" w:sz="4" w:space="0" w:color="auto"/>
            </w:tcBorders>
            <w:shd w:val="clear" w:color="000000" w:fill="FFFFFF"/>
            <w:hideMark/>
          </w:tcPr>
          <w:p w14:paraId="5DFB9E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single" w:sz="4" w:space="0" w:color="auto"/>
              <w:left w:val="nil"/>
              <w:bottom w:val="single" w:sz="4" w:space="0" w:color="auto"/>
              <w:right w:val="single" w:sz="4" w:space="0" w:color="auto"/>
            </w:tcBorders>
            <w:shd w:val="clear" w:color="000000" w:fill="FFFFFF"/>
            <w:hideMark/>
          </w:tcPr>
          <w:p w14:paraId="1901699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663DB8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single" w:sz="4" w:space="0" w:color="auto"/>
              <w:right w:val="single" w:sz="8" w:space="0" w:color="auto"/>
            </w:tcBorders>
            <w:shd w:val="clear" w:color="000000" w:fill="FFFFFF"/>
            <w:hideMark/>
          </w:tcPr>
          <w:p w14:paraId="68CE7D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FFFFF"/>
            <w:hideMark/>
          </w:tcPr>
          <w:p w14:paraId="54A896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single" w:sz="4" w:space="0" w:color="auto"/>
              <w:right w:val="single" w:sz="4" w:space="0" w:color="auto"/>
            </w:tcBorders>
            <w:shd w:val="clear" w:color="000000" w:fill="FFFFFF"/>
            <w:hideMark/>
          </w:tcPr>
          <w:p w14:paraId="629E11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24" w:type="dxa"/>
            <w:tcBorders>
              <w:top w:val="single" w:sz="4" w:space="0" w:color="auto"/>
              <w:left w:val="nil"/>
              <w:bottom w:val="single" w:sz="4" w:space="0" w:color="auto"/>
              <w:right w:val="single" w:sz="4" w:space="0" w:color="auto"/>
            </w:tcBorders>
            <w:shd w:val="clear" w:color="000000" w:fill="FFFFFF"/>
            <w:hideMark/>
          </w:tcPr>
          <w:p w14:paraId="65003B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single" w:sz="4" w:space="0" w:color="auto"/>
              <w:left w:val="nil"/>
              <w:bottom w:val="single" w:sz="4" w:space="0" w:color="auto"/>
              <w:right w:val="single" w:sz="4" w:space="0" w:color="auto"/>
            </w:tcBorders>
            <w:shd w:val="clear" w:color="000000" w:fill="FFFFFF"/>
            <w:hideMark/>
          </w:tcPr>
          <w:p w14:paraId="54EAC3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4D5EC2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single" w:sz="4" w:space="0" w:color="auto"/>
              <w:right w:val="single" w:sz="8" w:space="0" w:color="auto"/>
            </w:tcBorders>
            <w:shd w:val="clear" w:color="000000" w:fill="FFFFFF"/>
            <w:hideMark/>
          </w:tcPr>
          <w:p w14:paraId="476288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single" w:sz="4" w:space="0" w:color="auto"/>
              <w:left w:val="nil"/>
              <w:bottom w:val="single" w:sz="4" w:space="0" w:color="auto"/>
              <w:right w:val="single" w:sz="4" w:space="0" w:color="auto"/>
            </w:tcBorders>
            <w:shd w:val="clear" w:color="000000" w:fill="FFFFFF"/>
            <w:hideMark/>
          </w:tcPr>
          <w:p w14:paraId="2A0F48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Kontrollet e policisë të realizuara</w:t>
            </w:r>
          </w:p>
        </w:tc>
        <w:tc>
          <w:tcPr>
            <w:tcW w:w="442" w:type="dxa"/>
            <w:tcBorders>
              <w:top w:val="nil"/>
              <w:left w:val="nil"/>
              <w:bottom w:val="single" w:sz="4" w:space="0" w:color="auto"/>
              <w:right w:val="single" w:sz="4" w:space="0" w:color="auto"/>
            </w:tcBorders>
            <w:shd w:val="clear" w:color="000000" w:fill="FFFFFF"/>
            <w:hideMark/>
          </w:tcPr>
          <w:p w14:paraId="2762A60E" w14:textId="26E6010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/PRr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single" w:sz="4" w:space="0" w:color="auto"/>
              <w:left w:val="nil"/>
              <w:bottom w:val="single" w:sz="4" w:space="0" w:color="auto"/>
              <w:right w:val="single" w:sz="8" w:space="0" w:color="auto"/>
            </w:tcBorders>
            <w:shd w:val="clear" w:color="000000" w:fill="FFFFFF"/>
            <w:hideMark/>
          </w:tcPr>
          <w:p w14:paraId="0E891E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hideMark/>
          </w:tcPr>
          <w:p w14:paraId="3D70B09D"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780AA21"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FBE4D5"/>
            <w:vAlign w:val="center"/>
            <w:hideMark/>
          </w:tcPr>
          <w:p w14:paraId="1C491BF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3BC2E24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3E7031F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713A69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68DF4BD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596D23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4AF933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554B1B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3D5D05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34A6F0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FBE4D5"/>
            <w:vAlign w:val="center"/>
            <w:hideMark/>
          </w:tcPr>
          <w:p w14:paraId="036B3BB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vAlign w:val="center"/>
            <w:hideMark/>
          </w:tcPr>
          <w:p w14:paraId="43DFB2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vAlign w:val="center"/>
            <w:hideMark/>
          </w:tcPr>
          <w:p w14:paraId="77C727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vAlign w:val="center"/>
            <w:hideMark/>
          </w:tcPr>
          <w:p w14:paraId="2E50E3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02682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07562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0246C7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071B6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55829EE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F16CC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8AB4B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E6EED8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609C71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CB81A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DD781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F847C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8AE3D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6F7937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842D8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76DFA8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13084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D6387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5E413B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079234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0EF87D3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DE78FB3"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86F0F0C" w14:textId="77777777" w:rsidTr="00962754">
        <w:trPr>
          <w:trHeight w:val="20"/>
        </w:trPr>
        <w:tc>
          <w:tcPr>
            <w:tcW w:w="718" w:type="dxa"/>
            <w:tcBorders>
              <w:top w:val="nil"/>
              <w:left w:val="single" w:sz="8" w:space="0" w:color="auto"/>
              <w:bottom w:val="single" w:sz="8" w:space="0" w:color="auto"/>
              <w:right w:val="single" w:sz="4" w:space="0" w:color="auto"/>
            </w:tcBorders>
            <w:shd w:val="clear" w:color="000000" w:fill="FBE4D5"/>
            <w:hideMark/>
          </w:tcPr>
          <w:p w14:paraId="4E0BA79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4.4</w:t>
            </w:r>
            <w:r w:rsidRPr="00B907A3">
              <w:rPr>
                <w:rFonts w:ascii="Garamond" w:hAnsi="Garamond" w:cs="Arial"/>
                <w:b/>
                <w:bCs/>
                <w:color w:val="000000"/>
                <w:sz w:val="6"/>
                <w:szCs w:val="12"/>
                <w:lang w:eastAsia="en-US"/>
              </w:rPr>
              <w:br/>
              <w:t>Monitorimi i nivelit të njohurive, qëndrimeve dhe sjelljeve të sigurta të përdoruesve të rrugës</w:t>
            </w:r>
          </w:p>
        </w:tc>
        <w:tc>
          <w:tcPr>
            <w:tcW w:w="571" w:type="dxa"/>
            <w:tcBorders>
              <w:top w:val="nil"/>
              <w:left w:val="nil"/>
              <w:bottom w:val="single" w:sz="8" w:space="0" w:color="auto"/>
              <w:right w:val="single" w:sz="4" w:space="0" w:color="auto"/>
            </w:tcBorders>
            <w:shd w:val="clear" w:color="auto" w:fill="auto"/>
            <w:hideMark/>
          </w:tcPr>
          <w:p w14:paraId="3029A3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Publikimi i rregullt i treguesve kyç të performancës (TKP) për sjelljet e përdoruesve të rrugës.</w:t>
            </w:r>
          </w:p>
        </w:tc>
        <w:tc>
          <w:tcPr>
            <w:tcW w:w="470" w:type="dxa"/>
            <w:tcBorders>
              <w:top w:val="nil"/>
              <w:left w:val="nil"/>
              <w:bottom w:val="single" w:sz="8" w:space="0" w:color="auto"/>
              <w:right w:val="single" w:sz="4" w:space="0" w:color="auto"/>
            </w:tcBorders>
            <w:shd w:val="clear" w:color="auto" w:fill="auto"/>
            <w:hideMark/>
          </w:tcPr>
          <w:p w14:paraId="4866B6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8" w:space="0" w:color="auto"/>
              <w:right w:val="single" w:sz="4" w:space="0" w:color="auto"/>
            </w:tcBorders>
            <w:shd w:val="clear" w:color="auto" w:fill="auto"/>
            <w:hideMark/>
          </w:tcPr>
          <w:p w14:paraId="277C667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MIE</w:t>
            </w:r>
          </w:p>
        </w:tc>
        <w:tc>
          <w:tcPr>
            <w:tcW w:w="366" w:type="dxa"/>
            <w:tcBorders>
              <w:top w:val="nil"/>
              <w:left w:val="nil"/>
              <w:bottom w:val="single" w:sz="8" w:space="0" w:color="auto"/>
              <w:right w:val="single" w:sz="4" w:space="0" w:color="auto"/>
            </w:tcBorders>
            <w:shd w:val="clear" w:color="auto" w:fill="auto"/>
            <w:hideMark/>
          </w:tcPr>
          <w:p w14:paraId="6A74CB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1DB7DA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8" w:space="0" w:color="auto"/>
              <w:right w:val="single" w:sz="4" w:space="0" w:color="auto"/>
            </w:tcBorders>
            <w:shd w:val="clear" w:color="auto" w:fill="auto"/>
            <w:hideMark/>
          </w:tcPr>
          <w:p w14:paraId="313657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8" w:space="0" w:color="auto"/>
              <w:right w:val="single" w:sz="4" w:space="0" w:color="auto"/>
            </w:tcBorders>
            <w:shd w:val="clear" w:color="auto" w:fill="auto"/>
            <w:hideMark/>
          </w:tcPr>
          <w:p w14:paraId="0CB799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8" w:space="0" w:color="auto"/>
              <w:right w:val="single" w:sz="8" w:space="0" w:color="auto"/>
            </w:tcBorders>
            <w:shd w:val="clear" w:color="auto" w:fill="auto"/>
            <w:hideMark/>
          </w:tcPr>
          <w:p w14:paraId="7A82A134" w14:textId="232AD354"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w:t>
            </w:r>
            <w:r w:rsidRPr="00B907A3">
              <w:rPr>
                <w:rFonts w:ascii="Garamond" w:hAnsi="Garamond" w:cs="Arial"/>
                <w:color w:val="000000"/>
                <w:sz w:val="6"/>
                <w:szCs w:val="12"/>
                <w:lang w:eastAsia="en-US"/>
              </w:rPr>
              <w:br/>
              <w:t>IT</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006F38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FBE4D5"/>
            <w:hideMark/>
          </w:tcPr>
          <w:p w14:paraId="45E04D0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4.4.1</w:t>
            </w:r>
            <w:r w:rsidRPr="00B907A3">
              <w:rPr>
                <w:rFonts w:ascii="Garamond" w:hAnsi="Garamond" w:cs="Arial"/>
                <w:b/>
                <w:bCs/>
                <w:color w:val="000000"/>
                <w:sz w:val="6"/>
                <w:szCs w:val="12"/>
                <w:lang w:eastAsia="en-US"/>
              </w:rPr>
              <w:br/>
              <w:t>Regjistrimi, ndjekja dhe publikimi i treguesve kyç të performancës (KPI) që lidhen me sjelljet e përdoruesve të rrugës, sipas indikatorëve të dakordësuar në nivel të BE-së: respektimi i ndalimit për drejtim nën ndikimin e alkoolit, përdorimi i rripit të sigurimit, përdorimi i pajisjeve mbrojtëse dhe shmangia e shpërqendrimit gjatë drejtimit.</w:t>
            </w:r>
          </w:p>
        </w:tc>
        <w:tc>
          <w:tcPr>
            <w:tcW w:w="520" w:type="dxa"/>
            <w:tcBorders>
              <w:top w:val="nil"/>
              <w:left w:val="nil"/>
              <w:bottom w:val="single" w:sz="8" w:space="0" w:color="auto"/>
              <w:right w:val="single" w:sz="4" w:space="0" w:color="auto"/>
            </w:tcBorders>
            <w:shd w:val="clear" w:color="auto" w:fill="auto"/>
            <w:hideMark/>
          </w:tcPr>
          <w:p w14:paraId="48F8D3E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512" w:type="dxa"/>
            <w:tcBorders>
              <w:top w:val="nil"/>
              <w:left w:val="nil"/>
              <w:bottom w:val="single" w:sz="8" w:space="0" w:color="auto"/>
              <w:right w:val="single" w:sz="4" w:space="0" w:color="auto"/>
            </w:tcBorders>
            <w:shd w:val="clear" w:color="auto" w:fill="auto"/>
            <w:hideMark/>
          </w:tcPr>
          <w:p w14:paraId="0CE509C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PRr/Universitetet</w:t>
            </w:r>
          </w:p>
        </w:tc>
        <w:tc>
          <w:tcPr>
            <w:tcW w:w="367" w:type="dxa"/>
            <w:tcBorders>
              <w:top w:val="nil"/>
              <w:left w:val="nil"/>
              <w:bottom w:val="single" w:sz="8" w:space="0" w:color="auto"/>
              <w:right w:val="single" w:sz="8" w:space="0" w:color="auto"/>
            </w:tcBorders>
            <w:shd w:val="clear" w:color="auto" w:fill="auto"/>
            <w:hideMark/>
          </w:tcPr>
          <w:p w14:paraId="49B3C8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8" w:space="0" w:color="auto"/>
              <w:right w:val="single" w:sz="4" w:space="0" w:color="auto"/>
            </w:tcBorders>
            <w:shd w:val="clear" w:color="auto" w:fill="auto"/>
            <w:hideMark/>
          </w:tcPr>
          <w:p w14:paraId="1116B76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72" w:type="dxa"/>
            <w:tcBorders>
              <w:top w:val="nil"/>
              <w:left w:val="nil"/>
              <w:bottom w:val="single" w:sz="8" w:space="0" w:color="auto"/>
              <w:right w:val="single" w:sz="4" w:space="0" w:color="auto"/>
            </w:tcBorders>
            <w:shd w:val="clear" w:color="auto" w:fill="auto"/>
            <w:hideMark/>
          </w:tcPr>
          <w:p w14:paraId="2F8727C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8" w:space="0" w:color="auto"/>
              <w:right w:val="single" w:sz="4" w:space="0" w:color="auto"/>
            </w:tcBorders>
            <w:shd w:val="clear" w:color="auto" w:fill="auto"/>
            <w:hideMark/>
          </w:tcPr>
          <w:p w14:paraId="6F0D3D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618" w:type="dxa"/>
            <w:tcBorders>
              <w:top w:val="nil"/>
              <w:left w:val="nil"/>
              <w:bottom w:val="single" w:sz="8" w:space="0" w:color="auto"/>
              <w:right w:val="single" w:sz="4" w:space="0" w:color="auto"/>
            </w:tcBorders>
            <w:shd w:val="clear" w:color="auto" w:fill="auto"/>
            <w:hideMark/>
          </w:tcPr>
          <w:p w14:paraId="6A0CAD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8" w:space="0" w:color="auto"/>
              <w:right w:val="single" w:sz="4" w:space="0" w:color="auto"/>
            </w:tcBorders>
            <w:shd w:val="clear" w:color="auto" w:fill="auto"/>
            <w:hideMark/>
          </w:tcPr>
          <w:p w14:paraId="0368AE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8" w:space="0" w:color="auto"/>
              <w:right w:val="single" w:sz="8" w:space="0" w:color="auto"/>
            </w:tcBorders>
            <w:shd w:val="clear" w:color="auto" w:fill="auto"/>
            <w:hideMark/>
          </w:tcPr>
          <w:p w14:paraId="61F130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72" w:type="dxa"/>
            <w:tcBorders>
              <w:top w:val="nil"/>
              <w:left w:val="nil"/>
              <w:bottom w:val="single" w:sz="8" w:space="0" w:color="auto"/>
              <w:right w:val="single" w:sz="4" w:space="0" w:color="auto"/>
            </w:tcBorders>
            <w:shd w:val="clear" w:color="auto" w:fill="auto"/>
            <w:hideMark/>
          </w:tcPr>
          <w:p w14:paraId="7CDD9B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8" w:space="0" w:color="auto"/>
              <w:right w:val="single" w:sz="4" w:space="0" w:color="auto"/>
            </w:tcBorders>
            <w:shd w:val="clear" w:color="auto" w:fill="auto"/>
            <w:hideMark/>
          </w:tcPr>
          <w:p w14:paraId="5CACF0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8" w:space="0" w:color="auto"/>
              <w:right w:val="single" w:sz="4" w:space="0" w:color="auto"/>
            </w:tcBorders>
            <w:shd w:val="clear" w:color="000000" w:fill="FFFFFF"/>
            <w:hideMark/>
          </w:tcPr>
          <w:p w14:paraId="7180863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8" w:space="0" w:color="auto"/>
              <w:right w:val="single" w:sz="4" w:space="0" w:color="auto"/>
            </w:tcBorders>
            <w:shd w:val="clear" w:color="000000" w:fill="FFFFFF"/>
            <w:hideMark/>
          </w:tcPr>
          <w:p w14:paraId="6AA9F8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FFFFFF"/>
            <w:hideMark/>
          </w:tcPr>
          <w:p w14:paraId="159FA45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8" w:space="0" w:color="auto"/>
              <w:right w:val="single" w:sz="8" w:space="0" w:color="auto"/>
            </w:tcBorders>
            <w:shd w:val="clear" w:color="000000" w:fill="FFFFFF"/>
            <w:hideMark/>
          </w:tcPr>
          <w:p w14:paraId="287035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8" w:space="0" w:color="auto"/>
              <w:right w:val="single" w:sz="4" w:space="0" w:color="auto"/>
            </w:tcBorders>
            <w:shd w:val="clear" w:color="000000" w:fill="FFFFFF"/>
            <w:hideMark/>
          </w:tcPr>
          <w:p w14:paraId="73B334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8" w:space="0" w:color="auto"/>
              <w:right w:val="single" w:sz="4" w:space="0" w:color="auto"/>
            </w:tcBorders>
            <w:shd w:val="clear" w:color="000000" w:fill="FFFFFF"/>
            <w:hideMark/>
          </w:tcPr>
          <w:p w14:paraId="3CF36E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8" w:space="0" w:color="auto"/>
              <w:right w:val="single" w:sz="4" w:space="0" w:color="auto"/>
            </w:tcBorders>
            <w:shd w:val="clear" w:color="000000" w:fill="FFFFFF"/>
            <w:hideMark/>
          </w:tcPr>
          <w:p w14:paraId="61D55D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82" w:type="dxa"/>
            <w:tcBorders>
              <w:top w:val="nil"/>
              <w:left w:val="nil"/>
              <w:bottom w:val="single" w:sz="8" w:space="0" w:color="auto"/>
              <w:right w:val="single" w:sz="4" w:space="0" w:color="auto"/>
            </w:tcBorders>
            <w:shd w:val="clear" w:color="000000" w:fill="FFFFFF"/>
            <w:hideMark/>
          </w:tcPr>
          <w:p w14:paraId="516C27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8" w:space="0" w:color="auto"/>
              <w:right w:val="single" w:sz="4" w:space="0" w:color="auto"/>
            </w:tcBorders>
            <w:shd w:val="clear" w:color="000000" w:fill="FFFFFF"/>
            <w:hideMark/>
          </w:tcPr>
          <w:p w14:paraId="3D28F55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69" w:type="dxa"/>
            <w:tcBorders>
              <w:top w:val="nil"/>
              <w:left w:val="nil"/>
              <w:bottom w:val="single" w:sz="8" w:space="0" w:color="auto"/>
              <w:right w:val="single" w:sz="8" w:space="0" w:color="auto"/>
            </w:tcBorders>
            <w:shd w:val="clear" w:color="000000" w:fill="FFFFFF"/>
            <w:hideMark/>
          </w:tcPr>
          <w:p w14:paraId="675909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8" w:space="0" w:color="auto"/>
              <w:right w:val="single" w:sz="4" w:space="0" w:color="auto"/>
            </w:tcBorders>
            <w:shd w:val="clear" w:color="000000" w:fill="FFFFFF"/>
            <w:hideMark/>
          </w:tcPr>
          <w:p w14:paraId="5DD55A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TKP të regjistruara</w:t>
            </w:r>
          </w:p>
        </w:tc>
        <w:tc>
          <w:tcPr>
            <w:tcW w:w="442" w:type="dxa"/>
            <w:tcBorders>
              <w:top w:val="nil"/>
              <w:left w:val="nil"/>
              <w:bottom w:val="single" w:sz="8" w:space="0" w:color="auto"/>
              <w:right w:val="single" w:sz="4" w:space="0" w:color="auto"/>
            </w:tcBorders>
            <w:shd w:val="clear" w:color="000000" w:fill="FFFFFF"/>
            <w:hideMark/>
          </w:tcPr>
          <w:p w14:paraId="5D09A80A" w14:textId="60C29068"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Raportimi i </w:t>
            </w:r>
            <w:r w:rsidRPr="00B907A3">
              <w:rPr>
                <w:rFonts w:ascii="Garamond" w:hAnsi="Garamond" w:cs="Arial"/>
                <w:color w:val="000000"/>
                <w:sz w:val="6"/>
                <w:szCs w:val="12"/>
                <w:lang w:eastAsia="en-US"/>
              </w:rPr>
              <w:br/>
              <w:t>IT</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8" w:space="0" w:color="auto"/>
              <w:right w:val="single" w:sz="8" w:space="0" w:color="auto"/>
            </w:tcBorders>
            <w:shd w:val="clear" w:color="000000" w:fill="FFFFFF"/>
            <w:hideMark/>
          </w:tcPr>
          <w:p w14:paraId="568076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hideMark/>
          </w:tcPr>
          <w:p w14:paraId="1952CC29"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571C41C"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EE0000"/>
            <w:vAlign w:val="center"/>
            <w:hideMark/>
          </w:tcPr>
          <w:p w14:paraId="77A1042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4" w:space="0" w:color="auto"/>
              <w:left w:val="nil"/>
              <w:bottom w:val="single" w:sz="4" w:space="0" w:color="auto"/>
              <w:right w:val="single" w:sz="4" w:space="0" w:color="auto"/>
            </w:tcBorders>
            <w:shd w:val="clear" w:color="000000" w:fill="FBE4D5"/>
            <w:vAlign w:val="center"/>
            <w:hideMark/>
          </w:tcPr>
          <w:p w14:paraId="7728CF8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single" w:sz="4" w:space="0" w:color="auto"/>
              <w:left w:val="nil"/>
              <w:bottom w:val="single" w:sz="4" w:space="0" w:color="auto"/>
              <w:right w:val="single" w:sz="4" w:space="0" w:color="auto"/>
            </w:tcBorders>
            <w:shd w:val="clear" w:color="000000" w:fill="FBE4D5"/>
            <w:vAlign w:val="center"/>
            <w:hideMark/>
          </w:tcPr>
          <w:p w14:paraId="73AEC1B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single" w:sz="4" w:space="0" w:color="auto"/>
              <w:left w:val="nil"/>
              <w:bottom w:val="single" w:sz="4" w:space="0" w:color="auto"/>
              <w:right w:val="single" w:sz="4" w:space="0" w:color="auto"/>
            </w:tcBorders>
            <w:shd w:val="clear" w:color="000000" w:fill="FBE4D5"/>
            <w:vAlign w:val="center"/>
            <w:hideMark/>
          </w:tcPr>
          <w:p w14:paraId="124A689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4" w:space="0" w:color="auto"/>
              <w:left w:val="nil"/>
              <w:bottom w:val="single" w:sz="4" w:space="0" w:color="auto"/>
              <w:right w:val="single" w:sz="4" w:space="0" w:color="auto"/>
            </w:tcBorders>
            <w:shd w:val="clear" w:color="000000" w:fill="FBE4D5"/>
            <w:vAlign w:val="center"/>
            <w:hideMark/>
          </w:tcPr>
          <w:p w14:paraId="4B9A497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BE4D5"/>
            <w:vAlign w:val="center"/>
            <w:hideMark/>
          </w:tcPr>
          <w:p w14:paraId="7901E67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4" w:space="0" w:color="auto"/>
              <w:left w:val="nil"/>
              <w:bottom w:val="single" w:sz="4" w:space="0" w:color="auto"/>
              <w:right w:val="single" w:sz="4" w:space="0" w:color="auto"/>
            </w:tcBorders>
            <w:shd w:val="clear" w:color="000000" w:fill="FBE4D5"/>
            <w:vAlign w:val="center"/>
            <w:hideMark/>
          </w:tcPr>
          <w:p w14:paraId="58F3944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single" w:sz="4" w:space="0" w:color="auto"/>
              <w:left w:val="nil"/>
              <w:bottom w:val="single" w:sz="4" w:space="0" w:color="auto"/>
              <w:right w:val="single" w:sz="4" w:space="0" w:color="auto"/>
            </w:tcBorders>
            <w:shd w:val="clear" w:color="000000" w:fill="FBE4D5"/>
            <w:vAlign w:val="center"/>
            <w:hideMark/>
          </w:tcPr>
          <w:p w14:paraId="138C96C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single" w:sz="4" w:space="0" w:color="auto"/>
              <w:left w:val="nil"/>
              <w:bottom w:val="single" w:sz="4" w:space="0" w:color="auto"/>
              <w:right w:val="single" w:sz="4" w:space="0" w:color="auto"/>
            </w:tcBorders>
            <w:shd w:val="clear" w:color="000000" w:fill="FBE4D5"/>
            <w:vAlign w:val="center"/>
            <w:hideMark/>
          </w:tcPr>
          <w:p w14:paraId="1380229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FBE4D5"/>
            <w:vAlign w:val="center"/>
            <w:hideMark/>
          </w:tcPr>
          <w:p w14:paraId="35BC92D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single" w:sz="4" w:space="0" w:color="auto"/>
              <w:left w:val="nil"/>
              <w:bottom w:val="single" w:sz="4" w:space="0" w:color="auto"/>
              <w:right w:val="single" w:sz="4" w:space="0" w:color="auto"/>
            </w:tcBorders>
            <w:shd w:val="clear" w:color="000000" w:fill="FBE4D5"/>
            <w:vAlign w:val="center"/>
            <w:hideMark/>
          </w:tcPr>
          <w:p w14:paraId="1E5AFA1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4" w:space="0" w:color="auto"/>
              <w:left w:val="nil"/>
              <w:bottom w:val="single" w:sz="4" w:space="0" w:color="auto"/>
              <w:right w:val="single" w:sz="4" w:space="0" w:color="auto"/>
            </w:tcBorders>
            <w:shd w:val="clear" w:color="000000" w:fill="FBE4D5"/>
            <w:vAlign w:val="center"/>
            <w:hideMark/>
          </w:tcPr>
          <w:p w14:paraId="2339C52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000000" w:fill="FBE4D5"/>
            <w:vAlign w:val="center"/>
            <w:hideMark/>
          </w:tcPr>
          <w:p w14:paraId="7A4C95B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single" w:sz="4" w:space="0" w:color="auto"/>
              <w:left w:val="nil"/>
              <w:bottom w:val="single" w:sz="4" w:space="0" w:color="auto"/>
              <w:right w:val="single" w:sz="4" w:space="0" w:color="auto"/>
            </w:tcBorders>
            <w:shd w:val="clear" w:color="000000" w:fill="FBE4D5"/>
            <w:vAlign w:val="center"/>
            <w:hideMark/>
          </w:tcPr>
          <w:p w14:paraId="6717C08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BE4D5"/>
            <w:vAlign w:val="center"/>
            <w:hideMark/>
          </w:tcPr>
          <w:p w14:paraId="1541E66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BE4D5"/>
            <w:vAlign w:val="center"/>
            <w:hideMark/>
          </w:tcPr>
          <w:p w14:paraId="1C31558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single" w:sz="4" w:space="0" w:color="auto"/>
              <w:left w:val="nil"/>
              <w:bottom w:val="single" w:sz="4" w:space="0" w:color="auto"/>
              <w:right w:val="single" w:sz="4" w:space="0" w:color="auto"/>
            </w:tcBorders>
            <w:shd w:val="clear" w:color="000000" w:fill="FBE4D5"/>
            <w:vAlign w:val="center"/>
            <w:hideMark/>
          </w:tcPr>
          <w:p w14:paraId="2BAA56B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18" w:type="dxa"/>
            <w:tcBorders>
              <w:top w:val="single" w:sz="4" w:space="0" w:color="auto"/>
              <w:left w:val="nil"/>
              <w:bottom w:val="single" w:sz="4" w:space="0" w:color="auto"/>
              <w:right w:val="single" w:sz="4" w:space="0" w:color="auto"/>
            </w:tcBorders>
            <w:shd w:val="clear" w:color="000000" w:fill="FBE4D5"/>
            <w:vAlign w:val="center"/>
            <w:hideMark/>
          </w:tcPr>
          <w:p w14:paraId="40CE437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18" w:type="dxa"/>
            <w:tcBorders>
              <w:top w:val="single" w:sz="4" w:space="0" w:color="auto"/>
              <w:left w:val="nil"/>
              <w:bottom w:val="single" w:sz="4" w:space="0" w:color="auto"/>
              <w:right w:val="single" w:sz="4" w:space="0" w:color="auto"/>
            </w:tcBorders>
            <w:shd w:val="clear" w:color="000000" w:fill="FBE4D5"/>
            <w:vAlign w:val="center"/>
            <w:hideMark/>
          </w:tcPr>
          <w:p w14:paraId="43FEE58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05" w:type="dxa"/>
            <w:tcBorders>
              <w:top w:val="single" w:sz="4" w:space="0" w:color="auto"/>
              <w:left w:val="nil"/>
              <w:bottom w:val="single" w:sz="4" w:space="0" w:color="auto"/>
              <w:right w:val="single" w:sz="4" w:space="0" w:color="auto"/>
            </w:tcBorders>
            <w:shd w:val="clear" w:color="000000" w:fill="FBE4D5"/>
            <w:vAlign w:val="center"/>
            <w:hideMark/>
          </w:tcPr>
          <w:p w14:paraId="24B92A5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BE4D5"/>
            <w:vAlign w:val="center"/>
            <w:hideMark/>
          </w:tcPr>
          <w:p w14:paraId="6E9A167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BE4D5"/>
            <w:vAlign w:val="center"/>
            <w:hideMark/>
          </w:tcPr>
          <w:p w14:paraId="285C71F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single" w:sz="4" w:space="0" w:color="auto"/>
              <w:left w:val="nil"/>
              <w:bottom w:val="single" w:sz="4" w:space="0" w:color="auto"/>
              <w:right w:val="single" w:sz="4" w:space="0" w:color="auto"/>
            </w:tcBorders>
            <w:shd w:val="clear" w:color="000000" w:fill="FBE4D5"/>
            <w:vAlign w:val="center"/>
            <w:hideMark/>
          </w:tcPr>
          <w:p w14:paraId="7D8C636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BE4D5"/>
            <w:vAlign w:val="center"/>
            <w:hideMark/>
          </w:tcPr>
          <w:p w14:paraId="0DCE1E0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BE4D5"/>
            <w:vAlign w:val="center"/>
            <w:hideMark/>
          </w:tcPr>
          <w:p w14:paraId="376250E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9" w:type="dxa"/>
            <w:tcBorders>
              <w:top w:val="single" w:sz="4" w:space="0" w:color="auto"/>
              <w:left w:val="nil"/>
              <w:bottom w:val="single" w:sz="4" w:space="0" w:color="auto"/>
              <w:right w:val="single" w:sz="4" w:space="0" w:color="auto"/>
            </w:tcBorders>
            <w:shd w:val="clear" w:color="000000" w:fill="FBE4D5"/>
            <w:vAlign w:val="center"/>
            <w:hideMark/>
          </w:tcPr>
          <w:p w14:paraId="51C6726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BE4D5"/>
            <w:vAlign w:val="center"/>
            <w:hideMark/>
          </w:tcPr>
          <w:p w14:paraId="451FB40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BE4D5"/>
            <w:vAlign w:val="center"/>
            <w:hideMark/>
          </w:tcPr>
          <w:p w14:paraId="6C497B5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single" w:sz="4" w:space="0" w:color="auto"/>
              <w:left w:val="nil"/>
              <w:bottom w:val="single" w:sz="4" w:space="0" w:color="auto"/>
              <w:right w:val="single" w:sz="4" w:space="0" w:color="auto"/>
            </w:tcBorders>
            <w:shd w:val="clear" w:color="000000" w:fill="FBE4D5"/>
            <w:vAlign w:val="center"/>
            <w:hideMark/>
          </w:tcPr>
          <w:p w14:paraId="5A0E289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BE4D5"/>
            <w:vAlign w:val="center"/>
            <w:hideMark/>
          </w:tcPr>
          <w:p w14:paraId="6C386DF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BE4D5"/>
            <w:vAlign w:val="center"/>
            <w:hideMark/>
          </w:tcPr>
          <w:p w14:paraId="4BE07F2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9" w:type="dxa"/>
            <w:tcBorders>
              <w:top w:val="single" w:sz="4" w:space="0" w:color="auto"/>
              <w:left w:val="nil"/>
              <w:bottom w:val="single" w:sz="4" w:space="0" w:color="auto"/>
              <w:right w:val="single" w:sz="4" w:space="0" w:color="auto"/>
            </w:tcBorders>
            <w:shd w:val="clear" w:color="000000" w:fill="FBE4D5"/>
            <w:vAlign w:val="center"/>
            <w:hideMark/>
          </w:tcPr>
          <w:p w14:paraId="7E7A683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64" w:type="dxa"/>
            <w:tcBorders>
              <w:top w:val="single" w:sz="4" w:space="0" w:color="auto"/>
              <w:left w:val="nil"/>
              <w:bottom w:val="single" w:sz="4" w:space="0" w:color="auto"/>
              <w:right w:val="single" w:sz="4" w:space="0" w:color="auto"/>
            </w:tcBorders>
            <w:shd w:val="clear" w:color="000000" w:fill="FBE4D5"/>
            <w:vAlign w:val="center"/>
            <w:hideMark/>
          </w:tcPr>
          <w:p w14:paraId="38FCBB2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single" w:sz="4" w:space="0" w:color="auto"/>
              <w:left w:val="nil"/>
              <w:bottom w:val="single" w:sz="4" w:space="0" w:color="auto"/>
              <w:right w:val="single" w:sz="4" w:space="0" w:color="auto"/>
            </w:tcBorders>
            <w:shd w:val="clear" w:color="000000" w:fill="FBE4D5"/>
            <w:vAlign w:val="center"/>
            <w:hideMark/>
          </w:tcPr>
          <w:p w14:paraId="52A5AC5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single" w:sz="4" w:space="0" w:color="auto"/>
              <w:left w:val="nil"/>
              <w:bottom w:val="single" w:sz="4" w:space="0" w:color="auto"/>
              <w:right w:val="single" w:sz="4" w:space="0" w:color="auto"/>
            </w:tcBorders>
            <w:shd w:val="clear" w:color="000000" w:fill="FBE4D5"/>
            <w:vAlign w:val="center"/>
            <w:hideMark/>
          </w:tcPr>
          <w:p w14:paraId="38D1CDF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3D74B54" w14:textId="77777777" w:rsidR="00962754" w:rsidRPr="00B907A3" w:rsidRDefault="00962754" w:rsidP="00962754">
            <w:pPr>
              <w:spacing w:after="0"/>
              <w:jc w:val="left"/>
              <w:rPr>
                <w:rFonts w:ascii="Garamond" w:hAnsi="Garamond" w:cs="Arial"/>
                <w:b/>
                <w:bCs/>
                <w:color w:val="000000"/>
                <w:sz w:val="6"/>
                <w:szCs w:val="12"/>
                <w:lang w:eastAsia="en-US"/>
              </w:rPr>
            </w:pPr>
          </w:p>
        </w:tc>
      </w:tr>
      <w:tr w:rsidR="00B907A3" w:rsidRPr="00B907A3" w14:paraId="31F45D5D"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FBE4D5"/>
            <w:vAlign w:val="center"/>
            <w:hideMark/>
          </w:tcPr>
          <w:p w14:paraId="087D43E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FBE4D5"/>
            <w:vAlign w:val="center"/>
            <w:hideMark/>
          </w:tcPr>
          <w:p w14:paraId="48A2FE0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FBE4D5"/>
            <w:vAlign w:val="center"/>
            <w:hideMark/>
          </w:tcPr>
          <w:p w14:paraId="2FF8888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FBE4D5"/>
            <w:vAlign w:val="center"/>
            <w:hideMark/>
          </w:tcPr>
          <w:p w14:paraId="6C9B1E3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BE4D5"/>
            <w:vAlign w:val="center"/>
            <w:hideMark/>
          </w:tcPr>
          <w:p w14:paraId="15E2855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BE4D5"/>
            <w:vAlign w:val="center"/>
            <w:hideMark/>
          </w:tcPr>
          <w:p w14:paraId="2E2202F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FBE4D5"/>
            <w:vAlign w:val="center"/>
            <w:hideMark/>
          </w:tcPr>
          <w:p w14:paraId="69D9A07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FBE4D5"/>
            <w:vAlign w:val="center"/>
            <w:hideMark/>
          </w:tcPr>
          <w:p w14:paraId="5CECE48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FBE4D5"/>
            <w:vAlign w:val="center"/>
            <w:hideMark/>
          </w:tcPr>
          <w:p w14:paraId="07088C0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FBE4D5"/>
            <w:vAlign w:val="center"/>
            <w:hideMark/>
          </w:tcPr>
          <w:p w14:paraId="6DEFBE3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FBE4D5"/>
            <w:vAlign w:val="center"/>
            <w:hideMark/>
          </w:tcPr>
          <w:p w14:paraId="2161BC4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FBE4D5"/>
            <w:vAlign w:val="center"/>
            <w:hideMark/>
          </w:tcPr>
          <w:p w14:paraId="3D81619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FBE4D5"/>
            <w:vAlign w:val="center"/>
            <w:hideMark/>
          </w:tcPr>
          <w:p w14:paraId="2789974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FBE4D5"/>
            <w:vAlign w:val="center"/>
            <w:hideMark/>
          </w:tcPr>
          <w:p w14:paraId="647C515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BE4D5"/>
            <w:vAlign w:val="center"/>
            <w:hideMark/>
          </w:tcPr>
          <w:p w14:paraId="104916F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BE4D5"/>
            <w:vAlign w:val="center"/>
            <w:hideMark/>
          </w:tcPr>
          <w:p w14:paraId="5F033A4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FBE4D5"/>
            <w:vAlign w:val="center"/>
            <w:hideMark/>
          </w:tcPr>
          <w:p w14:paraId="19DF9E3F"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10266</w:t>
            </w:r>
          </w:p>
        </w:tc>
        <w:tc>
          <w:tcPr>
            <w:tcW w:w="618" w:type="dxa"/>
            <w:tcBorders>
              <w:top w:val="nil"/>
              <w:left w:val="nil"/>
              <w:bottom w:val="single" w:sz="4" w:space="0" w:color="auto"/>
              <w:right w:val="single" w:sz="4" w:space="0" w:color="auto"/>
            </w:tcBorders>
            <w:shd w:val="clear" w:color="000000" w:fill="FBE4D5"/>
            <w:vAlign w:val="center"/>
            <w:hideMark/>
          </w:tcPr>
          <w:p w14:paraId="32C6924E"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8000</w:t>
            </w:r>
          </w:p>
        </w:tc>
        <w:tc>
          <w:tcPr>
            <w:tcW w:w="618" w:type="dxa"/>
            <w:tcBorders>
              <w:top w:val="nil"/>
              <w:left w:val="nil"/>
              <w:bottom w:val="single" w:sz="4" w:space="0" w:color="auto"/>
              <w:right w:val="single" w:sz="4" w:space="0" w:color="auto"/>
            </w:tcBorders>
            <w:shd w:val="clear" w:color="000000" w:fill="FBE4D5"/>
            <w:vAlign w:val="center"/>
            <w:hideMark/>
          </w:tcPr>
          <w:p w14:paraId="06E795C1"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1766</w:t>
            </w:r>
          </w:p>
        </w:tc>
        <w:tc>
          <w:tcPr>
            <w:tcW w:w="605" w:type="dxa"/>
            <w:tcBorders>
              <w:top w:val="nil"/>
              <w:left w:val="nil"/>
              <w:bottom w:val="single" w:sz="4" w:space="0" w:color="auto"/>
              <w:right w:val="single" w:sz="4" w:space="0" w:color="auto"/>
            </w:tcBorders>
            <w:shd w:val="clear" w:color="000000" w:fill="FBE4D5"/>
            <w:vAlign w:val="center"/>
            <w:hideMark/>
          </w:tcPr>
          <w:p w14:paraId="7D68B14D"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500</w:t>
            </w:r>
          </w:p>
        </w:tc>
        <w:tc>
          <w:tcPr>
            <w:tcW w:w="372" w:type="dxa"/>
            <w:tcBorders>
              <w:top w:val="nil"/>
              <w:left w:val="nil"/>
              <w:bottom w:val="single" w:sz="4" w:space="0" w:color="auto"/>
              <w:right w:val="single" w:sz="4" w:space="0" w:color="auto"/>
            </w:tcBorders>
            <w:shd w:val="clear" w:color="000000" w:fill="FBE4D5"/>
            <w:vAlign w:val="center"/>
            <w:hideMark/>
          </w:tcPr>
          <w:p w14:paraId="3466CCE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BE4D5"/>
            <w:vAlign w:val="center"/>
            <w:hideMark/>
          </w:tcPr>
          <w:p w14:paraId="66CFDCE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BE4D5"/>
            <w:vAlign w:val="center"/>
            <w:hideMark/>
          </w:tcPr>
          <w:p w14:paraId="4F59CCED"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71151</w:t>
            </w:r>
          </w:p>
        </w:tc>
        <w:tc>
          <w:tcPr>
            <w:tcW w:w="382" w:type="dxa"/>
            <w:tcBorders>
              <w:top w:val="nil"/>
              <w:left w:val="nil"/>
              <w:bottom w:val="single" w:sz="4" w:space="0" w:color="auto"/>
              <w:right w:val="single" w:sz="4" w:space="0" w:color="auto"/>
            </w:tcBorders>
            <w:shd w:val="clear" w:color="000000" w:fill="FBE4D5"/>
            <w:vAlign w:val="center"/>
            <w:hideMark/>
          </w:tcPr>
          <w:p w14:paraId="43177F7B"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5000</w:t>
            </w:r>
          </w:p>
        </w:tc>
        <w:tc>
          <w:tcPr>
            <w:tcW w:w="382" w:type="dxa"/>
            <w:tcBorders>
              <w:top w:val="nil"/>
              <w:left w:val="nil"/>
              <w:bottom w:val="single" w:sz="4" w:space="0" w:color="auto"/>
              <w:right w:val="single" w:sz="4" w:space="0" w:color="auto"/>
            </w:tcBorders>
            <w:shd w:val="clear" w:color="000000" w:fill="FBE4D5"/>
            <w:vAlign w:val="center"/>
            <w:hideMark/>
          </w:tcPr>
          <w:p w14:paraId="77827449"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64151</w:t>
            </w:r>
          </w:p>
        </w:tc>
        <w:tc>
          <w:tcPr>
            <w:tcW w:w="369" w:type="dxa"/>
            <w:tcBorders>
              <w:top w:val="nil"/>
              <w:left w:val="nil"/>
              <w:bottom w:val="single" w:sz="4" w:space="0" w:color="auto"/>
              <w:right w:val="single" w:sz="4" w:space="0" w:color="auto"/>
            </w:tcBorders>
            <w:shd w:val="clear" w:color="000000" w:fill="FBE4D5"/>
            <w:vAlign w:val="center"/>
            <w:hideMark/>
          </w:tcPr>
          <w:p w14:paraId="62B41638"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72" w:type="dxa"/>
            <w:tcBorders>
              <w:top w:val="nil"/>
              <w:left w:val="nil"/>
              <w:bottom w:val="single" w:sz="4" w:space="0" w:color="auto"/>
              <w:right w:val="single" w:sz="4" w:space="0" w:color="auto"/>
            </w:tcBorders>
            <w:shd w:val="clear" w:color="000000" w:fill="FBE4D5"/>
            <w:vAlign w:val="center"/>
            <w:hideMark/>
          </w:tcPr>
          <w:p w14:paraId="31C54C5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BE4D5"/>
            <w:vAlign w:val="center"/>
            <w:hideMark/>
          </w:tcPr>
          <w:p w14:paraId="790F8CC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BE4D5"/>
            <w:vAlign w:val="center"/>
            <w:hideMark/>
          </w:tcPr>
          <w:p w14:paraId="6499D928"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28500</w:t>
            </w:r>
          </w:p>
        </w:tc>
        <w:tc>
          <w:tcPr>
            <w:tcW w:w="382" w:type="dxa"/>
            <w:tcBorders>
              <w:top w:val="nil"/>
              <w:left w:val="nil"/>
              <w:bottom w:val="single" w:sz="4" w:space="0" w:color="auto"/>
              <w:right w:val="single" w:sz="4" w:space="0" w:color="auto"/>
            </w:tcBorders>
            <w:shd w:val="clear" w:color="000000" w:fill="FBE4D5"/>
            <w:vAlign w:val="center"/>
            <w:hideMark/>
          </w:tcPr>
          <w:p w14:paraId="7D2CCC63"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6500</w:t>
            </w:r>
          </w:p>
        </w:tc>
        <w:tc>
          <w:tcPr>
            <w:tcW w:w="382" w:type="dxa"/>
            <w:tcBorders>
              <w:top w:val="nil"/>
              <w:left w:val="nil"/>
              <w:bottom w:val="single" w:sz="4" w:space="0" w:color="auto"/>
              <w:right w:val="single" w:sz="4" w:space="0" w:color="auto"/>
            </w:tcBorders>
            <w:shd w:val="clear" w:color="000000" w:fill="FBE4D5"/>
            <w:vAlign w:val="center"/>
            <w:hideMark/>
          </w:tcPr>
          <w:p w14:paraId="3AA9F1A5"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2000</w:t>
            </w:r>
          </w:p>
        </w:tc>
        <w:tc>
          <w:tcPr>
            <w:tcW w:w="369" w:type="dxa"/>
            <w:tcBorders>
              <w:top w:val="nil"/>
              <w:left w:val="nil"/>
              <w:bottom w:val="single" w:sz="4" w:space="0" w:color="auto"/>
              <w:right w:val="single" w:sz="4" w:space="0" w:color="auto"/>
            </w:tcBorders>
            <w:shd w:val="clear" w:color="000000" w:fill="FBE4D5"/>
            <w:vAlign w:val="center"/>
            <w:hideMark/>
          </w:tcPr>
          <w:p w14:paraId="24A80E33"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20000</w:t>
            </w:r>
          </w:p>
        </w:tc>
        <w:tc>
          <w:tcPr>
            <w:tcW w:w="464" w:type="dxa"/>
            <w:tcBorders>
              <w:top w:val="nil"/>
              <w:left w:val="nil"/>
              <w:bottom w:val="single" w:sz="4" w:space="0" w:color="auto"/>
              <w:right w:val="single" w:sz="4" w:space="0" w:color="auto"/>
            </w:tcBorders>
            <w:shd w:val="clear" w:color="000000" w:fill="FBE4D5"/>
            <w:vAlign w:val="center"/>
            <w:hideMark/>
          </w:tcPr>
          <w:p w14:paraId="5E358A6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BE4D5"/>
            <w:vAlign w:val="center"/>
            <w:hideMark/>
          </w:tcPr>
          <w:p w14:paraId="470B5D0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FBE4D5"/>
            <w:vAlign w:val="center"/>
            <w:hideMark/>
          </w:tcPr>
          <w:p w14:paraId="19FC6D3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single" w:sz="4" w:space="0" w:color="auto"/>
              <w:left w:val="nil"/>
              <w:bottom w:val="single" w:sz="4" w:space="0" w:color="auto"/>
              <w:right w:val="single" w:sz="4" w:space="0" w:color="auto"/>
            </w:tcBorders>
            <w:shd w:val="clear" w:color="000000" w:fill="FBE4D5"/>
            <w:vAlign w:val="center"/>
            <w:hideMark/>
          </w:tcPr>
          <w:p w14:paraId="03F6E679"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109917</w:t>
            </w:r>
          </w:p>
        </w:tc>
      </w:tr>
      <w:tr w:rsidR="00962754" w:rsidRPr="00B907A3" w14:paraId="590D6284" w14:textId="77777777" w:rsidTr="00962754">
        <w:trPr>
          <w:trHeight w:val="20"/>
        </w:trPr>
        <w:tc>
          <w:tcPr>
            <w:tcW w:w="718" w:type="dxa"/>
            <w:tcBorders>
              <w:top w:val="nil"/>
              <w:left w:val="nil"/>
              <w:bottom w:val="nil"/>
              <w:right w:val="nil"/>
            </w:tcBorders>
            <w:shd w:val="clear" w:color="auto" w:fill="auto"/>
            <w:noWrap/>
            <w:vAlign w:val="bottom"/>
            <w:hideMark/>
          </w:tcPr>
          <w:p w14:paraId="06AE957A" w14:textId="77777777" w:rsidR="00962754" w:rsidRPr="00B907A3" w:rsidRDefault="00962754" w:rsidP="00962754">
            <w:pPr>
              <w:spacing w:after="0"/>
              <w:jc w:val="right"/>
              <w:rPr>
                <w:rFonts w:ascii="Garamond" w:hAnsi="Garamond" w:cs="Arial"/>
                <w:b/>
                <w:bCs/>
                <w:color w:val="000000"/>
                <w:sz w:val="6"/>
                <w:szCs w:val="12"/>
                <w:lang w:eastAsia="en-US"/>
              </w:rPr>
            </w:pPr>
          </w:p>
        </w:tc>
        <w:tc>
          <w:tcPr>
            <w:tcW w:w="571" w:type="dxa"/>
            <w:tcBorders>
              <w:top w:val="nil"/>
              <w:left w:val="nil"/>
              <w:bottom w:val="nil"/>
              <w:right w:val="nil"/>
            </w:tcBorders>
            <w:shd w:val="clear" w:color="auto" w:fill="auto"/>
            <w:noWrap/>
            <w:vAlign w:val="bottom"/>
            <w:hideMark/>
          </w:tcPr>
          <w:p w14:paraId="72A910E1"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5AF98458"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31570082"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1BB3B36"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6DB8B77"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1F823005"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6078F6D9"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1BA2C42B"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4E4C5739"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61BB08FC"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5F549F3C"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4C6DAC05"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266D12E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17A447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AA247D4"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0EAA5062"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36DA7434"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75A8B5FF"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645ADFEF"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D4DCE0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CE5EC8F"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1BB11A1F"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443C796"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74CCBC3"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0831E4D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D25B0C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9FB8881"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31B077F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9F7BE16"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0442D09"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28059FC"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3108D65D"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3B148201"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CCC4080"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62D323B3" w14:textId="77777777" w:rsidR="00962754" w:rsidRPr="00B907A3" w:rsidRDefault="00962754" w:rsidP="00962754">
            <w:pPr>
              <w:spacing w:after="0"/>
              <w:jc w:val="left"/>
              <w:rPr>
                <w:rFonts w:ascii="Garamond" w:hAnsi="Garamond"/>
                <w:sz w:val="6"/>
                <w:szCs w:val="12"/>
                <w:lang w:eastAsia="en-US"/>
              </w:rPr>
            </w:pPr>
          </w:p>
        </w:tc>
      </w:tr>
      <w:tr w:rsidR="00962754" w:rsidRPr="00B907A3" w14:paraId="5566B759" w14:textId="77777777" w:rsidTr="00962754">
        <w:trPr>
          <w:trHeight w:val="20"/>
        </w:trPr>
        <w:tc>
          <w:tcPr>
            <w:tcW w:w="718" w:type="dxa"/>
            <w:tcBorders>
              <w:top w:val="nil"/>
              <w:left w:val="nil"/>
              <w:bottom w:val="nil"/>
              <w:right w:val="nil"/>
            </w:tcBorders>
            <w:shd w:val="clear" w:color="auto" w:fill="auto"/>
            <w:noWrap/>
            <w:vAlign w:val="bottom"/>
            <w:hideMark/>
          </w:tcPr>
          <w:p w14:paraId="71894FA5"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3BC16A26"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0611FB5D"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7AE4E42A"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A12271A"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572F66C"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06646F3F"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560C677A"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34EA97E0"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26D13D13"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4420CD6E"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3975D266"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781559EF"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66281F9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C50776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601E0A5"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3113EA31"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640C21E1"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407CAAE7"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09B5248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5481DC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AAA1123"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2960430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CF76EA7"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B5CEF15"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674CE08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B4F7F0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3C90869"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525467F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B24E43E"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154E7E1"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15075E8"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16C836F3"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19F0D0D0"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46876872"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53BEAFAF" w14:textId="77777777" w:rsidR="00962754" w:rsidRPr="00B907A3" w:rsidRDefault="00962754" w:rsidP="00962754">
            <w:pPr>
              <w:spacing w:after="0"/>
              <w:jc w:val="left"/>
              <w:rPr>
                <w:rFonts w:ascii="Garamond" w:hAnsi="Garamond"/>
                <w:sz w:val="6"/>
                <w:szCs w:val="12"/>
                <w:lang w:eastAsia="en-US"/>
              </w:rPr>
            </w:pPr>
          </w:p>
        </w:tc>
      </w:tr>
      <w:tr w:rsidR="00962754" w:rsidRPr="00B907A3" w14:paraId="5B78063C" w14:textId="77777777" w:rsidTr="00962754">
        <w:trPr>
          <w:trHeight w:val="20"/>
        </w:trPr>
        <w:tc>
          <w:tcPr>
            <w:tcW w:w="1290" w:type="dxa"/>
            <w:gridSpan w:val="2"/>
            <w:tcBorders>
              <w:top w:val="nil"/>
              <w:left w:val="nil"/>
              <w:bottom w:val="nil"/>
              <w:right w:val="nil"/>
            </w:tcBorders>
            <w:shd w:val="clear" w:color="auto" w:fill="auto"/>
            <w:noWrap/>
            <w:vAlign w:val="bottom"/>
            <w:hideMark/>
          </w:tcPr>
          <w:p w14:paraId="6094A4F3" w14:textId="02A818EA" w:rsidR="00962754" w:rsidRPr="00B907A3" w:rsidRDefault="00962754" w:rsidP="00962754">
            <w:pPr>
              <w:spacing w:after="0"/>
              <w:jc w:val="left"/>
              <w:rPr>
                <w:rFonts w:ascii="Garamond" w:hAnsi="Garamond" w:cs="Arial"/>
                <w:b/>
                <w:bCs/>
                <w:color w:val="000000"/>
                <w:sz w:val="6"/>
                <w:szCs w:val="12"/>
                <w:lang w:eastAsia="en-US"/>
              </w:rPr>
            </w:pPr>
            <w:bookmarkStart w:id="196" w:name="RANGE!A89"/>
            <w:r w:rsidRPr="00B907A3">
              <w:rPr>
                <w:rFonts w:ascii="Garamond" w:hAnsi="Garamond" w:cs="Arial"/>
                <w:b/>
                <w:bCs/>
                <w:color w:val="000000"/>
                <w:sz w:val="6"/>
                <w:szCs w:val="12"/>
                <w:lang w:eastAsia="en-US"/>
              </w:rPr>
              <w:t>Komponenti 5: Kujdesi pas aksidentit</w:t>
            </w:r>
            <w:bookmarkEnd w:id="196"/>
          </w:p>
        </w:tc>
        <w:tc>
          <w:tcPr>
            <w:tcW w:w="470" w:type="dxa"/>
            <w:tcBorders>
              <w:top w:val="nil"/>
              <w:left w:val="nil"/>
              <w:bottom w:val="nil"/>
              <w:right w:val="nil"/>
            </w:tcBorders>
            <w:shd w:val="clear" w:color="auto" w:fill="auto"/>
            <w:noWrap/>
            <w:vAlign w:val="bottom"/>
            <w:hideMark/>
          </w:tcPr>
          <w:p w14:paraId="4188F364" w14:textId="77777777" w:rsidR="00962754" w:rsidRPr="00B907A3" w:rsidRDefault="00962754" w:rsidP="00962754">
            <w:pPr>
              <w:spacing w:after="0"/>
              <w:jc w:val="left"/>
              <w:rPr>
                <w:rFonts w:ascii="Garamond" w:hAnsi="Garamond" w:cs="Arial"/>
                <w:b/>
                <w:bCs/>
                <w:color w:val="000000"/>
                <w:sz w:val="6"/>
                <w:szCs w:val="12"/>
                <w:lang w:eastAsia="en-US"/>
              </w:rPr>
            </w:pPr>
          </w:p>
        </w:tc>
        <w:tc>
          <w:tcPr>
            <w:tcW w:w="668" w:type="dxa"/>
            <w:tcBorders>
              <w:top w:val="nil"/>
              <w:left w:val="nil"/>
              <w:bottom w:val="nil"/>
              <w:right w:val="nil"/>
            </w:tcBorders>
            <w:shd w:val="clear" w:color="auto" w:fill="auto"/>
            <w:noWrap/>
            <w:vAlign w:val="bottom"/>
            <w:hideMark/>
          </w:tcPr>
          <w:p w14:paraId="3DEE197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254F2A1"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FECEDFE"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F730B80"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7B8D32B8"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72DFBB8B"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0C2AC9B2"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6088716D"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6D74528A"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228F6036"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716AB6A1"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5ED357A"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8294DE2"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039D924D"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4F02341E"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229639D1"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7834D55F"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DEAA48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DB6DB88"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B10E059"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17B9E68"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E78E12A"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4E62B28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B675CE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762DEEF"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70F3D5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EB0BCC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D47AC8E"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41B3CA9B"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29708270"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5C48CC44"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6FD134C7"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47E29B99" w14:textId="77777777" w:rsidR="00962754" w:rsidRPr="00B907A3" w:rsidRDefault="00962754" w:rsidP="00962754">
            <w:pPr>
              <w:spacing w:after="0"/>
              <w:jc w:val="left"/>
              <w:rPr>
                <w:rFonts w:ascii="Garamond" w:hAnsi="Garamond"/>
                <w:sz w:val="6"/>
                <w:szCs w:val="12"/>
                <w:lang w:eastAsia="en-US"/>
              </w:rPr>
            </w:pPr>
          </w:p>
        </w:tc>
      </w:tr>
      <w:tr w:rsidR="00962754" w:rsidRPr="00B907A3" w14:paraId="1091FCB9" w14:textId="77777777" w:rsidTr="00962754">
        <w:trPr>
          <w:trHeight w:val="20"/>
        </w:trPr>
        <w:tc>
          <w:tcPr>
            <w:tcW w:w="718" w:type="dxa"/>
            <w:tcBorders>
              <w:top w:val="nil"/>
              <w:left w:val="nil"/>
              <w:bottom w:val="nil"/>
              <w:right w:val="nil"/>
            </w:tcBorders>
            <w:shd w:val="clear" w:color="auto" w:fill="auto"/>
            <w:noWrap/>
            <w:vAlign w:val="bottom"/>
            <w:hideMark/>
          </w:tcPr>
          <w:p w14:paraId="26941AD8"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1AD68B4A"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33AA5FEA"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2A2E592B"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4F1F9332"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095ED76F"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167B70E1"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18A61A05"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3740E0B9"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4EF9E7CE"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643EB86E"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553631B2"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1B1D5C6C"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506F5E2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B7B9326"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EC8ED40"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6D427EEC"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2B0C194C"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A33524D"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6DE917B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223F5C6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3C80F83"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5D0814B7"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A0FA1B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4BB151C"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7825BF24"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B22BE77"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EF1B4C5"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9B0C5BA"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D9E5A7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F009438"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442E2CA"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35032CEF"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55DFA696"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0006B990"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1D098076" w14:textId="77777777" w:rsidR="00962754" w:rsidRPr="00B907A3" w:rsidRDefault="00962754" w:rsidP="00962754">
            <w:pPr>
              <w:spacing w:after="0"/>
              <w:jc w:val="left"/>
              <w:rPr>
                <w:rFonts w:ascii="Garamond" w:hAnsi="Garamond"/>
                <w:sz w:val="6"/>
                <w:szCs w:val="12"/>
                <w:lang w:eastAsia="en-US"/>
              </w:rPr>
            </w:pPr>
          </w:p>
        </w:tc>
      </w:tr>
      <w:tr w:rsidR="00962754" w:rsidRPr="00B907A3" w14:paraId="39367599" w14:textId="77777777" w:rsidTr="00962754">
        <w:trPr>
          <w:trHeight w:val="20"/>
        </w:trPr>
        <w:tc>
          <w:tcPr>
            <w:tcW w:w="718" w:type="dxa"/>
            <w:tcBorders>
              <w:top w:val="single" w:sz="8" w:space="0" w:color="auto"/>
              <w:left w:val="single" w:sz="8" w:space="0" w:color="auto"/>
              <w:bottom w:val="nil"/>
              <w:right w:val="nil"/>
            </w:tcBorders>
            <w:shd w:val="clear" w:color="000000" w:fill="D9D9D9"/>
            <w:vAlign w:val="center"/>
            <w:hideMark/>
          </w:tcPr>
          <w:p w14:paraId="4B98FBC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single" w:sz="8" w:space="0" w:color="auto"/>
              <w:left w:val="single" w:sz="4" w:space="0" w:color="auto"/>
              <w:bottom w:val="nil"/>
              <w:right w:val="nil"/>
            </w:tcBorders>
            <w:shd w:val="clear" w:color="000000" w:fill="D9D9D9"/>
            <w:hideMark/>
          </w:tcPr>
          <w:p w14:paraId="46FEFDF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single" w:sz="8" w:space="0" w:color="auto"/>
              <w:left w:val="single" w:sz="4" w:space="0" w:color="auto"/>
              <w:bottom w:val="nil"/>
              <w:right w:val="nil"/>
            </w:tcBorders>
            <w:shd w:val="clear" w:color="000000" w:fill="D9D9D9"/>
            <w:vAlign w:val="center"/>
            <w:hideMark/>
          </w:tcPr>
          <w:p w14:paraId="3F60F6C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single" w:sz="8" w:space="0" w:color="auto"/>
              <w:left w:val="single" w:sz="4" w:space="0" w:color="auto"/>
              <w:bottom w:val="nil"/>
              <w:right w:val="single" w:sz="4" w:space="0" w:color="auto"/>
            </w:tcBorders>
            <w:shd w:val="clear" w:color="000000" w:fill="D9D9D9"/>
            <w:vAlign w:val="center"/>
            <w:hideMark/>
          </w:tcPr>
          <w:p w14:paraId="05E8A75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single" w:sz="8" w:space="0" w:color="auto"/>
              <w:left w:val="nil"/>
              <w:bottom w:val="single" w:sz="4" w:space="0" w:color="auto"/>
              <w:right w:val="nil"/>
            </w:tcBorders>
            <w:shd w:val="clear" w:color="000000" w:fill="D9D9D9"/>
            <w:vAlign w:val="center"/>
            <w:hideMark/>
          </w:tcPr>
          <w:p w14:paraId="49683CB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bazë</w:t>
            </w:r>
          </w:p>
        </w:tc>
        <w:tc>
          <w:tcPr>
            <w:tcW w:w="1091" w:type="dxa"/>
            <w:gridSpan w:val="3"/>
            <w:tcBorders>
              <w:top w:val="single" w:sz="8" w:space="0" w:color="auto"/>
              <w:left w:val="single" w:sz="4" w:space="0" w:color="auto"/>
              <w:bottom w:val="single" w:sz="4" w:space="0" w:color="auto"/>
              <w:right w:val="nil"/>
            </w:tcBorders>
            <w:shd w:val="clear" w:color="000000" w:fill="D9D9D9"/>
            <w:noWrap/>
            <w:hideMark/>
          </w:tcPr>
          <w:p w14:paraId="3EED6A2E" w14:textId="0A9D5766"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Vlerat e synuara të RM</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525" w:type="dxa"/>
            <w:tcBorders>
              <w:top w:val="single" w:sz="8" w:space="0" w:color="auto"/>
              <w:left w:val="single" w:sz="4" w:space="0" w:color="auto"/>
              <w:bottom w:val="nil"/>
              <w:right w:val="single" w:sz="8" w:space="0" w:color="auto"/>
            </w:tcBorders>
            <w:shd w:val="clear" w:color="000000" w:fill="D9D9D9"/>
            <w:vAlign w:val="center"/>
            <w:hideMark/>
          </w:tcPr>
          <w:p w14:paraId="350F47A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single" w:sz="8" w:space="0" w:color="auto"/>
              <w:left w:val="nil"/>
              <w:bottom w:val="single" w:sz="4" w:space="0" w:color="auto"/>
              <w:right w:val="nil"/>
            </w:tcBorders>
            <w:shd w:val="clear" w:color="000000" w:fill="D9D9D9"/>
            <w:vAlign w:val="center"/>
            <w:hideMark/>
          </w:tcPr>
          <w:p w14:paraId="263D469C"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single" w:sz="8" w:space="0" w:color="auto"/>
              <w:left w:val="single" w:sz="8" w:space="0" w:color="auto"/>
              <w:bottom w:val="nil"/>
              <w:right w:val="single" w:sz="4" w:space="0" w:color="auto"/>
            </w:tcBorders>
            <w:shd w:val="clear" w:color="000000" w:fill="D9D9D9"/>
            <w:vAlign w:val="center"/>
            <w:hideMark/>
          </w:tcPr>
          <w:p w14:paraId="17CAA03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single" w:sz="8" w:space="0" w:color="auto"/>
              <w:left w:val="nil"/>
              <w:bottom w:val="nil"/>
              <w:right w:val="single" w:sz="4" w:space="0" w:color="auto"/>
            </w:tcBorders>
            <w:shd w:val="clear" w:color="000000" w:fill="D9D9D9"/>
            <w:vAlign w:val="center"/>
            <w:hideMark/>
          </w:tcPr>
          <w:p w14:paraId="5370699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single" w:sz="8" w:space="0" w:color="auto"/>
              <w:left w:val="nil"/>
              <w:bottom w:val="nil"/>
              <w:right w:val="single" w:sz="4" w:space="0" w:color="auto"/>
            </w:tcBorders>
            <w:shd w:val="clear" w:color="000000" w:fill="D9D9D9"/>
            <w:vAlign w:val="center"/>
            <w:hideMark/>
          </w:tcPr>
          <w:p w14:paraId="1A90A8D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single" w:sz="8" w:space="0" w:color="auto"/>
              <w:left w:val="nil"/>
              <w:bottom w:val="nil"/>
              <w:right w:val="single" w:sz="8" w:space="0" w:color="auto"/>
            </w:tcBorders>
            <w:shd w:val="clear" w:color="000000" w:fill="D9D9D9"/>
            <w:vAlign w:val="center"/>
            <w:hideMark/>
          </w:tcPr>
          <w:p w14:paraId="3AAB17A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single" w:sz="8" w:space="0" w:color="auto"/>
              <w:left w:val="nil"/>
              <w:bottom w:val="single" w:sz="4" w:space="0" w:color="auto"/>
              <w:right w:val="nil"/>
            </w:tcBorders>
            <w:shd w:val="clear" w:color="000000" w:fill="D9D9D9"/>
            <w:vAlign w:val="center"/>
            <w:hideMark/>
          </w:tcPr>
          <w:p w14:paraId="50B734B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639" w:type="dxa"/>
            <w:gridSpan w:val="5"/>
            <w:tcBorders>
              <w:top w:val="single" w:sz="8" w:space="0" w:color="auto"/>
              <w:left w:val="nil"/>
              <w:bottom w:val="single" w:sz="4" w:space="0" w:color="auto"/>
              <w:right w:val="single" w:sz="8" w:space="0" w:color="000000"/>
            </w:tcBorders>
            <w:shd w:val="clear" w:color="000000" w:fill="D9D9D9"/>
            <w:noWrap/>
            <w:hideMark/>
          </w:tcPr>
          <w:p w14:paraId="1F6D27AB" w14:textId="7EA4D106"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2027</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nil"/>
              <w:bottom w:val="single" w:sz="4" w:space="0" w:color="auto"/>
              <w:right w:val="nil"/>
            </w:tcBorders>
            <w:shd w:val="clear" w:color="000000" w:fill="D9D9D9"/>
            <w:noWrap/>
            <w:hideMark/>
          </w:tcPr>
          <w:p w14:paraId="39979BE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1829" w:type="dxa"/>
            <w:gridSpan w:val="5"/>
            <w:tcBorders>
              <w:top w:val="single" w:sz="8" w:space="0" w:color="auto"/>
              <w:left w:val="nil"/>
              <w:bottom w:val="single" w:sz="4" w:space="0" w:color="auto"/>
              <w:right w:val="nil"/>
            </w:tcBorders>
            <w:shd w:val="clear" w:color="000000" w:fill="D9D9D9"/>
            <w:noWrap/>
            <w:hideMark/>
          </w:tcPr>
          <w:p w14:paraId="084472B1" w14:textId="0DC473F9"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2028</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372" w:type="dxa"/>
            <w:tcBorders>
              <w:top w:val="single" w:sz="8" w:space="0" w:color="auto"/>
              <w:left w:val="single" w:sz="8" w:space="0" w:color="auto"/>
              <w:bottom w:val="single" w:sz="4" w:space="0" w:color="auto"/>
              <w:right w:val="nil"/>
            </w:tcBorders>
            <w:shd w:val="clear" w:color="000000" w:fill="D9D9D9"/>
            <w:hideMark/>
          </w:tcPr>
          <w:p w14:paraId="44F0A34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1829" w:type="dxa"/>
            <w:gridSpan w:val="5"/>
            <w:tcBorders>
              <w:top w:val="single" w:sz="8" w:space="0" w:color="auto"/>
              <w:left w:val="nil"/>
              <w:bottom w:val="single" w:sz="4" w:space="0" w:color="auto"/>
              <w:right w:val="single" w:sz="8" w:space="0" w:color="000000"/>
            </w:tcBorders>
            <w:shd w:val="clear" w:color="000000" w:fill="D9D9D9"/>
            <w:noWrap/>
            <w:hideMark/>
          </w:tcPr>
          <w:p w14:paraId="5EB3BBDE" w14:textId="0EA81C5A"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Financimi i parashikuar 2029</w:t>
            </w:r>
            <w:r w:rsidR="00887CC6">
              <w:rPr>
                <w:rFonts w:ascii="Garamond" w:hAnsi="Garamond" w:cs="Arial"/>
                <w:b/>
                <w:bCs/>
                <w:color w:val="000000"/>
                <w:sz w:val="6"/>
                <w:szCs w:val="12"/>
                <w:lang w:eastAsia="en-US"/>
              </w:rPr>
              <w:t xml:space="preserve"> </w:t>
            </w:r>
            <w:r w:rsidRPr="00B907A3">
              <w:rPr>
                <w:rFonts w:ascii="Garamond" w:hAnsi="Garamond" w:cs="Arial"/>
                <w:b/>
                <w:bCs/>
                <w:color w:val="000000"/>
                <w:sz w:val="6"/>
                <w:szCs w:val="12"/>
                <w:lang w:eastAsia="en-US"/>
              </w:rPr>
              <w:t>(në 000/ALL)</w:t>
            </w:r>
          </w:p>
        </w:tc>
        <w:tc>
          <w:tcPr>
            <w:tcW w:w="464" w:type="dxa"/>
            <w:tcBorders>
              <w:top w:val="single" w:sz="8" w:space="0" w:color="auto"/>
              <w:left w:val="nil"/>
              <w:bottom w:val="nil"/>
              <w:right w:val="single" w:sz="4" w:space="0" w:color="auto"/>
            </w:tcBorders>
            <w:shd w:val="clear" w:color="000000" w:fill="D9D9D9"/>
            <w:hideMark/>
          </w:tcPr>
          <w:p w14:paraId="303B29E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single" w:sz="8" w:space="0" w:color="auto"/>
              <w:left w:val="nil"/>
              <w:bottom w:val="nil"/>
              <w:right w:val="single" w:sz="4" w:space="0" w:color="auto"/>
            </w:tcBorders>
            <w:shd w:val="clear" w:color="000000" w:fill="D9D9D9"/>
            <w:vAlign w:val="center"/>
            <w:hideMark/>
          </w:tcPr>
          <w:p w14:paraId="68C2B51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single" w:sz="8" w:space="0" w:color="auto"/>
              <w:left w:val="nil"/>
              <w:bottom w:val="nil"/>
              <w:right w:val="single" w:sz="8" w:space="0" w:color="auto"/>
            </w:tcBorders>
            <w:shd w:val="clear" w:color="000000" w:fill="D9D9D9"/>
            <w:vAlign w:val="center"/>
            <w:hideMark/>
          </w:tcPr>
          <w:p w14:paraId="10A9319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5DFE3E4"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6E1077BB" w14:textId="77777777" w:rsidTr="00962754">
        <w:trPr>
          <w:trHeight w:val="20"/>
        </w:trPr>
        <w:tc>
          <w:tcPr>
            <w:tcW w:w="718" w:type="dxa"/>
            <w:tcBorders>
              <w:top w:val="nil"/>
              <w:left w:val="single" w:sz="8" w:space="0" w:color="auto"/>
              <w:bottom w:val="single" w:sz="8" w:space="0" w:color="auto"/>
              <w:right w:val="nil"/>
            </w:tcBorders>
            <w:shd w:val="clear" w:color="000000" w:fill="D9D9D9"/>
            <w:vAlign w:val="center"/>
            <w:hideMark/>
          </w:tcPr>
          <w:p w14:paraId="794A4B4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i Masës dhe Detajet</w:t>
            </w:r>
          </w:p>
        </w:tc>
        <w:tc>
          <w:tcPr>
            <w:tcW w:w="571" w:type="dxa"/>
            <w:tcBorders>
              <w:top w:val="nil"/>
              <w:left w:val="single" w:sz="4" w:space="0" w:color="auto"/>
              <w:bottom w:val="single" w:sz="8" w:space="0" w:color="auto"/>
              <w:right w:val="nil"/>
            </w:tcBorders>
            <w:shd w:val="clear" w:color="000000" w:fill="D9D9D9"/>
            <w:vAlign w:val="center"/>
            <w:hideMark/>
          </w:tcPr>
          <w:p w14:paraId="323663FE" w14:textId="5ED52CF5" w:rsidR="00962754" w:rsidRPr="00B907A3" w:rsidRDefault="00DB76F6" w:rsidP="00962754">
            <w:pPr>
              <w:spacing w:after="0"/>
              <w:jc w:val="center"/>
              <w:rPr>
                <w:rFonts w:ascii="Garamond" w:hAnsi="Garamond" w:cs="Arial"/>
                <w:b/>
                <w:bCs/>
                <w:color w:val="000000"/>
                <w:sz w:val="6"/>
                <w:szCs w:val="12"/>
                <w:lang w:eastAsia="en-US"/>
              </w:rPr>
            </w:pPr>
            <w:r>
              <w:rPr>
                <w:rFonts w:ascii="Garamond" w:hAnsi="Garamond" w:cs="Arial"/>
                <w:b/>
                <w:bCs/>
                <w:color w:val="000000"/>
                <w:sz w:val="6"/>
                <w:szCs w:val="12"/>
                <w:lang w:eastAsia="en-US"/>
              </w:rPr>
              <w:t>Treguesi i rezultatit të masës</w:t>
            </w:r>
            <w:r w:rsidR="00962754" w:rsidRPr="00B907A3">
              <w:rPr>
                <w:rFonts w:ascii="Garamond" w:hAnsi="Garamond" w:cs="Arial"/>
                <w:b/>
                <w:bCs/>
                <w:color w:val="000000"/>
                <w:sz w:val="6"/>
                <w:szCs w:val="12"/>
                <w:lang w:eastAsia="en-US"/>
              </w:rPr>
              <w:t xml:space="preserve"> (MoI)</w:t>
            </w:r>
          </w:p>
        </w:tc>
        <w:tc>
          <w:tcPr>
            <w:tcW w:w="470" w:type="dxa"/>
            <w:tcBorders>
              <w:top w:val="nil"/>
              <w:left w:val="single" w:sz="4" w:space="0" w:color="auto"/>
              <w:bottom w:val="single" w:sz="8" w:space="0" w:color="auto"/>
              <w:right w:val="nil"/>
            </w:tcBorders>
            <w:shd w:val="clear" w:color="000000" w:fill="D9D9D9"/>
            <w:vAlign w:val="center"/>
            <w:hideMark/>
          </w:tcPr>
          <w:p w14:paraId="6BA6DD8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(njësia)</w:t>
            </w:r>
          </w:p>
        </w:tc>
        <w:tc>
          <w:tcPr>
            <w:tcW w:w="668" w:type="dxa"/>
            <w:tcBorders>
              <w:top w:val="nil"/>
              <w:left w:val="single" w:sz="4" w:space="0" w:color="auto"/>
              <w:bottom w:val="single" w:sz="8" w:space="0" w:color="auto"/>
              <w:right w:val="single" w:sz="4" w:space="0" w:color="auto"/>
            </w:tcBorders>
            <w:shd w:val="clear" w:color="000000" w:fill="D9D9D9"/>
            <w:vAlign w:val="center"/>
            <w:hideMark/>
          </w:tcPr>
          <w:p w14:paraId="7B8CED6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366" w:type="dxa"/>
            <w:tcBorders>
              <w:top w:val="nil"/>
              <w:left w:val="nil"/>
              <w:bottom w:val="single" w:sz="8" w:space="0" w:color="auto"/>
              <w:right w:val="single" w:sz="4" w:space="0" w:color="auto"/>
            </w:tcBorders>
            <w:shd w:val="clear" w:color="000000" w:fill="D9D9D9"/>
            <w:vAlign w:val="center"/>
            <w:hideMark/>
          </w:tcPr>
          <w:p w14:paraId="687CDB0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2026</w:t>
            </w:r>
          </w:p>
        </w:tc>
        <w:tc>
          <w:tcPr>
            <w:tcW w:w="366" w:type="dxa"/>
            <w:tcBorders>
              <w:top w:val="nil"/>
              <w:left w:val="nil"/>
              <w:bottom w:val="single" w:sz="8" w:space="0" w:color="auto"/>
              <w:right w:val="single" w:sz="4" w:space="0" w:color="auto"/>
            </w:tcBorders>
            <w:shd w:val="clear" w:color="000000" w:fill="D9D9D9"/>
            <w:vAlign w:val="center"/>
            <w:hideMark/>
          </w:tcPr>
          <w:p w14:paraId="18EBFF4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2027</w:t>
            </w:r>
          </w:p>
        </w:tc>
        <w:tc>
          <w:tcPr>
            <w:tcW w:w="366" w:type="dxa"/>
            <w:tcBorders>
              <w:top w:val="nil"/>
              <w:left w:val="nil"/>
              <w:bottom w:val="single" w:sz="8" w:space="0" w:color="auto"/>
              <w:right w:val="single" w:sz="4" w:space="0" w:color="auto"/>
            </w:tcBorders>
            <w:shd w:val="clear" w:color="000000" w:fill="D9D9D9"/>
            <w:vAlign w:val="center"/>
            <w:hideMark/>
          </w:tcPr>
          <w:p w14:paraId="30AC145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2028</w:t>
            </w:r>
          </w:p>
        </w:tc>
        <w:tc>
          <w:tcPr>
            <w:tcW w:w="359" w:type="dxa"/>
            <w:tcBorders>
              <w:top w:val="nil"/>
              <w:left w:val="nil"/>
              <w:bottom w:val="single" w:sz="8" w:space="0" w:color="auto"/>
              <w:right w:val="nil"/>
            </w:tcBorders>
            <w:shd w:val="clear" w:color="000000" w:fill="D9D9D9"/>
            <w:vAlign w:val="center"/>
            <w:hideMark/>
          </w:tcPr>
          <w:p w14:paraId="549427A3"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2029</w:t>
            </w:r>
          </w:p>
        </w:tc>
        <w:tc>
          <w:tcPr>
            <w:tcW w:w="525" w:type="dxa"/>
            <w:tcBorders>
              <w:top w:val="nil"/>
              <w:left w:val="single" w:sz="4" w:space="0" w:color="auto"/>
              <w:bottom w:val="single" w:sz="8" w:space="0" w:color="auto"/>
              <w:right w:val="single" w:sz="8" w:space="0" w:color="auto"/>
            </w:tcBorders>
            <w:shd w:val="clear" w:color="000000" w:fill="D9D9D9"/>
            <w:vAlign w:val="center"/>
            <w:hideMark/>
          </w:tcPr>
          <w:p w14:paraId="52C18B9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36" w:type="dxa"/>
            <w:tcBorders>
              <w:top w:val="nil"/>
              <w:left w:val="nil"/>
              <w:bottom w:val="single" w:sz="8" w:space="0" w:color="auto"/>
              <w:right w:val="nil"/>
            </w:tcBorders>
            <w:shd w:val="clear" w:color="000000" w:fill="D9D9D9"/>
            <w:vAlign w:val="center"/>
            <w:hideMark/>
          </w:tcPr>
          <w:p w14:paraId="661588A8"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single" w:sz="8" w:space="0" w:color="auto"/>
              <w:bottom w:val="single" w:sz="8" w:space="0" w:color="auto"/>
              <w:right w:val="single" w:sz="4" w:space="0" w:color="auto"/>
            </w:tcBorders>
            <w:shd w:val="clear" w:color="000000" w:fill="D9D9D9"/>
            <w:vAlign w:val="center"/>
            <w:hideMark/>
          </w:tcPr>
          <w:p w14:paraId="63287C9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Numri dhe detajet e aktivitetit</w:t>
            </w:r>
          </w:p>
        </w:tc>
        <w:tc>
          <w:tcPr>
            <w:tcW w:w="520" w:type="dxa"/>
            <w:tcBorders>
              <w:top w:val="nil"/>
              <w:left w:val="nil"/>
              <w:bottom w:val="single" w:sz="8" w:space="0" w:color="auto"/>
              <w:right w:val="single" w:sz="4" w:space="0" w:color="auto"/>
            </w:tcBorders>
            <w:shd w:val="clear" w:color="000000" w:fill="D9D9D9"/>
            <w:vAlign w:val="center"/>
            <w:hideMark/>
          </w:tcPr>
          <w:p w14:paraId="23403B0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Përgjegjës</w:t>
            </w:r>
          </w:p>
        </w:tc>
        <w:tc>
          <w:tcPr>
            <w:tcW w:w="512" w:type="dxa"/>
            <w:tcBorders>
              <w:top w:val="nil"/>
              <w:left w:val="nil"/>
              <w:bottom w:val="single" w:sz="8" w:space="0" w:color="auto"/>
              <w:right w:val="single" w:sz="4" w:space="0" w:color="auto"/>
            </w:tcBorders>
            <w:shd w:val="clear" w:color="000000" w:fill="D9D9D9"/>
            <w:vAlign w:val="center"/>
            <w:hideMark/>
          </w:tcPr>
          <w:p w14:paraId="7224EEF4" w14:textId="04528441" w:rsidR="00962754" w:rsidRPr="00B907A3" w:rsidRDefault="00962754" w:rsidP="00DB76F6">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Mbështetës </w:t>
            </w:r>
            <w:r w:rsidR="00DB76F6">
              <w:rPr>
                <w:rFonts w:ascii="Garamond" w:hAnsi="Garamond" w:cs="Arial"/>
                <w:b/>
                <w:bCs/>
                <w:color w:val="000000"/>
                <w:sz w:val="6"/>
                <w:szCs w:val="12"/>
                <w:lang w:eastAsia="en-US"/>
              </w:rPr>
              <w:t>v</w:t>
            </w:r>
            <w:r w:rsidRPr="00B907A3">
              <w:rPr>
                <w:rFonts w:ascii="Garamond" w:hAnsi="Garamond" w:cs="Arial"/>
                <w:b/>
                <w:bCs/>
                <w:color w:val="000000"/>
                <w:sz w:val="6"/>
                <w:szCs w:val="12"/>
                <w:lang w:eastAsia="en-US"/>
              </w:rPr>
              <w:t>iti i fillimit dhe i mbarimit</w:t>
            </w:r>
          </w:p>
        </w:tc>
        <w:tc>
          <w:tcPr>
            <w:tcW w:w="367" w:type="dxa"/>
            <w:tcBorders>
              <w:top w:val="nil"/>
              <w:left w:val="nil"/>
              <w:bottom w:val="single" w:sz="8" w:space="0" w:color="auto"/>
              <w:right w:val="single" w:sz="8" w:space="0" w:color="auto"/>
            </w:tcBorders>
            <w:shd w:val="clear" w:color="000000" w:fill="D9D9D9"/>
            <w:vAlign w:val="center"/>
            <w:hideMark/>
          </w:tcPr>
          <w:p w14:paraId="0DEFF31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Viti i fillimit dhe i mbarimit</w:t>
            </w:r>
          </w:p>
        </w:tc>
        <w:tc>
          <w:tcPr>
            <w:tcW w:w="372" w:type="dxa"/>
            <w:tcBorders>
              <w:top w:val="nil"/>
              <w:left w:val="nil"/>
              <w:bottom w:val="single" w:sz="8" w:space="0" w:color="auto"/>
              <w:right w:val="single" w:sz="4" w:space="0" w:color="auto"/>
            </w:tcBorders>
            <w:shd w:val="clear" w:color="000000" w:fill="D9D9D9"/>
            <w:vAlign w:val="center"/>
            <w:hideMark/>
          </w:tcPr>
          <w:p w14:paraId="494C805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9D9D9"/>
            <w:vAlign w:val="center"/>
            <w:hideMark/>
          </w:tcPr>
          <w:p w14:paraId="16E5113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426" w:type="dxa"/>
            <w:tcBorders>
              <w:top w:val="nil"/>
              <w:left w:val="nil"/>
              <w:bottom w:val="single" w:sz="8" w:space="0" w:color="auto"/>
              <w:right w:val="single" w:sz="4" w:space="0" w:color="auto"/>
            </w:tcBorders>
            <w:shd w:val="clear" w:color="000000" w:fill="D9D9D9"/>
            <w:vAlign w:val="center"/>
            <w:hideMark/>
          </w:tcPr>
          <w:p w14:paraId="6CD1D22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618" w:type="dxa"/>
            <w:tcBorders>
              <w:top w:val="nil"/>
              <w:left w:val="nil"/>
              <w:bottom w:val="single" w:sz="8" w:space="0" w:color="auto"/>
              <w:right w:val="single" w:sz="4" w:space="0" w:color="auto"/>
            </w:tcBorders>
            <w:shd w:val="clear" w:color="000000" w:fill="D9D9D9"/>
            <w:vAlign w:val="center"/>
            <w:hideMark/>
          </w:tcPr>
          <w:p w14:paraId="487903D4"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618" w:type="dxa"/>
            <w:tcBorders>
              <w:top w:val="nil"/>
              <w:left w:val="nil"/>
              <w:bottom w:val="single" w:sz="8" w:space="0" w:color="auto"/>
              <w:right w:val="single" w:sz="4" w:space="0" w:color="auto"/>
            </w:tcBorders>
            <w:shd w:val="clear" w:color="000000" w:fill="D9D9D9"/>
            <w:vAlign w:val="center"/>
            <w:hideMark/>
          </w:tcPr>
          <w:p w14:paraId="6594C30A"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 Banka Botërore</w:t>
            </w:r>
          </w:p>
        </w:tc>
        <w:tc>
          <w:tcPr>
            <w:tcW w:w="605" w:type="dxa"/>
            <w:tcBorders>
              <w:top w:val="nil"/>
              <w:left w:val="nil"/>
              <w:bottom w:val="single" w:sz="8" w:space="0" w:color="auto"/>
              <w:right w:val="single" w:sz="8" w:space="0" w:color="auto"/>
            </w:tcBorders>
            <w:shd w:val="clear" w:color="000000" w:fill="D9D9D9"/>
            <w:vAlign w:val="center"/>
            <w:hideMark/>
          </w:tcPr>
          <w:p w14:paraId="170B4D79"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nil"/>
              <w:bottom w:val="single" w:sz="8" w:space="0" w:color="auto"/>
              <w:right w:val="single" w:sz="4" w:space="0" w:color="auto"/>
            </w:tcBorders>
            <w:shd w:val="clear" w:color="000000" w:fill="D9D9D9"/>
            <w:vAlign w:val="center"/>
            <w:hideMark/>
          </w:tcPr>
          <w:p w14:paraId="27A7D19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9D9D9"/>
            <w:vAlign w:val="center"/>
            <w:hideMark/>
          </w:tcPr>
          <w:p w14:paraId="6C20049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D9D9D9"/>
            <w:vAlign w:val="center"/>
            <w:hideMark/>
          </w:tcPr>
          <w:p w14:paraId="235BF47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Totali</w:t>
            </w:r>
          </w:p>
        </w:tc>
        <w:tc>
          <w:tcPr>
            <w:tcW w:w="382" w:type="dxa"/>
            <w:tcBorders>
              <w:top w:val="nil"/>
              <w:left w:val="nil"/>
              <w:bottom w:val="single" w:sz="8" w:space="0" w:color="auto"/>
              <w:right w:val="single" w:sz="4" w:space="0" w:color="auto"/>
            </w:tcBorders>
            <w:shd w:val="clear" w:color="000000" w:fill="D9D9D9"/>
            <w:vAlign w:val="center"/>
            <w:hideMark/>
          </w:tcPr>
          <w:p w14:paraId="19BD245D"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D9D9D9"/>
            <w:vAlign w:val="center"/>
            <w:hideMark/>
          </w:tcPr>
          <w:p w14:paraId="0828B5B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nil"/>
            </w:tcBorders>
            <w:shd w:val="clear" w:color="000000" w:fill="D9D9D9"/>
            <w:vAlign w:val="center"/>
            <w:hideMark/>
          </w:tcPr>
          <w:p w14:paraId="1CCEF9BB"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372" w:type="dxa"/>
            <w:tcBorders>
              <w:top w:val="nil"/>
              <w:left w:val="single" w:sz="8" w:space="0" w:color="auto"/>
              <w:bottom w:val="single" w:sz="8" w:space="0" w:color="auto"/>
              <w:right w:val="single" w:sz="4" w:space="0" w:color="auto"/>
            </w:tcBorders>
            <w:shd w:val="clear" w:color="000000" w:fill="D9D9D9"/>
            <w:vAlign w:val="center"/>
            <w:hideMark/>
          </w:tcPr>
          <w:p w14:paraId="4B4F37C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OpEx</w:t>
            </w:r>
          </w:p>
        </w:tc>
        <w:tc>
          <w:tcPr>
            <w:tcW w:w="372" w:type="dxa"/>
            <w:tcBorders>
              <w:top w:val="nil"/>
              <w:left w:val="nil"/>
              <w:bottom w:val="single" w:sz="8" w:space="0" w:color="auto"/>
              <w:right w:val="single" w:sz="4" w:space="0" w:color="auto"/>
            </w:tcBorders>
            <w:shd w:val="clear" w:color="000000" w:fill="D9D9D9"/>
            <w:vAlign w:val="center"/>
            <w:hideMark/>
          </w:tcPr>
          <w:p w14:paraId="391B93A7"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CaPEx</w:t>
            </w:r>
          </w:p>
        </w:tc>
        <w:tc>
          <w:tcPr>
            <w:tcW w:w="324" w:type="dxa"/>
            <w:tcBorders>
              <w:top w:val="nil"/>
              <w:left w:val="nil"/>
              <w:bottom w:val="single" w:sz="8" w:space="0" w:color="auto"/>
              <w:right w:val="single" w:sz="4" w:space="0" w:color="auto"/>
            </w:tcBorders>
            <w:shd w:val="clear" w:color="000000" w:fill="D9D9D9"/>
            <w:vAlign w:val="center"/>
            <w:hideMark/>
          </w:tcPr>
          <w:p w14:paraId="71FC36A5"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Totail</w:t>
            </w:r>
          </w:p>
        </w:tc>
        <w:tc>
          <w:tcPr>
            <w:tcW w:w="382" w:type="dxa"/>
            <w:tcBorders>
              <w:top w:val="nil"/>
              <w:left w:val="nil"/>
              <w:bottom w:val="single" w:sz="8" w:space="0" w:color="auto"/>
              <w:right w:val="single" w:sz="4" w:space="0" w:color="auto"/>
            </w:tcBorders>
            <w:shd w:val="clear" w:color="000000" w:fill="D9D9D9"/>
            <w:vAlign w:val="center"/>
            <w:hideMark/>
          </w:tcPr>
          <w:p w14:paraId="73C954FE"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buxheti</w:t>
            </w:r>
          </w:p>
        </w:tc>
        <w:tc>
          <w:tcPr>
            <w:tcW w:w="382" w:type="dxa"/>
            <w:tcBorders>
              <w:top w:val="nil"/>
              <w:left w:val="nil"/>
              <w:bottom w:val="single" w:sz="8" w:space="0" w:color="auto"/>
              <w:right w:val="single" w:sz="4" w:space="0" w:color="auto"/>
            </w:tcBorders>
            <w:shd w:val="clear" w:color="000000" w:fill="D9D9D9"/>
            <w:vAlign w:val="center"/>
            <w:hideMark/>
          </w:tcPr>
          <w:p w14:paraId="0DCE9AA0"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Financuar nga donatori</w:t>
            </w:r>
          </w:p>
        </w:tc>
        <w:tc>
          <w:tcPr>
            <w:tcW w:w="369" w:type="dxa"/>
            <w:tcBorders>
              <w:top w:val="nil"/>
              <w:left w:val="nil"/>
              <w:bottom w:val="single" w:sz="8" w:space="0" w:color="auto"/>
              <w:right w:val="single" w:sz="8" w:space="0" w:color="auto"/>
            </w:tcBorders>
            <w:shd w:val="clear" w:color="000000" w:fill="D9D9D9"/>
            <w:vAlign w:val="center"/>
            <w:hideMark/>
          </w:tcPr>
          <w:p w14:paraId="4A0E9376"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Hendeku financiar</w:t>
            </w:r>
          </w:p>
        </w:tc>
        <w:tc>
          <w:tcPr>
            <w:tcW w:w="464" w:type="dxa"/>
            <w:tcBorders>
              <w:top w:val="nil"/>
              <w:left w:val="nil"/>
              <w:bottom w:val="single" w:sz="8" w:space="0" w:color="auto"/>
              <w:right w:val="single" w:sz="4" w:space="0" w:color="auto"/>
            </w:tcBorders>
            <w:shd w:val="clear" w:color="000000" w:fill="D9D9D9"/>
            <w:vAlign w:val="center"/>
            <w:hideMark/>
          </w:tcPr>
          <w:p w14:paraId="2C3BFD9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Treguesi i Produktit të Aktivitetit</w:t>
            </w:r>
          </w:p>
        </w:tc>
        <w:tc>
          <w:tcPr>
            <w:tcW w:w="442" w:type="dxa"/>
            <w:tcBorders>
              <w:top w:val="nil"/>
              <w:left w:val="nil"/>
              <w:bottom w:val="single" w:sz="8" w:space="0" w:color="auto"/>
              <w:right w:val="single" w:sz="4" w:space="0" w:color="auto"/>
            </w:tcBorders>
            <w:shd w:val="clear" w:color="000000" w:fill="D9D9D9"/>
            <w:vAlign w:val="center"/>
            <w:hideMark/>
          </w:tcPr>
          <w:p w14:paraId="147B8C81"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Burimi i verifikimit, frekuenca dhe raportimi</w:t>
            </w:r>
          </w:p>
        </w:tc>
        <w:tc>
          <w:tcPr>
            <w:tcW w:w="287" w:type="dxa"/>
            <w:tcBorders>
              <w:top w:val="nil"/>
              <w:left w:val="nil"/>
              <w:bottom w:val="single" w:sz="8" w:space="0" w:color="auto"/>
              <w:right w:val="single" w:sz="8" w:space="0" w:color="auto"/>
            </w:tcBorders>
            <w:shd w:val="clear" w:color="000000" w:fill="D9D9D9"/>
            <w:vAlign w:val="center"/>
            <w:hideMark/>
          </w:tcPr>
          <w:p w14:paraId="62C9E8C2" w14:textId="77777777" w:rsidR="00962754" w:rsidRPr="00B907A3" w:rsidRDefault="00962754" w:rsidP="00962754">
            <w:pPr>
              <w:spacing w:after="0"/>
              <w:jc w:val="center"/>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Shënime</w:t>
            </w:r>
          </w:p>
        </w:tc>
        <w:tc>
          <w:tcPr>
            <w:tcW w:w="394" w:type="dxa"/>
            <w:tcBorders>
              <w:top w:val="nil"/>
              <w:left w:val="nil"/>
              <w:bottom w:val="nil"/>
              <w:right w:val="nil"/>
            </w:tcBorders>
            <w:shd w:val="clear" w:color="auto" w:fill="auto"/>
            <w:noWrap/>
            <w:vAlign w:val="bottom"/>
            <w:hideMark/>
          </w:tcPr>
          <w:p w14:paraId="76F347A5" w14:textId="77777777" w:rsidR="00962754" w:rsidRPr="00B907A3" w:rsidRDefault="00962754" w:rsidP="00962754">
            <w:pPr>
              <w:spacing w:after="0"/>
              <w:jc w:val="center"/>
              <w:rPr>
                <w:rFonts w:ascii="Garamond" w:hAnsi="Garamond" w:cs="Arial"/>
                <w:b/>
                <w:bCs/>
                <w:color w:val="000000"/>
                <w:sz w:val="6"/>
                <w:szCs w:val="12"/>
                <w:lang w:eastAsia="en-US"/>
              </w:rPr>
            </w:pPr>
          </w:p>
        </w:tc>
      </w:tr>
      <w:tr w:rsidR="00962754" w:rsidRPr="00B907A3" w14:paraId="1836EA92" w14:textId="77777777" w:rsidTr="00962754">
        <w:trPr>
          <w:trHeight w:val="20"/>
        </w:trPr>
        <w:tc>
          <w:tcPr>
            <w:tcW w:w="718" w:type="dxa"/>
            <w:tcBorders>
              <w:top w:val="single" w:sz="4" w:space="0" w:color="auto"/>
              <w:left w:val="single" w:sz="8" w:space="0" w:color="auto"/>
              <w:bottom w:val="nil"/>
              <w:right w:val="single" w:sz="4" w:space="0" w:color="auto"/>
            </w:tcBorders>
            <w:shd w:val="clear" w:color="000000" w:fill="D9D9D9"/>
            <w:hideMark/>
          </w:tcPr>
          <w:p w14:paraId="08CE254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w:t>
            </w:r>
            <w:r w:rsidRPr="00B907A3">
              <w:rPr>
                <w:rFonts w:ascii="Garamond" w:hAnsi="Garamond" w:cs="Arial"/>
                <w:b/>
                <w:bCs/>
                <w:color w:val="000000"/>
                <w:sz w:val="6"/>
                <w:szCs w:val="12"/>
                <w:lang w:eastAsia="en-US"/>
              </w:rPr>
              <w:br/>
              <w:t>Përmirësimi dhe standardizimi i komunikimit midis ndihmësve të parë pas një aksidenti</w:t>
            </w:r>
          </w:p>
        </w:tc>
        <w:tc>
          <w:tcPr>
            <w:tcW w:w="571" w:type="dxa"/>
            <w:tcBorders>
              <w:top w:val="single" w:sz="4" w:space="0" w:color="auto"/>
              <w:left w:val="nil"/>
              <w:bottom w:val="single" w:sz="4" w:space="0" w:color="auto"/>
              <w:right w:val="single" w:sz="4" w:space="0" w:color="auto"/>
            </w:tcBorders>
            <w:shd w:val="clear" w:color="auto" w:fill="auto"/>
            <w:hideMark/>
          </w:tcPr>
          <w:p w14:paraId="67785D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Procedura të standardizuara dhe të integruara të mbledhjes dhe shkëmbimit të të dhënave midis qendrave 112 dhe 127</w:t>
            </w:r>
          </w:p>
        </w:tc>
        <w:tc>
          <w:tcPr>
            <w:tcW w:w="470" w:type="dxa"/>
            <w:tcBorders>
              <w:top w:val="single" w:sz="4" w:space="0" w:color="auto"/>
              <w:left w:val="nil"/>
              <w:bottom w:val="single" w:sz="4" w:space="0" w:color="auto"/>
              <w:right w:val="single" w:sz="4" w:space="0" w:color="auto"/>
            </w:tcBorders>
            <w:shd w:val="clear" w:color="auto" w:fill="auto"/>
            <w:hideMark/>
          </w:tcPr>
          <w:p w14:paraId="0FAA88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 l</w:t>
            </w:r>
          </w:p>
        </w:tc>
        <w:tc>
          <w:tcPr>
            <w:tcW w:w="668" w:type="dxa"/>
            <w:tcBorders>
              <w:top w:val="single" w:sz="4" w:space="0" w:color="auto"/>
              <w:left w:val="nil"/>
              <w:bottom w:val="single" w:sz="4" w:space="0" w:color="auto"/>
              <w:right w:val="single" w:sz="4" w:space="0" w:color="auto"/>
            </w:tcBorders>
            <w:shd w:val="clear" w:color="auto" w:fill="auto"/>
            <w:hideMark/>
          </w:tcPr>
          <w:p w14:paraId="1C52B7B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 (Policia e Shtetit)/MSHMS</w:t>
            </w:r>
          </w:p>
        </w:tc>
        <w:tc>
          <w:tcPr>
            <w:tcW w:w="366" w:type="dxa"/>
            <w:tcBorders>
              <w:top w:val="single" w:sz="4" w:space="0" w:color="auto"/>
              <w:left w:val="nil"/>
              <w:bottom w:val="single" w:sz="4" w:space="0" w:color="auto"/>
              <w:right w:val="single" w:sz="4" w:space="0" w:color="auto"/>
            </w:tcBorders>
            <w:shd w:val="clear" w:color="auto" w:fill="auto"/>
            <w:hideMark/>
          </w:tcPr>
          <w:p w14:paraId="2C5FEC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hideMark/>
          </w:tcPr>
          <w:p w14:paraId="76F594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single" w:sz="4" w:space="0" w:color="auto"/>
              <w:left w:val="nil"/>
              <w:bottom w:val="single" w:sz="4" w:space="0" w:color="auto"/>
              <w:right w:val="single" w:sz="4" w:space="0" w:color="auto"/>
            </w:tcBorders>
            <w:shd w:val="clear" w:color="auto" w:fill="auto"/>
            <w:hideMark/>
          </w:tcPr>
          <w:p w14:paraId="4651DE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single" w:sz="4" w:space="0" w:color="auto"/>
              <w:left w:val="nil"/>
              <w:bottom w:val="single" w:sz="4" w:space="0" w:color="auto"/>
              <w:right w:val="single" w:sz="4" w:space="0" w:color="auto"/>
            </w:tcBorders>
            <w:shd w:val="clear" w:color="auto" w:fill="auto"/>
            <w:hideMark/>
          </w:tcPr>
          <w:p w14:paraId="4DC2CB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single" w:sz="4" w:space="0" w:color="auto"/>
              <w:left w:val="nil"/>
              <w:bottom w:val="single" w:sz="4" w:space="0" w:color="auto"/>
              <w:right w:val="single" w:sz="8" w:space="0" w:color="auto"/>
            </w:tcBorders>
            <w:shd w:val="clear" w:color="auto" w:fill="auto"/>
            <w:hideMark/>
          </w:tcPr>
          <w:p w14:paraId="44F9C34F" w14:textId="4EC8DB9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single" w:sz="4" w:space="0" w:color="auto"/>
              <w:left w:val="nil"/>
              <w:bottom w:val="single" w:sz="4" w:space="0" w:color="auto"/>
              <w:right w:val="nil"/>
            </w:tcBorders>
            <w:shd w:val="clear" w:color="000000" w:fill="EE0000"/>
            <w:hideMark/>
          </w:tcPr>
          <w:p w14:paraId="3CC683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26AF51C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5.1.1</w:t>
            </w:r>
            <w:r w:rsidRPr="00B907A3">
              <w:rPr>
                <w:rFonts w:ascii="Garamond" w:hAnsi="Garamond" w:cs="Arial"/>
                <w:b/>
                <w:bCs/>
                <w:color w:val="000000"/>
                <w:sz w:val="6"/>
                <w:szCs w:val="12"/>
                <w:lang w:eastAsia="en-US"/>
              </w:rPr>
              <w:br/>
              <w:t>Përmirësimi dhe vendosja e standardizimit të dy qendrave kombëtare: 112 dhe 127 mbi procedurat në lidhje me mbledhjen fillestare të të dhënave (triazhin) me përgatitjen e procedurave (standardeve) të qarta për shkëmbimin e të dhënave për të shmangur dyfishimin e mbledhjes së të dhënave (triazhin) midis dy shërbimeve.</w:t>
            </w:r>
          </w:p>
        </w:tc>
        <w:tc>
          <w:tcPr>
            <w:tcW w:w="520" w:type="dxa"/>
            <w:tcBorders>
              <w:top w:val="single" w:sz="4" w:space="0" w:color="auto"/>
              <w:left w:val="nil"/>
              <w:bottom w:val="single" w:sz="4" w:space="0" w:color="auto"/>
              <w:right w:val="single" w:sz="4" w:space="0" w:color="auto"/>
            </w:tcBorders>
            <w:shd w:val="clear" w:color="auto" w:fill="auto"/>
            <w:hideMark/>
          </w:tcPr>
          <w:p w14:paraId="2EE184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MPB/MSHMS</w:t>
            </w:r>
          </w:p>
        </w:tc>
        <w:tc>
          <w:tcPr>
            <w:tcW w:w="512" w:type="dxa"/>
            <w:tcBorders>
              <w:top w:val="single" w:sz="4" w:space="0" w:color="auto"/>
              <w:left w:val="nil"/>
              <w:bottom w:val="nil"/>
              <w:right w:val="single" w:sz="4" w:space="0" w:color="auto"/>
            </w:tcBorders>
            <w:shd w:val="clear" w:color="auto" w:fill="auto"/>
            <w:hideMark/>
          </w:tcPr>
          <w:p w14:paraId="1C96C65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Qendrat 112/127</w:t>
            </w:r>
          </w:p>
        </w:tc>
        <w:tc>
          <w:tcPr>
            <w:tcW w:w="367" w:type="dxa"/>
            <w:tcBorders>
              <w:top w:val="single" w:sz="4" w:space="0" w:color="auto"/>
              <w:left w:val="nil"/>
              <w:bottom w:val="single" w:sz="4" w:space="0" w:color="auto"/>
              <w:right w:val="single" w:sz="8" w:space="0" w:color="auto"/>
            </w:tcBorders>
            <w:shd w:val="clear" w:color="auto" w:fill="auto"/>
            <w:hideMark/>
          </w:tcPr>
          <w:p w14:paraId="5F440E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single" w:sz="4" w:space="0" w:color="auto"/>
              <w:left w:val="nil"/>
              <w:bottom w:val="single" w:sz="4" w:space="0" w:color="auto"/>
              <w:right w:val="single" w:sz="4" w:space="0" w:color="auto"/>
            </w:tcBorders>
            <w:shd w:val="clear" w:color="auto" w:fill="auto"/>
            <w:hideMark/>
          </w:tcPr>
          <w:p w14:paraId="50EAAA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single" w:sz="4" w:space="0" w:color="auto"/>
              <w:left w:val="nil"/>
              <w:bottom w:val="single" w:sz="4" w:space="0" w:color="auto"/>
              <w:right w:val="single" w:sz="4" w:space="0" w:color="auto"/>
            </w:tcBorders>
            <w:shd w:val="clear" w:color="auto" w:fill="auto"/>
            <w:hideMark/>
          </w:tcPr>
          <w:p w14:paraId="55A7DC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426" w:type="dxa"/>
            <w:tcBorders>
              <w:top w:val="single" w:sz="4" w:space="0" w:color="auto"/>
              <w:left w:val="nil"/>
              <w:bottom w:val="single" w:sz="4" w:space="0" w:color="auto"/>
              <w:right w:val="single" w:sz="4" w:space="0" w:color="auto"/>
            </w:tcBorders>
            <w:shd w:val="clear" w:color="auto" w:fill="auto"/>
            <w:hideMark/>
          </w:tcPr>
          <w:p w14:paraId="23BE67E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single" w:sz="4" w:space="0" w:color="auto"/>
              <w:left w:val="nil"/>
              <w:bottom w:val="single" w:sz="4" w:space="0" w:color="auto"/>
              <w:right w:val="single" w:sz="4" w:space="0" w:color="auto"/>
            </w:tcBorders>
            <w:shd w:val="clear" w:color="auto" w:fill="auto"/>
            <w:hideMark/>
          </w:tcPr>
          <w:p w14:paraId="5AA3F9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single" w:sz="4" w:space="0" w:color="auto"/>
              <w:left w:val="nil"/>
              <w:bottom w:val="single" w:sz="4" w:space="0" w:color="auto"/>
              <w:right w:val="single" w:sz="4" w:space="0" w:color="auto"/>
            </w:tcBorders>
            <w:shd w:val="clear" w:color="auto" w:fill="auto"/>
            <w:hideMark/>
          </w:tcPr>
          <w:p w14:paraId="5F9951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single" w:sz="4" w:space="0" w:color="auto"/>
              <w:left w:val="nil"/>
              <w:bottom w:val="single" w:sz="4" w:space="0" w:color="auto"/>
              <w:right w:val="single" w:sz="8" w:space="0" w:color="auto"/>
            </w:tcBorders>
            <w:shd w:val="clear" w:color="auto" w:fill="auto"/>
            <w:hideMark/>
          </w:tcPr>
          <w:p w14:paraId="17D41A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3EFA61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hideMark/>
          </w:tcPr>
          <w:p w14:paraId="266E5C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single" w:sz="4" w:space="0" w:color="auto"/>
              <w:left w:val="nil"/>
              <w:bottom w:val="single" w:sz="4" w:space="0" w:color="auto"/>
              <w:right w:val="single" w:sz="4" w:space="0" w:color="auto"/>
            </w:tcBorders>
            <w:shd w:val="clear" w:color="000000" w:fill="FFFFFF"/>
            <w:hideMark/>
          </w:tcPr>
          <w:p w14:paraId="72E174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4E386B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65847F2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single" w:sz="4" w:space="0" w:color="auto"/>
              <w:right w:val="single" w:sz="8" w:space="0" w:color="auto"/>
            </w:tcBorders>
            <w:shd w:val="clear" w:color="000000" w:fill="FFFFFF"/>
            <w:hideMark/>
          </w:tcPr>
          <w:p w14:paraId="270F12A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FFFFF"/>
            <w:hideMark/>
          </w:tcPr>
          <w:p w14:paraId="084C34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000000" w:fill="FFFFFF"/>
            <w:hideMark/>
          </w:tcPr>
          <w:p w14:paraId="6E98B1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single" w:sz="4" w:space="0" w:color="auto"/>
              <w:left w:val="nil"/>
              <w:bottom w:val="single" w:sz="4" w:space="0" w:color="auto"/>
              <w:right w:val="single" w:sz="4" w:space="0" w:color="auto"/>
            </w:tcBorders>
            <w:shd w:val="clear" w:color="000000" w:fill="FFFFFF"/>
            <w:hideMark/>
          </w:tcPr>
          <w:p w14:paraId="72DCCB8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1B7864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single" w:sz="4" w:space="0" w:color="auto"/>
              <w:left w:val="nil"/>
              <w:bottom w:val="single" w:sz="4" w:space="0" w:color="auto"/>
              <w:right w:val="single" w:sz="4" w:space="0" w:color="auto"/>
            </w:tcBorders>
            <w:shd w:val="clear" w:color="000000" w:fill="FFFFFF"/>
            <w:hideMark/>
          </w:tcPr>
          <w:p w14:paraId="74A497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single" w:sz="4" w:space="0" w:color="auto"/>
              <w:left w:val="nil"/>
              <w:bottom w:val="single" w:sz="4" w:space="0" w:color="auto"/>
              <w:right w:val="single" w:sz="8" w:space="0" w:color="auto"/>
            </w:tcBorders>
            <w:shd w:val="clear" w:color="000000" w:fill="FFFFFF"/>
            <w:hideMark/>
          </w:tcPr>
          <w:p w14:paraId="69607E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single" w:sz="4" w:space="0" w:color="auto"/>
              <w:left w:val="nil"/>
              <w:bottom w:val="single" w:sz="4" w:space="0" w:color="auto"/>
              <w:right w:val="single" w:sz="4" w:space="0" w:color="auto"/>
            </w:tcBorders>
            <w:shd w:val="clear" w:color="000000" w:fill="FFFFFF"/>
            <w:hideMark/>
          </w:tcPr>
          <w:p w14:paraId="35DAEA87" w14:textId="184F6045" w:rsidR="00962754" w:rsidRPr="00B907A3" w:rsidRDefault="00962754" w:rsidP="00962754">
            <w:pPr>
              <w:spacing w:after="0"/>
              <w:jc w:val="center"/>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Mbledhja dhe shkëmbimi I të dhënave i </w:t>
            </w:r>
            <w:r w:rsidR="00DB76F6" w:rsidRPr="00B907A3">
              <w:rPr>
                <w:rFonts w:ascii="Garamond" w:hAnsi="Garamond" w:cs="Arial"/>
                <w:color w:val="000000"/>
                <w:sz w:val="6"/>
                <w:szCs w:val="12"/>
                <w:lang w:eastAsia="en-US"/>
              </w:rPr>
              <w:t>standardizuar</w:t>
            </w:r>
          </w:p>
        </w:tc>
        <w:tc>
          <w:tcPr>
            <w:tcW w:w="442" w:type="dxa"/>
            <w:tcBorders>
              <w:top w:val="single" w:sz="4" w:space="0" w:color="auto"/>
              <w:left w:val="nil"/>
              <w:bottom w:val="single" w:sz="4" w:space="0" w:color="auto"/>
              <w:right w:val="single" w:sz="4" w:space="0" w:color="auto"/>
            </w:tcBorders>
            <w:shd w:val="clear" w:color="000000" w:fill="FFFFFF"/>
            <w:hideMark/>
          </w:tcPr>
          <w:p w14:paraId="2A64159C" w14:textId="1315ACC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single" w:sz="4" w:space="0" w:color="auto"/>
              <w:left w:val="nil"/>
              <w:bottom w:val="single" w:sz="4" w:space="0" w:color="auto"/>
              <w:right w:val="single" w:sz="8" w:space="0" w:color="auto"/>
            </w:tcBorders>
            <w:shd w:val="clear" w:color="000000" w:fill="FFFFFF"/>
            <w:hideMark/>
          </w:tcPr>
          <w:p w14:paraId="5C9DCFF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D40562E"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7804687"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D9D9D9"/>
            <w:hideMark/>
          </w:tcPr>
          <w:p w14:paraId="0DD19DF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3DA4AA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Procedura përgjigjeje të optimizuara dhe të përditësuara</w:t>
            </w:r>
          </w:p>
        </w:tc>
        <w:tc>
          <w:tcPr>
            <w:tcW w:w="470" w:type="dxa"/>
            <w:tcBorders>
              <w:top w:val="nil"/>
              <w:left w:val="nil"/>
              <w:bottom w:val="single" w:sz="4" w:space="0" w:color="auto"/>
              <w:right w:val="single" w:sz="4" w:space="0" w:color="auto"/>
            </w:tcBorders>
            <w:shd w:val="clear" w:color="auto" w:fill="auto"/>
            <w:hideMark/>
          </w:tcPr>
          <w:p w14:paraId="713A21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 l</w:t>
            </w:r>
          </w:p>
        </w:tc>
        <w:tc>
          <w:tcPr>
            <w:tcW w:w="668" w:type="dxa"/>
            <w:tcBorders>
              <w:top w:val="nil"/>
              <w:left w:val="nil"/>
              <w:bottom w:val="nil"/>
              <w:right w:val="single" w:sz="4" w:space="0" w:color="auto"/>
            </w:tcBorders>
            <w:shd w:val="clear" w:color="auto" w:fill="auto"/>
            <w:hideMark/>
          </w:tcPr>
          <w:p w14:paraId="5E2B50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MSHMS/MPB</w:t>
            </w:r>
          </w:p>
        </w:tc>
        <w:tc>
          <w:tcPr>
            <w:tcW w:w="366" w:type="dxa"/>
            <w:tcBorders>
              <w:top w:val="nil"/>
              <w:left w:val="nil"/>
              <w:bottom w:val="single" w:sz="4" w:space="0" w:color="auto"/>
              <w:right w:val="single" w:sz="4" w:space="0" w:color="auto"/>
            </w:tcBorders>
            <w:shd w:val="clear" w:color="auto" w:fill="auto"/>
            <w:hideMark/>
          </w:tcPr>
          <w:p w14:paraId="3EB2961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6433FC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3976B4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19F071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384B82CB" w14:textId="6EE3A63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/MM</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43E589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57C97EB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5.1.2</w:t>
            </w:r>
            <w:r w:rsidRPr="00B907A3">
              <w:rPr>
                <w:rFonts w:ascii="Garamond" w:hAnsi="Garamond" w:cs="Arial"/>
                <w:b/>
                <w:bCs/>
                <w:color w:val="000000"/>
                <w:sz w:val="6"/>
                <w:szCs w:val="12"/>
                <w:lang w:eastAsia="en-US"/>
              </w:rPr>
              <w:br/>
              <w:t xml:space="preserve">Rishikimi i procedurave të reagimit të SHME në rast aksidentesh </w:t>
            </w:r>
          </w:p>
        </w:tc>
        <w:tc>
          <w:tcPr>
            <w:tcW w:w="520" w:type="dxa"/>
            <w:tcBorders>
              <w:top w:val="nil"/>
              <w:left w:val="nil"/>
              <w:bottom w:val="single" w:sz="4" w:space="0" w:color="auto"/>
              <w:right w:val="single" w:sz="4" w:space="0" w:color="auto"/>
            </w:tcBorders>
            <w:shd w:val="clear" w:color="auto" w:fill="auto"/>
            <w:hideMark/>
          </w:tcPr>
          <w:p w14:paraId="680FFF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MSHMS </w:t>
            </w:r>
          </w:p>
        </w:tc>
        <w:tc>
          <w:tcPr>
            <w:tcW w:w="512" w:type="dxa"/>
            <w:tcBorders>
              <w:top w:val="single" w:sz="4" w:space="0" w:color="auto"/>
              <w:left w:val="nil"/>
              <w:bottom w:val="single" w:sz="4" w:space="0" w:color="auto"/>
              <w:right w:val="single" w:sz="4" w:space="0" w:color="auto"/>
            </w:tcBorders>
            <w:shd w:val="clear" w:color="auto" w:fill="auto"/>
            <w:hideMark/>
          </w:tcPr>
          <w:p w14:paraId="48D3B348" w14:textId="3693F616"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Qendra </w:t>
            </w:r>
            <w:r w:rsidR="00DB76F6">
              <w:rPr>
                <w:rFonts w:ascii="Garamond" w:hAnsi="Garamond" w:cs="Arial"/>
                <w:color w:val="000000"/>
                <w:sz w:val="6"/>
                <w:szCs w:val="12"/>
                <w:lang w:eastAsia="en-US"/>
              </w:rPr>
              <w:t xml:space="preserve">e </w:t>
            </w:r>
            <w:r w:rsidRPr="00B907A3">
              <w:rPr>
                <w:rFonts w:ascii="Garamond" w:hAnsi="Garamond" w:cs="Arial"/>
                <w:color w:val="000000"/>
                <w:sz w:val="6"/>
                <w:szCs w:val="12"/>
                <w:lang w:eastAsia="en-US"/>
              </w:rPr>
              <w:t xml:space="preserve">emergjencës 127 </w:t>
            </w:r>
          </w:p>
        </w:tc>
        <w:tc>
          <w:tcPr>
            <w:tcW w:w="367" w:type="dxa"/>
            <w:tcBorders>
              <w:top w:val="nil"/>
              <w:left w:val="nil"/>
              <w:bottom w:val="single" w:sz="4" w:space="0" w:color="auto"/>
              <w:right w:val="single" w:sz="8" w:space="0" w:color="auto"/>
            </w:tcBorders>
            <w:shd w:val="clear" w:color="auto" w:fill="auto"/>
            <w:hideMark/>
          </w:tcPr>
          <w:p w14:paraId="7C91AA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7B346BF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51FB1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4BEC97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4E8BDB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667DDB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55650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B6337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858CE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51F646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6FEB88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9CFD8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5ABEF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600A36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2E507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275F85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68187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22B55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389BF9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6873E6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Procedurat e SHME u përmirësuan</w:t>
            </w:r>
          </w:p>
        </w:tc>
        <w:tc>
          <w:tcPr>
            <w:tcW w:w="442" w:type="dxa"/>
            <w:tcBorders>
              <w:top w:val="nil"/>
              <w:left w:val="nil"/>
              <w:bottom w:val="single" w:sz="4" w:space="0" w:color="auto"/>
              <w:right w:val="single" w:sz="4" w:space="0" w:color="auto"/>
            </w:tcBorders>
            <w:shd w:val="clear" w:color="000000" w:fill="FFFFFF"/>
            <w:hideMark/>
          </w:tcPr>
          <w:p w14:paraId="6D71B149" w14:textId="382CE9B8"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3DAB1C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86C8D94"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AE81D83"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9D9D9"/>
            <w:vAlign w:val="center"/>
            <w:hideMark/>
          </w:tcPr>
          <w:p w14:paraId="7F1E61C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4B9962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567556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single" w:sz="4" w:space="0" w:color="auto"/>
              <w:left w:val="nil"/>
              <w:bottom w:val="single" w:sz="4" w:space="0" w:color="auto"/>
              <w:right w:val="single" w:sz="4" w:space="0" w:color="auto"/>
            </w:tcBorders>
            <w:shd w:val="clear" w:color="auto" w:fill="auto"/>
            <w:hideMark/>
          </w:tcPr>
          <w:p w14:paraId="6E89E06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3A723E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4BC593A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75BE8B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2A0A81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702352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16151A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42987FC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5.1.3</w:t>
            </w:r>
            <w:r w:rsidRPr="00B907A3">
              <w:rPr>
                <w:rFonts w:ascii="Garamond" w:hAnsi="Garamond" w:cs="Arial"/>
                <w:b/>
                <w:bCs/>
                <w:color w:val="000000"/>
                <w:sz w:val="6"/>
                <w:szCs w:val="12"/>
                <w:lang w:eastAsia="en-US"/>
              </w:rPr>
              <w:br/>
              <w:t xml:space="preserve">Rishikimi i procedurave të reagimit të policisë </w:t>
            </w:r>
            <w:r w:rsidRPr="00B907A3">
              <w:rPr>
                <w:rFonts w:ascii="Garamond" w:hAnsi="Garamond" w:cs="Arial"/>
                <w:b/>
                <w:bCs/>
                <w:color w:val="000000"/>
                <w:sz w:val="6"/>
                <w:szCs w:val="12"/>
                <w:lang w:eastAsia="en-US"/>
              </w:rPr>
              <w:lastRenderedPageBreak/>
              <w:t>rrugore në rast aksidentesh dhe rekomandimi i përmirësimeve aty ku është e nevojshme</w:t>
            </w:r>
          </w:p>
        </w:tc>
        <w:tc>
          <w:tcPr>
            <w:tcW w:w="520" w:type="dxa"/>
            <w:tcBorders>
              <w:top w:val="nil"/>
              <w:left w:val="nil"/>
              <w:bottom w:val="single" w:sz="4" w:space="0" w:color="auto"/>
              <w:right w:val="single" w:sz="4" w:space="0" w:color="auto"/>
            </w:tcBorders>
            <w:shd w:val="clear" w:color="auto" w:fill="auto"/>
            <w:hideMark/>
          </w:tcPr>
          <w:p w14:paraId="6F6A4DE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lastRenderedPageBreak/>
              <w:t>MPB/PRr/MSHMS</w:t>
            </w:r>
          </w:p>
        </w:tc>
        <w:tc>
          <w:tcPr>
            <w:tcW w:w="512" w:type="dxa"/>
            <w:tcBorders>
              <w:top w:val="nil"/>
              <w:left w:val="nil"/>
              <w:bottom w:val="single" w:sz="4" w:space="0" w:color="auto"/>
              <w:right w:val="single" w:sz="4" w:space="0" w:color="auto"/>
            </w:tcBorders>
            <w:shd w:val="clear" w:color="auto" w:fill="auto"/>
            <w:hideMark/>
          </w:tcPr>
          <w:p w14:paraId="5C3A9C1C" w14:textId="74444BB7" w:rsidR="00962754" w:rsidRPr="00B907A3" w:rsidRDefault="00DB76F6"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 xml:space="preserve">Qendrat </w:t>
            </w:r>
            <w:r>
              <w:rPr>
                <w:rFonts w:ascii="Garamond" w:hAnsi="Garamond" w:cs="Arial"/>
                <w:color w:val="000000"/>
                <w:sz w:val="6"/>
                <w:szCs w:val="12"/>
                <w:lang w:eastAsia="en-US"/>
              </w:rPr>
              <w:br/>
              <w:t>112</w:t>
            </w:r>
            <w:r w:rsidR="00962754" w:rsidRPr="00B907A3">
              <w:rPr>
                <w:rFonts w:ascii="Garamond" w:hAnsi="Garamond" w:cs="Arial"/>
                <w:color w:val="000000"/>
                <w:sz w:val="6"/>
                <w:szCs w:val="12"/>
                <w:lang w:eastAsia="en-US"/>
              </w:rPr>
              <w:t>/127</w:t>
            </w:r>
          </w:p>
        </w:tc>
        <w:tc>
          <w:tcPr>
            <w:tcW w:w="367" w:type="dxa"/>
            <w:tcBorders>
              <w:top w:val="nil"/>
              <w:left w:val="nil"/>
              <w:bottom w:val="single" w:sz="4" w:space="0" w:color="auto"/>
              <w:right w:val="single" w:sz="8" w:space="0" w:color="auto"/>
            </w:tcBorders>
            <w:shd w:val="clear" w:color="auto" w:fill="auto"/>
            <w:hideMark/>
          </w:tcPr>
          <w:p w14:paraId="4F83C3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0CE649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799949D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08B22A1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3604EF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66A77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6D76DB7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3CF25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3CE23A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DF195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47EEFE6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36A21B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4110FF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1D9D582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384CCF6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75BE65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45A4E4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3779F7C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D2241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062BB0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Procedurat e reagimit të </w:t>
            </w:r>
            <w:r w:rsidRPr="00B907A3">
              <w:rPr>
                <w:rFonts w:ascii="Garamond" w:hAnsi="Garamond" w:cs="Arial"/>
                <w:color w:val="000000"/>
                <w:sz w:val="6"/>
                <w:szCs w:val="12"/>
                <w:lang w:eastAsia="en-US"/>
              </w:rPr>
              <w:lastRenderedPageBreak/>
              <w:t>përmirësuara</w:t>
            </w:r>
          </w:p>
        </w:tc>
        <w:tc>
          <w:tcPr>
            <w:tcW w:w="442" w:type="dxa"/>
            <w:tcBorders>
              <w:top w:val="nil"/>
              <w:left w:val="nil"/>
              <w:bottom w:val="single" w:sz="4" w:space="0" w:color="auto"/>
              <w:right w:val="single" w:sz="4" w:space="0" w:color="auto"/>
            </w:tcBorders>
            <w:shd w:val="clear" w:color="000000" w:fill="FFFFFF"/>
            <w:hideMark/>
          </w:tcPr>
          <w:p w14:paraId="5519EF7F" w14:textId="2E0F0998"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lastRenderedPageBreak/>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vAlign w:val="center"/>
            <w:hideMark/>
          </w:tcPr>
          <w:p w14:paraId="5F05C3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7B35D2E2"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78FDBD0"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9D9D9"/>
            <w:hideMark/>
          </w:tcPr>
          <w:p w14:paraId="15C11CB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2C7717B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6FD641D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09A7C37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0401C2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27E84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AAF090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07FA57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29FC34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4B6798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604F2BF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5.1.4</w:t>
            </w:r>
            <w:r w:rsidRPr="00B907A3">
              <w:rPr>
                <w:rFonts w:ascii="Garamond" w:hAnsi="Garamond" w:cs="Arial"/>
                <w:b/>
                <w:bCs/>
                <w:color w:val="000000"/>
                <w:sz w:val="6"/>
                <w:szCs w:val="12"/>
                <w:lang w:eastAsia="en-US"/>
              </w:rPr>
              <w:br/>
              <w:t>Rishikimi i procedurave të reagimit të zjarrfikësve në rast aksidentesh për shpëtim teknik, parandalim zjarri dhe bashkëpunim me shërbimet e tjera</w:t>
            </w:r>
          </w:p>
        </w:tc>
        <w:tc>
          <w:tcPr>
            <w:tcW w:w="520" w:type="dxa"/>
            <w:tcBorders>
              <w:top w:val="nil"/>
              <w:left w:val="nil"/>
              <w:bottom w:val="nil"/>
              <w:right w:val="single" w:sz="4" w:space="0" w:color="auto"/>
            </w:tcBorders>
            <w:shd w:val="clear" w:color="auto" w:fill="auto"/>
            <w:hideMark/>
          </w:tcPr>
          <w:p w14:paraId="5855AC0B" w14:textId="31FABD38"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MPB</w:t>
            </w:r>
            <w:r w:rsidR="00962754" w:rsidRPr="00B907A3">
              <w:rPr>
                <w:rFonts w:ascii="Garamond" w:hAnsi="Garamond" w:cs="Arial"/>
                <w:color w:val="000000"/>
                <w:sz w:val="6"/>
                <w:szCs w:val="12"/>
                <w:lang w:eastAsia="en-US"/>
              </w:rPr>
              <w:t>/ Bashkite</w:t>
            </w:r>
          </w:p>
        </w:tc>
        <w:tc>
          <w:tcPr>
            <w:tcW w:w="512" w:type="dxa"/>
            <w:tcBorders>
              <w:top w:val="nil"/>
              <w:left w:val="nil"/>
              <w:bottom w:val="single" w:sz="4" w:space="0" w:color="auto"/>
              <w:right w:val="single" w:sz="4" w:space="0" w:color="auto"/>
            </w:tcBorders>
            <w:shd w:val="clear" w:color="auto" w:fill="auto"/>
            <w:hideMark/>
          </w:tcPr>
          <w:p w14:paraId="69B6069F" w14:textId="787D9B33" w:rsidR="00962754" w:rsidRPr="00B907A3" w:rsidRDefault="00FB5830" w:rsidP="00962754">
            <w:pPr>
              <w:spacing w:after="0"/>
              <w:jc w:val="left"/>
              <w:rPr>
                <w:rFonts w:ascii="Garamond" w:hAnsi="Garamond" w:cs="Arial"/>
                <w:color w:val="000000"/>
                <w:sz w:val="6"/>
                <w:szCs w:val="12"/>
                <w:lang w:eastAsia="en-US"/>
              </w:rPr>
            </w:pPr>
            <w:r>
              <w:rPr>
                <w:rFonts w:ascii="Garamond" w:hAnsi="Garamond" w:cs="Arial"/>
                <w:color w:val="000000"/>
                <w:sz w:val="6"/>
                <w:szCs w:val="12"/>
                <w:lang w:eastAsia="en-US"/>
              </w:rPr>
              <w:t xml:space="preserve">Qendrat </w:t>
            </w:r>
            <w:r>
              <w:rPr>
                <w:rFonts w:ascii="Garamond" w:hAnsi="Garamond" w:cs="Arial"/>
                <w:color w:val="000000"/>
                <w:sz w:val="6"/>
                <w:szCs w:val="12"/>
                <w:lang w:eastAsia="en-US"/>
              </w:rPr>
              <w:br/>
              <w:t>112</w:t>
            </w:r>
            <w:r w:rsidR="00962754" w:rsidRPr="00B907A3">
              <w:rPr>
                <w:rFonts w:ascii="Garamond" w:hAnsi="Garamond" w:cs="Arial"/>
                <w:color w:val="000000"/>
                <w:sz w:val="6"/>
                <w:szCs w:val="12"/>
                <w:lang w:eastAsia="en-US"/>
              </w:rPr>
              <w:t>/127</w:t>
            </w:r>
          </w:p>
        </w:tc>
        <w:tc>
          <w:tcPr>
            <w:tcW w:w="367" w:type="dxa"/>
            <w:tcBorders>
              <w:top w:val="nil"/>
              <w:left w:val="nil"/>
              <w:bottom w:val="single" w:sz="4" w:space="0" w:color="auto"/>
              <w:right w:val="single" w:sz="8" w:space="0" w:color="auto"/>
            </w:tcBorders>
            <w:shd w:val="clear" w:color="auto" w:fill="auto"/>
            <w:hideMark/>
          </w:tcPr>
          <w:p w14:paraId="0728FF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2027-2028</w:t>
            </w:r>
          </w:p>
        </w:tc>
        <w:tc>
          <w:tcPr>
            <w:tcW w:w="372" w:type="dxa"/>
            <w:tcBorders>
              <w:top w:val="nil"/>
              <w:left w:val="nil"/>
              <w:bottom w:val="single" w:sz="4" w:space="0" w:color="auto"/>
              <w:right w:val="single" w:sz="4" w:space="0" w:color="auto"/>
            </w:tcBorders>
            <w:shd w:val="clear" w:color="auto" w:fill="auto"/>
            <w:hideMark/>
          </w:tcPr>
          <w:p w14:paraId="4AE9D62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7C973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567327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1AC0E4A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51096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186624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1A1F8E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DD660A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0445C88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42978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46128A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0658E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632B1F7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086291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862F5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7783E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B064F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C1FB68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27AAD3D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Firefighters’ procedures improved</w:t>
            </w:r>
          </w:p>
        </w:tc>
        <w:tc>
          <w:tcPr>
            <w:tcW w:w="442" w:type="dxa"/>
            <w:tcBorders>
              <w:top w:val="nil"/>
              <w:left w:val="nil"/>
              <w:bottom w:val="single" w:sz="4" w:space="0" w:color="auto"/>
              <w:right w:val="single" w:sz="4" w:space="0" w:color="auto"/>
            </w:tcBorders>
            <w:shd w:val="clear" w:color="000000" w:fill="FFFFFF"/>
            <w:hideMark/>
          </w:tcPr>
          <w:p w14:paraId="5F8D43FB" w14:textId="7A95BB21" w:rsidR="00962754" w:rsidRPr="00B907A3" w:rsidRDefault="00962754" w:rsidP="00DB76F6">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b</w:t>
            </w:r>
            <w:r w:rsidRPr="00B907A3">
              <w:rPr>
                <w:rFonts w:ascii="Garamond" w:hAnsi="Garamond" w:cs="Arial"/>
                <w:color w:val="000000"/>
                <w:sz w:val="6"/>
                <w:szCs w:val="12"/>
                <w:lang w:eastAsia="en-US"/>
              </w:rPr>
              <w:t>ashkit</w:t>
            </w:r>
            <w:r w:rsidR="00DB76F6">
              <w:rPr>
                <w:rFonts w:ascii="Garamond" w:hAnsi="Garamond" w:cs="Arial"/>
                <w:color w:val="000000"/>
                <w:sz w:val="6"/>
                <w:szCs w:val="12"/>
                <w:lang w:eastAsia="en-US"/>
              </w:rPr>
              <w:t>ve</w:t>
            </w:r>
          </w:p>
        </w:tc>
        <w:tc>
          <w:tcPr>
            <w:tcW w:w="287" w:type="dxa"/>
            <w:tcBorders>
              <w:top w:val="nil"/>
              <w:left w:val="nil"/>
              <w:bottom w:val="single" w:sz="4" w:space="0" w:color="auto"/>
              <w:right w:val="single" w:sz="8" w:space="0" w:color="auto"/>
            </w:tcBorders>
            <w:shd w:val="clear" w:color="000000" w:fill="FFFFFF"/>
            <w:hideMark/>
          </w:tcPr>
          <w:p w14:paraId="4975D7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8D7BD8E"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CFABD0C"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9D9D9"/>
            <w:hideMark/>
          </w:tcPr>
          <w:p w14:paraId="04F06B4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164FEC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hideMark/>
          </w:tcPr>
          <w:p w14:paraId="132106C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hideMark/>
          </w:tcPr>
          <w:p w14:paraId="750D9A4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25E50A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EC580D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hideMark/>
          </w:tcPr>
          <w:p w14:paraId="59EDE13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hideMark/>
          </w:tcPr>
          <w:p w14:paraId="15E71F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hideMark/>
          </w:tcPr>
          <w:p w14:paraId="5EBDD29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hideMark/>
          </w:tcPr>
          <w:p w14:paraId="334520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7E04938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5.1.5</w:t>
            </w:r>
            <w:r w:rsidRPr="00B907A3">
              <w:rPr>
                <w:rFonts w:ascii="Garamond" w:hAnsi="Garamond" w:cs="Arial"/>
                <w:b/>
                <w:bCs/>
                <w:color w:val="000000"/>
                <w:sz w:val="6"/>
                <w:szCs w:val="12"/>
                <w:lang w:eastAsia="en-US"/>
              </w:rPr>
              <w:br/>
              <w:t>Procedura standard për aktivizim të helikopterit në rast të aksidenteve rrugore, ngjarjesh në rrugë interurbane dhe maksiemergjenca. Rishikim dhe përmirësim sipas nevojës</w:t>
            </w:r>
          </w:p>
        </w:tc>
        <w:tc>
          <w:tcPr>
            <w:tcW w:w="520" w:type="dxa"/>
            <w:tcBorders>
              <w:top w:val="single" w:sz="4" w:space="0" w:color="auto"/>
              <w:left w:val="nil"/>
              <w:bottom w:val="single" w:sz="4" w:space="0" w:color="auto"/>
              <w:right w:val="single" w:sz="4" w:space="0" w:color="auto"/>
            </w:tcBorders>
            <w:shd w:val="clear" w:color="auto" w:fill="auto"/>
            <w:hideMark/>
          </w:tcPr>
          <w:p w14:paraId="109C58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 &amp; MM</w:t>
            </w:r>
          </w:p>
        </w:tc>
        <w:tc>
          <w:tcPr>
            <w:tcW w:w="512" w:type="dxa"/>
            <w:tcBorders>
              <w:top w:val="nil"/>
              <w:left w:val="nil"/>
              <w:bottom w:val="single" w:sz="4" w:space="0" w:color="auto"/>
              <w:right w:val="single" w:sz="4" w:space="0" w:color="auto"/>
            </w:tcBorders>
            <w:shd w:val="clear" w:color="auto" w:fill="auto"/>
            <w:hideMark/>
          </w:tcPr>
          <w:p w14:paraId="58F6DC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Qendrat 112/ 127 </w:t>
            </w:r>
          </w:p>
        </w:tc>
        <w:tc>
          <w:tcPr>
            <w:tcW w:w="367" w:type="dxa"/>
            <w:tcBorders>
              <w:top w:val="nil"/>
              <w:left w:val="nil"/>
              <w:bottom w:val="single" w:sz="4" w:space="0" w:color="auto"/>
              <w:right w:val="single" w:sz="8" w:space="0" w:color="auto"/>
            </w:tcBorders>
            <w:shd w:val="clear" w:color="auto" w:fill="auto"/>
            <w:hideMark/>
          </w:tcPr>
          <w:p w14:paraId="11687B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w:t>
            </w:r>
          </w:p>
        </w:tc>
        <w:tc>
          <w:tcPr>
            <w:tcW w:w="372" w:type="dxa"/>
            <w:tcBorders>
              <w:top w:val="nil"/>
              <w:left w:val="nil"/>
              <w:bottom w:val="single" w:sz="4" w:space="0" w:color="auto"/>
              <w:right w:val="single" w:sz="4" w:space="0" w:color="auto"/>
            </w:tcBorders>
            <w:shd w:val="clear" w:color="auto" w:fill="auto"/>
            <w:hideMark/>
          </w:tcPr>
          <w:p w14:paraId="704420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0AAEB8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81993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482CFA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09C86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0FEBFA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B0646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ACB206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0DA81D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586C6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E76D1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F5146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C05569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73D6F16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7F72E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0BC95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5DBCD5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30569E9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060EA9B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Shërbimi i helikopterëve është përmirësuar</w:t>
            </w:r>
          </w:p>
        </w:tc>
        <w:tc>
          <w:tcPr>
            <w:tcW w:w="442" w:type="dxa"/>
            <w:tcBorders>
              <w:top w:val="nil"/>
              <w:left w:val="nil"/>
              <w:bottom w:val="single" w:sz="4" w:space="0" w:color="auto"/>
              <w:right w:val="single" w:sz="4" w:space="0" w:color="auto"/>
            </w:tcBorders>
            <w:shd w:val="clear" w:color="000000" w:fill="FFFFFF"/>
            <w:hideMark/>
          </w:tcPr>
          <w:p w14:paraId="7B90FD42" w14:textId="33946CB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/MM</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0450C6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9EABA53"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20624766"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9D9D9"/>
            <w:hideMark/>
          </w:tcPr>
          <w:p w14:paraId="2A33465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0C1EF87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Sistem i krijuar dhe funksional për regjistrimin dhe monitorimin e treguesve kryesorë të performancës (KPI) për kujdesin pas aksidentit</w:t>
            </w:r>
          </w:p>
        </w:tc>
        <w:tc>
          <w:tcPr>
            <w:tcW w:w="470" w:type="dxa"/>
            <w:tcBorders>
              <w:top w:val="nil"/>
              <w:left w:val="nil"/>
              <w:bottom w:val="single" w:sz="4" w:space="0" w:color="auto"/>
              <w:right w:val="single" w:sz="4" w:space="0" w:color="auto"/>
            </w:tcBorders>
            <w:shd w:val="clear" w:color="auto" w:fill="auto"/>
            <w:hideMark/>
          </w:tcPr>
          <w:p w14:paraId="1B2E93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4" w:space="0" w:color="auto"/>
              <w:right w:val="single" w:sz="4" w:space="0" w:color="auto"/>
            </w:tcBorders>
            <w:shd w:val="clear" w:color="auto" w:fill="auto"/>
            <w:hideMark/>
          </w:tcPr>
          <w:p w14:paraId="64E9A7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w:t>
            </w:r>
          </w:p>
        </w:tc>
        <w:tc>
          <w:tcPr>
            <w:tcW w:w="366" w:type="dxa"/>
            <w:tcBorders>
              <w:top w:val="nil"/>
              <w:left w:val="nil"/>
              <w:bottom w:val="single" w:sz="4" w:space="0" w:color="auto"/>
              <w:right w:val="single" w:sz="4" w:space="0" w:color="auto"/>
            </w:tcBorders>
            <w:shd w:val="clear" w:color="auto" w:fill="auto"/>
            <w:hideMark/>
          </w:tcPr>
          <w:p w14:paraId="72D236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058CE44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091DA20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50DCB4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3E0BAF5B" w14:textId="2E6CDAA2"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615308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4979290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5.1.6</w:t>
            </w:r>
            <w:r w:rsidRPr="00B907A3">
              <w:rPr>
                <w:rFonts w:ascii="Garamond" w:hAnsi="Garamond" w:cs="Arial"/>
                <w:b/>
                <w:bCs/>
                <w:color w:val="000000"/>
                <w:sz w:val="6"/>
                <w:szCs w:val="12"/>
                <w:lang w:eastAsia="en-US"/>
              </w:rPr>
              <w:br/>
              <w:t>Regjistrimi dhe ndjekja e TKP-ve që lidhen me kujdesin pas aksidentit</w:t>
            </w:r>
          </w:p>
        </w:tc>
        <w:tc>
          <w:tcPr>
            <w:tcW w:w="520" w:type="dxa"/>
            <w:tcBorders>
              <w:top w:val="nil"/>
              <w:left w:val="nil"/>
              <w:bottom w:val="single" w:sz="4" w:space="0" w:color="auto"/>
              <w:right w:val="single" w:sz="4" w:space="0" w:color="auto"/>
            </w:tcBorders>
            <w:shd w:val="clear" w:color="auto" w:fill="auto"/>
            <w:hideMark/>
          </w:tcPr>
          <w:p w14:paraId="4827E34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MSHMS </w:t>
            </w:r>
          </w:p>
        </w:tc>
        <w:tc>
          <w:tcPr>
            <w:tcW w:w="512" w:type="dxa"/>
            <w:tcBorders>
              <w:top w:val="nil"/>
              <w:left w:val="nil"/>
              <w:bottom w:val="single" w:sz="4" w:space="0" w:color="auto"/>
              <w:right w:val="single" w:sz="4" w:space="0" w:color="auto"/>
            </w:tcBorders>
            <w:shd w:val="clear" w:color="auto" w:fill="auto"/>
            <w:hideMark/>
          </w:tcPr>
          <w:p w14:paraId="3D47370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IT</w:t>
            </w:r>
          </w:p>
        </w:tc>
        <w:tc>
          <w:tcPr>
            <w:tcW w:w="367" w:type="dxa"/>
            <w:tcBorders>
              <w:top w:val="nil"/>
              <w:left w:val="nil"/>
              <w:bottom w:val="single" w:sz="4" w:space="0" w:color="auto"/>
              <w:right w:val="single" w:sz="8" w:space="0" w:color="auto"/>
            </w:tcBorders>
            <w:shd w:val="clear" w:color="auto" w:fill="auto"/>
            <w:hideMark/>
          </w:tcPr>
          <w:p w14:paraId="701689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2BB6B53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1B52267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99B75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1C015FF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BCBE5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58218DE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A4EE2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5F4745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C2F898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56BC39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0E04BF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6724574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83460C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FFFFFF"/>
            <w:hideMark/>
          </w:tcPr>
          <w:p w14:paraId="0C70CDE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5E976E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727275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FFFFFF"/>
            <w:hideMark/>
          </w:tcPr>
          <w:p w14:paraId="2C06157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0715EA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1848F4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xml:space="preserve">TKP-të e regjistruara </w:t>
            </w:r>
          </w:p>
        </w:tc>
        <w:tc>
          <w:tcPr>
            <w:tcW w:w="442" w:type="dxa"/>
            <w:tcBorders>
              <w:top w:val="nil"/>
              <w:left w:val="nil"/>
              <w:bottom w:val="single" w:sz="4" w:space="0" w:color="auto"/>
              <w:right w:val="single" w:sz="4" w:space="0" w:color="auto"/>
            </w:tcBorders>
            <w:shd w:val="clear" w:color="000000" w:fill="FFFFFF"/>
            <w:hideMark/>
          </w:tcPr>
          <w:p w14:paraId="41E7F94B" w14:textId="601BB425"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7B537A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4C81889A"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0CBB82CB"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9D9D9"/>
            <w:vAlign w:val="center"/>
            <w:hideMark/>
          </w:tcPr>
          <w:p w14:paraId="7559EA8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1586E1B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728CC9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1E218FD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089737F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C49EB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AD964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70DF398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3EAFF4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7F4B31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D9D9D9"/>
            <w:vAlign w:val="center"/>
            <w:hideMark/>
          </w:tcPr>
          <w:p w14:paraId="02A75D2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69AD8FA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hideMark/>
          </w:tcPr>
          <w:p w14:paraId="426E29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1742DC4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B0922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88CB79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96C9E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1706DC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D36616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2A43A0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F7915F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34DB4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370302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098831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8E2CD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40005B9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68C7AF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4FA1486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796287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53E316E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9F32D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1124A8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464F78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71BF499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527654D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0A24847"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8494887" w14:textId="77777777" w:rsidTr="00962754">
        <w:trPr>
          <w:trHeight w:val="20"/>
        </w:trPr>
        <w:tc>
          <w:tcPr>
            <w:tcW w:w="718" w:type="dxa"/>
            <w:tcBorders>
              <w:top w:val="nil"/>
              <w:left w:val="single" w:sz="8" w:space="0" w:color="auto"/>
              <w:bottom w:val="nil"/>
              <w:right w:val="single" w:sz="4" w:space="0" w:color="auto"/>
            </w:tcBorders>
            <w:shd w:val="clear" w:color="000000" w:fill="D9D9D9"/>
            <w:hideMark/>
          </w:tcPr>
          <w:p w14:paraId="109565A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5.2</w:t>
            </w:r>
            <w:r w:rsidRPr="00B907A3">
              <w:rPr>
                <w:rFonts w:ascii="Garamond" w:hAnsi="Garamond" w:cs="Arial"/>
                <w:b/>
                <w:bCs/>
                <w:color w:val="000000"/>
                <w:sz w:val="6"/>
                <w:szCs w:val="12"/>
                <w:lang w:eastAsia="en-US"/>
              </w:rPr>
              <w:br/>
              <w:t>Përmirësimi i ekspertizës, kompetencës dhe trajnimit të personelit të shërbimit të emergjencës për veprim pas aksidenteve</w:t>
            </w:r>
          </w:p>
        </w:tc>
        <w:tc>
          <w:tcPr>
            <w:tcW w:w="571" w:type="dxa"/>
            <w:tcBorders>
              <w:top w:val="nil"/>
              <w:left w:val="nil"/>
              <w:bottom w:val="single" w:sz="4" w:space="0" w:color="auto"/>
              <w:right w:val="single" w:sz="4" w:space="0" w:color="auto"/>
            </w:tcBorders>
            <w:shd w:val="clear" w:color="auto" w:fill="auto"/>
            <w:hideMark/>
          </w:tcPr>
          <w:p w14:paraId="4E69DBE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Ekzistojnë programe trajnimi të standardizuara</w:t>
            </w:r>
          </w:p>
        </w:tc>
        <w:tc>
          <w:tcPr>
            <w:tcW w:w="470" w:type="dxa"/>
            <w:tcBorders>
              <w:top w:val="nil"/>
              <w:left w:val="nil"/>
              <w:bottom w:val="single" w:sz="4" w:space="0" w:color="auto"/>
              <w:right w:val="single" w:sz="4" w:space="0" w:color="auto"/>
            </w:tcBorders>
            <w:shd w:val="clear" w:color="auto" w:fill="auto"/>
            <w:hideMark/>
          </w:tcPr>
          <w:p w14:paraId="4E2659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4" w:space="0" w:color="auto"/>
              <w:right w:val="single" w:sz="4" w:space="0" w:color="auto"/>
            </w:tcBorders>
            <w:shd w:val="clear" w:color="auto" w:fill="auto"/>
            <w:hideMark/>
          </w:tcPr>
          <w:p w14:paraId="3043836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MSHMS/MPB/MM/Bashkitë</w:t>
            </w:r>
          </w:p>
        </w:tc>
        <w:tc>
          <w:tcPr>
            <w:tcW w:w="366" w:type="dxa"/>
            <w:tcBorders>
              <w:top w:val="nil"/>
              <w:left w:val="nil"/>
              <w:bottom w:val="single" w:sz="4" w:space="0" w:color="auto"/>
              <w:right w:val="single" w:sz="4" w:space="0" w:color="auto"/>
            </w:tcBorders>
            <w:shd w:val="clear" w:color="auto" w:fill="auto"/>
            <w:hideMark/>
          </w:tcPr>
          <w:p w14:paraId="2913BC7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7532CD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66" w:type="dxa"/>
            <w:tcBorders>
              <w:top w:val="nil"/>
              <w:left w:val="nil"/>
              <w:bottom w:val="single" w:sz="4" w:space="0" w:color="auto"/>
              <w:right w:val="single" w:sz="4" w:space="0" w:color="auto"/>
            </w:tcBorders>
            <w:shd w:val="clear" w:color="auto" w:fill="auto"/>
            <w:hideMark/>
          </w:tcPr>
          <w:p w14:paraId="38F8A87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359" w:type="dxa"/>
            <w:tcBorders>
              <w:top w:val="nil"/>
              <w:left w:val="nil"/>
              <w:bottom w:val="single" w:sz="4" w:space="0" w:color="auto"/>
              <w:right w:val="single" w:sz="4" w:space="0" w:color="auto"/>
            </w:tcBorders>
            <w:shd w:val="clear" w:color="auto" w:fill="auto"/>
            <w:hideMark/>
          </w:tcPr>
          <w:p w14:paraId="366337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1750DB96" w14:textId="206E4DF3"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00DB76F6" w:rsidRPr="00B907A3">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/MM</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1404BE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D9D9D9"/>
            <w:hideMark/>
          </w:tcPr>
          <w:p w14:paraId="1506057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5.2.1</w:t>
            </w:r>
            <w:r w:rsidRPr="00B907A3">
              <w:rPr>
                <w:rFonts w:ascii="Garamond" w:hAnsi="Garamond" w:cs="Arial"/>
                <w:b/>
                <w:bCs/>
                <w:color w:val="000000"/>
                <w:sz w:val="6"/>
                <w:szCs w:val="12"/>
                <w:lang w:eastAsia="en-US"/>
              </w:rPr>
              <w:br/>
              <w:t>Standardizimi i trajnimit për dhënien e ndihmës së parë të personelit mjekësor/policisë/zjarrfikësve në rast aksidentesh dhe kryerja e trajnimeve</w:t>
            </w:r>
          </w:p>
        </w:tc>
        <w:tc>
          <w:tcPr>
            <w:tcW w:w="520" w:type="dxa"/>
            <w:tcBorders>
              <w:top w:val="nil"/>
              <w:left w:val="nil"/>
              <w:bottom w:val="single" w:sz="4" w:space="0" w:color="auto"/>
              <w:right w:val="single" w:sz="4" w:space="0" w:color="auto"/>
            </w:tcBorders>
            <w:shd w:val="clear" w:color="auto" w:fill="auto"/>
            <w:hideMark/>
          </w:tcPr>
          <w:p w14:paraId="230B75A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MSHMS/MPB</w:t>
            </w:r>
          </w:p>
        </w:tc>
        <w:tc>
          <w:tcPr>
            <w:tcW w:w="512" w:type="dxa"/>
            <w:tcBorders>
              <w:top w:val="nil"/>
              <w:left w:val="nil"/>
              <w:bottom w:val="single" w:sz="4" w:space="0" w:color="auto"/>
              <w:right w:val="single" w:sz="4" w:space="0" w:color="auto"/>
            </w:tcBorders>
            <w:shd w:val="clear" w:color="auto" w:fill="auto"/>
            <w:hideMark/>
          </w:tcPr>
          <w:p w14:paraId="09AC501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127/ Bashkitë</w:t>
            </w:r>
          </w:p>
        </w:tc>
        <w:tc>
          <w:tcPr>
            <w:tcW w:w="367" w:type="dxa"/>
            <w:tcBorders>
              <w:top w:val="nil"/>
              <w:left w:val="nil"/>
              <w:bottom w:val="single" w:sz="4" w:space="0" w:color="auto"/>
              <w:right w:val="single" w:sz="8" w:space="0" w:color="auto"/>
            </w:tcBorders>
            <w:shd w:val="clear" w:color="auto" w:fill="auto"/>
            <w:hideMark/>
          </w:tcPr>
          <w:p w14:paraId="328981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w:t>
            </w:r>
          </w:p>
        </w:tc>
        <w:tc>
          <w:tcPr>
            <w:tcW w:w="372" w:type="dxa"/>
            <w:tcBorders>
              <w:top w:val="nil"/>
              <w:left w:val="nil"/>
              <w:bottom w:val="single" w:sz="4" w:space="0" w:color="auto"/>
              <w:right w:val="single" w:sz="4" w:space="0" w:color="auto"/>
            </w:tcBorders>
            <w:shd w:val="clear" w:color="auto" w:fill="auto"/>
            <w:hideMark/>
          </w:tcPr>
          <w:p w14:paraId="6045BAE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auto" w:fill="auto"/>
            <w:hideMark/>
          </w:tcPr>
          <w:p w14:paraId="6E207F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6FBE5E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753704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auto" w:fill="auto"/>
            <w:hideMark/>
          </w:tcPr>
          <w:p w14:paraId="5AC3FA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2B602A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3472D1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C98F73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350AD2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90EB50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4430EC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7B99D3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575BBF8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5CFE3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356B1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6FD382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040C5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6FF6060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4C51970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Trajnimi i standardizuar dhe i kryer</w:t>
            </w:r>
          </w:p>
        </w:tc>
        <w:tc>
          <w:tcPr>
            <w:tcW w:w="442" w:type="dxa"/>
            <w:tcBorders>
              <w:top w:val="nil"/>
              <w:left w:val="nil"/>
              <w:bottom w:val="single" w:sz="4" w:space="0" w:color="auto"/>
              <w:right w:val="single" w:sz="4" w:space="0" w:color="auto"/>
            </w:tcBorders>
            <w:shd w:val="clear" w:color="000000" w:fill="FFFFFF"/>
            <w:hideMark/>
          </w:tcPr>
          <w:p w14:paraId="711BBDC8" w14:textId="01E79FB5"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single" w:sz="4" w:space="0" w:color="auto"/>
              <w:right w:val="single" w:sz="8" w:space="0" w:color="auto"/>
            </w:tcBorders>
            <w:shd w:val="clear" w:color="000000" w:fill="FFFFFF"/>
            <w:hideMark/>
          </w:tcPr>
          <w:p w14:paraId="504CA4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74EE238"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697D731C"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D9D9D9"/>
            <w:vAlign w:val="center"/>
            <w:hideMark/>
          </w:tcPr>
          <w:p w14:paraId="4E700FC6"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3C1A09A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4DF032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12C061F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797A7D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6B1CF48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50DEBD5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0C12465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34203C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53AFD2B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D9D9D9"/>
            <w:vAlign w:val="center"/>
            <w:hideMark/>
          </w:tcPr>
          <w:p w14:paraId="1B33CC0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hideMark/>
          </w:tcPr>
          <w:p w14:paraId="2D27646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auto" w:fill="auto"/>
            <w:hideMark/>
          </w:tcPr>
          <w:p w14:paraId="5B43121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hideMark/>
          </w:tcPr>
          <w:p w14:paraId="371ACEC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A7CA0B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3A2F15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3B52FB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981AD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7EF724D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6A4E139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50536C7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2B73EE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19A2366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7F0D85E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44D7A8A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206D89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254C38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hideMark/>
          </w:tcPr>
          <w:p w14:paraId="781B3F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hideMark/>
          </w:tcPr>
          <w:p w14:paraId="485255D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19B40C6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hideMark/>
          </w:tcPr>
          <w:p w14:paraId="2B4D53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508D99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634E8F4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57DB0DB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09AA733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B139664"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D905CDC" w14:textId="77777777" w:rsidTr="00962754">
        <w:trPr>
          <w:trHeight w:val="20"/>
        </w:trPr>
        <w:tc>
          <w:tcPr>
            <w:tcW w:w="718" w:type="dxa"/>
            <w:tcBorders>
              <w:top w:val="nil"/>
              <w:left w:val="single" w:sz="8" w:space="0" w:color="auto"/>
              <w:bottom w:val="nil"/>
              <w:right w:val="single" w:sz="4" w:space="0" w:color="auto"/>
            </w:tcBorders>
            <w:shd w:val="clear" w:color="000000" w:fill="D9D9D9"/>
            <w:hideMark/>
          </w:tcPr>
          <w:p w14:paraId="0CB5F1E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5.3</w:t>
            </w:r>
            <w:r w:rsidRPr="00B907A3">
              <w:rPr>
                <w:rFonts w:ascii="Garamond" w:hAnsi="Garamond" w:cs="Arial"/>
                <w:b/>
                <w:bCs/>
                <w:color w:val="000000"/>
                <w:sz w:val="6"/>
                <w:szCs w:val="12"/>
                <w:lang w:eastAsia="en-US"/>
              </w:rPr>
              <w:br/>
              <w:t>Përmirësimi i regjistrave të spitaleve dhe komunikimi me Policinë Rrugore në lidhje me pacientët e përfshirë në aksidente</w:t>
            </w:r>
          </w:p>
        </w:tc>
        <w:tc>
          <w:tcPr>
            <w:tcW w:w="571" w:type="dxa"/>
            <w:tcBorders>
              <w:top w:val="nil"/>
              <w:left w:val="nil"/>
              <w:bottom w:val="single" w:sz="4" w:space="0" w:color="auto"/>
              <w:right w:val="single" w:sz="4" w:space="0" w:color="auto"/>
            </w:tcBorders>
            <w:shd w:val="clear" w:color="auto" w:fill="auto"/>
            <w:hideMark/>
          </w:tcPr>
          <w:p w14:paraId="3B0D36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Përmirësimi i procedurave për mbledhjen dhe shkëmbimin e të dhënave ndërmjet shërbimeve të emergjencës, spitaleve dhe Policisë Rrugore</w:t>
            </w:r>
          </w:p>
        </w:tc>
        <w:tc>
          <w:tcPr>
            <w:tcW w:w="470" w:type="dxa"/>
            <w:tcBorders>
              <w:top w:val="nil"/>
              <w:left w:val="nil"/>
              <w:bottom w:val="single" w:sz="4" w:space="0" w:color="auto"/>
              <w:right w:val="single" w:sz="4" w:space="0" w:color="auto"/>
            </w:tcBorders>
            <w:shd w:val="clear" w:color="auto" w:fill="auto"/>
            <w:hideMark/>
          </w:tcPr>
          <w:p w14:paraId="04EFDC3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4" w:space="0" w:color="auto"/>
              <w:right w:val="single" w:sz="4" w:space="0" w:color="auto"/>
            </w:tcBorders>
            <w:shd w:val="clear" w:color="auto" w:fill="auto"/>
            <w:hideMark/>
          </w:tcPr>
          <w:p w14:paraId="00DEC63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w:t>
            </w:r>
          </w:p>
        </w:tc>
        <w:tc>
          <w:tcPr>
            <w:tcW w:w="366" w:type="dxa"/>
            <w:tcBorders>
              <w:top w:val="nil"/>
              <w:left w:val="nil"/>
              <w:bottom w:val="single" w:sz="4" w:space="0" w:color="auto"/>
              <w:right w:val="single" w:sz="4" w:space="0" w:color="auto"/>
            </w:tcBorders>
            <w:shd w:val="clear" w:color="auto" w:fill="auto"/>
            <w:hideMark/>
          </w:tcPr>
          <w:p w14:paraId="7D6665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5C44303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3EFB5EB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nil"/>
              <w:left w:val="nil"/>
              <w:bottom w:val="single" w:sz="4" w:space="0" w:color="auto"/>
              <w:right w:val="single" w:sz="4" w:space="0" w:color="auto"/>
            </w:tcBorders>
            <w:shd w:val="clear" w:color="auto" w:fill="auto"/>
            <w:hideMark/>
          </w:tcPr>
          <w:p w14:paraId="4C6D620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1B57892E" w14:textId="42B1340D"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0836783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single" w:sz="8" w:space="0" w:color="auto"/>
              <w:bottom w:val="nil"/>
              <w:right w:val="single" w:sz="4" w:space="0" w:color="auto"/>
            </w:tcBorders>
            <w:shd w:val="clear" w:color="000000" w:fill="D9D9D9"/>
            <w:hideMark/>
          </w:tcPr>
          <w:p w14:paraId="2CAF7D6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xml:space="preserve">5.3.1 </w:t>
            </w:r>
            <w:r w:rsidRPr="00B907A3">
              <w:rPr>
                <w:rFonts w:ascii="Garamond" w:hAnsi="Garamond" w:cs="Arial"/>
                <w:b/>
                <w:bCs/>
                <w:color w:val="000000"/>
                <w:sz w:val="6"/>
                <w:szCs w:val="12"/>
                <w:lang w:eastAsia="en-US"/>
              </w:rPr>
              <w:br/>
              <w:t>Procedura të përmirësuara për mbledhjen e të dhënave mbi dëmtimet nga aksidentet rrugore në spitale dhe shkëmbimin e tyre me shërbimet e emergjencës dhe Policinë Rrugore, duke përfshirë shkallën e dëmtimeve MAIS3+</w:t>
            </w:r>
          </w:p>
        </w:tc>
        <w:tc>
          <w:tcPr>
            <w:tcW w:w="520" w:type="dxa"/>
            <w:tcBorders>
              <w:top w:val="nil"/>
              <w:left w:val="nil"/>
              <w:bottom w:val="single" w:sz="4" w:space="0" w:color="auto"/>
              <w:right w:val="single" w:sz="4" w:space="0" w:color="auto"/>
            </w:tcBorders>
            <w:shd w:val="clear" w:color="auto" w:fill="auto"/>
            <w:hideMark/>
          </w:tcPr>
          <w:p w14:paraId="636B7A1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w:t>
            </w:r>
          </w:p>
        </w:tc>
        <w:tc>
          <w:tcPr>
            <w:tcW w:w="512" w:type="dxa"/>
            <w:tcBorders>
              <w:top w:val="nil"/>
              <w:left w:val="nil"/>
              <w:bottom w:val="nil"/>
              <w:right w:val="single" w:sz="4" w:space="0" w:color="auto"/>
            </w:tcBorders>
            <w:shd w:val="clear" w:color="auto" w:fill="auto"/>
            <w:hideMark/>
          </w:tcPr>
          <w:p w14:paraId="2D37A6B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MPB/PRr,</w:t>
            </w:r>
            <w:r w:rsidRPr="00B907A3">
              <w:rPr>
                <w:rFonts w:ascii="Garamond" w:hAnsi="Garamond" w:cs="Arial"/>
                <w:color w:val="000000"/>
                <w:sz w:val="6"/>
                <w:szCs w:val="12"/>
                <w:lang w:eastAsia="en-US"/>
              </w:rPr>
              <w:br/>
              <w:t>AKSHI</w:t>
            </w:r>
          </w:p>
        </w:tc>
        <w:tc>
          <w:tcPr>
            <w:tcW w:w="367" w:type="dxa"/>
            <w:tcBorders>
              <w:top w:val="nil"/>
              <w:left w:val="nil"/>
              <w:bottom w:val="single" w:sz="4" w:space="0" w:color="auto"/>
              <w:right w:val="single" w:sz="8" w:space="0" w:color="auto"/>
            </w:tcBorders>
            <w:shd w:val="clear" w:color="auto" w:fill="auto"/>
            <w:hideMark/>
          </w:tcPr>
          <w:p w14:paraId="4B0467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2027-2029</w:t>
            </w:r>
          </w:p>
        </w:tc>
        <w:tc>
          <w:tcPr>
            <w:tcW w:w="372" w:type="dxa"/>
            <w:tcBorders>
              <w:top w:val="nil"/>
              <w:left w:val="nil"/>
              <w:bottom w:val="single" w:sz="4" w:space="0" w:color="auto"/>
              <w:right w:val="single" w:sz="4" w:space="0" w:color="auto"/>
            </w:tcBorders>
            <w:shd w:val="clear" w:color="auto" w:fill="auto"/>
            <w:hideMark/>
          </w:tcPr>
          <w:p w14:paraId="02F3D3A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72" w:type="dxa"/>
            <w:tcBorders>
              <w:top w:val="nil"/>
              <w:left w:val="nil"/>
              <w:bottom w:val="single" w:sz="4" w:space="0" w:color="auto"/>
              <w:right w:val="single" w:sz="4" w:space="0" w:color="auto"/>
            </w:tcBorders>
            <w:shd w:val="clear" w:color="auto" w:fill="auto"/>
            <w:hideMark/>
          </w:tcPr>
          <w:p w14:paraId="5F0C19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6E427B9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618" w:type="dxa"/>
            <w:tcBorders>
              <w:top w:val="nil"/>
              <w:left w:val="nil"/>
              <w:bottom w:val="single" w:sz="4" w:space="0" w:color="auto"/>
              <w:right w:val="single" w:sz="4" w:space="0" w:color="auto"/>
            </w:tcBorders>
            <w:shd w:val="clear" w:color="auto" w:fill="auto"/>
            <w:hideMark/>
          </w:tcPr>
          <w:p w14:paraId="078C03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2174251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605" w:type="dxa"/>
            <w:tcBorders>
              <w:top w:val="nil"/>
              <w:left w:val="nil"/>
              <w:bottom w:val="single" w:sz="4" w:space="0" w:color="auto"/>
              <w:right w:val="single" w:sz="8" w:space="0" w:color="auto"/>
            </w:tcBorders>
            <w:shd w:val="clear" w:color="auto" w:fill="auto"/>
            <w:hideMark/>
          </w:tcPr>
          <w:p w14:paraId="7FC073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50A5EF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72" w:type="dxa"/>
            <w:tcBorders>
              <w:top w:val="nil"/>
              <w:left w:val="nil"/>
              <w:bottom w:val="single" w:sz="4" w:space="0" w:color="auto"/>
              <w:right w:val="single" w:sz="4" w:space="0" w:color="auto"/>
            </w:tcBorders>
            <w:shd w:val="clear" w:color="auto" w:fill="auto"/>
            <w:hideMark/>
          </w:tcPr>
          <w:p w14:paraId="49E9E7D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2D70399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82" w:type="dxa"/>
            <w:tcBorders>
              <w:top w:val="nil"/>
              <w:left w:val="nil"/>
              <w:bottom w:val="single" w:sz="4" w:space="0" w:color="auto"/>
              <w:right w:val="single" w:sz="4" w:space="0" w:color="auto"/>
            </w:tcBorders>
            <w:shd w:val="clear" w:color="auto" w:fill="auto"/>
            <w:hideMark/>
          </w:tcPr>
          <w:p w14:paraId="455D18F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1F93726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69" w:type="dxa"/>
            <w:tcBorders>
              <w:top w:val="nil"/>
              <w:left w:val="nil"/>
              <w:bottom w:val="single" w:sz="4" w:space="0" w:color="auto"/>
              <w:right w:val="single" w:sz="8" w:space="0" w:color="auto"/>
            </w:tcBorders>
            <w:shd w:val="clear" w:color="auto" w:fill="auto"/>
            <w:hideMark/>
          </w:tcPr>
          <w:p w14:paraId="7699B05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010FC7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2500</w:t>
            </w:r>
          </w:p>
        </w:tc>
        <w:tc>
          <w:tcPr>
            <w:tcW w:w="372" w:type="dxa"/>
            <w:tcBorders>
              <w:top w:val="nil"/>
              <w:left w:val="nil"/>
              <w:bottom w:val="single" w:sz="4" w:space="0" w:color="auto"/>
              <w:right w:val="single" w:sz="4" w:space="0" w:color="auto"/>
            </w:tcBorders>
            <w:shd w:val="clear" w:color="auto" w:fill="auto"/>
            <w:hideMark/>
          </w:tcPr>
          <w:p w14:paraId="5570485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auto" w:fill="auto"/>
            <w:hideMark/>
          </w:tcPr>
          <w:p w14:paraId="4F9498D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2500</w:t>
            </w:r>
          </w:p>
        </w:tc>
        <w:tc>
          <w:tcPr>
            <w:tcW w:w="382" w:type="dxa"/>
            <w:tcBorders>
              <w:top w:val="nil"/>
              <w:left w:val="nil"/>
              <w:bottom w:val="single" w:sz="4" w:space="0" w:color="auto"/>
              <w:right w:val="single" w:sz="4" w:space="0" w:color="auto"/>
            </w:tcBorders>
            <w:shd w:val="clear" w:color="auto" w:fill="auto"/>
            <w:hideMark/>
          </w:tcPr>
          <w:p w14:paraId="12B81D8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C51074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hideMark/>
          </w:tcPr>
          <w:p w14:paraId="0B90FC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2500</w:t>
            </w:r>
          </w:p>
        </w:tc>
        <w:tc>
          <w:tcPr>
            <w:tcW w:w="464" w:type="dxa"/>
            <w:tcBorders>
              <w:top w:val="nil"/>
              <w:left w:val="nil"/>
              <w:bottom w:val="single" w:sz="4" w:space="0" w:color="auto"/>
              <w:right w:val="single" w:sz="4" w:space="0" w:color="auto"/>
            </w:tcBorders>
            <w:shd w:val="clear" w:color="000000" w:fill="FFFFFF"/>
            <w:hideMark/>
          </w:tcPr>
          <w:p w14:paraId="543BF51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Procedurat për mbledhjen dhe shkëmbimin e të dhënave të lidhura me aksidentet janë përmirësuar dhe është prezantuar shkalla e dëmtimeve MAIS3+</w:t>
            </w:r>
          </w:p>
        </w:tc>
        <w:tc>
          <w:tcPr>
            <w:tcW w:w="442" w:type="dxa"/>
            <w:tcBorders>
              <w:top w:val="nil"/>
              <w:left w:val="nil"/>
              <w:bottom w:val="single" w:sz="4" w:space="0" w:color="auto"/>
              <w:right w:val="single" w:sz="4" w:space="0" w:color="auto"/>
            </w:tcBorders>
            <w:shd w:val="clear" w:color="000000" w:fill="FFFFFF"/>
            <w:hideMark/>
          </w:tcPr>
          <w:p w14:paraId="1B362975" w14:textId="2DE688F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nil"/>
              <w:left w:val="nil"/>
              <w:bottom w:val="nil"/>
              <w:right w:val="single" w:sz="8" w:space="0" w:color="auto"/>
            </w:tcBorders>
            <w:shd w:val="clear" w:color="000000" w:fill="FFFFFF"/>
            <w:hideMark/>
          </w:tcPr>
          <w:p w14:paraId="07E1268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638FC549"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1F02FB46" w14:textId="77777777" w:rsidTr="00962754">
        <w:trPr>
          <w:trHeight w:val="20"/>
        </w:trPr>
        <w:tc>
          <w:tcPr>
            <w:tcW w:w="718" w:type="dxa"/>
            <w:tcBorders>
              <w:top w:val="single" w:sz="4" w:space="0" w:color="auto"/>
              <w:left w:val="single" w:sz="8" w:space="0" w:color="auto"/>
              <w:bottom w:val="single" w:sz="4" w:space="0" w:color="auto"/>
              <w:right w:val="single" w:sz="4" w:space="0" w:color="auto"/>
            </w:tcBorders>
            <w:shd w:val="clear" w:color="000000" w:fill="D9D9D9"/>
            <w:hideMark/>
          </w:tcPr>
          <w:p w14:paraId="4647278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hideMark/>
          </w:tcPr>
          <w:p w14:paraId="32C379EC" w14:textId="5AA5A70B"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Përmirësimi i bashkëpunimit dhe komunikimit për shkëmbimin e të dhënave të aksidenteve midis shërbimit spitalor dhe policisë</w:t>
            </w:r>
            <w:r w:rsidR="00887CC6">
              <w:rPr>
                <w:rFonts w:ascii="Garamond" w:hAnsi="Garamond" w:cs="Arial"/>
                <w:color w:val="000000"/>
                <w:sz w:val="6"/>
                <w:szCs w:val="12"/>
                <w:lang w:eastAsia="en-US"/>
              </w:rPr>
              <w:t xml:space="preserve"> </w:t>
            </w:r>
            <w:r w:rsidRPr="00B907A3">
              <w:rPr>
                <w:rFonts w:ascii="Garamond" w:hAnsi="Garamond" w:cs="Arial"/>
                <w:color w:val="000000"/>
                <w:sz w:val="6"/>
                <w:szCs w:val="12"/>
                <w:lang w:eastAsia="en-US"/>
              </w:rPr>
              <w:t>(2 projekte pilot)</w:t>
            </w:r>
          </w:p>
        </w:tc>
        <w:tc>
          <w:tcPr>
            <w:tcW w:w="470" w:type="dxa"/>
            <w:tcBorders>
              <w:top w:val="nil"/>
              <w:left w:val="nil"/>
              <w:bottom w:val="single" w:sz="4" w:space="0" w:color="auto"/>
              <w:right w:val="single" w:sz="4" w:space="0" w:color="auto"/>
            </w:tcBorders>
            <w:shd w:val="clear" w:color="auto" w:fill="auto"/>
            <w:hideMark/>
          </w:tcPr>
          <w:p w14:paraId="102928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Po/Jo/ Pjesërisht</w:t>
            </w:r>
          </w:p>
        </w:tc>
        <w:tc>
          <w:tcPr>
            <w:tcW w:w="668" w:type="dxa"/>
            <w:tcBorders>
              <w:top w:val="nil"/>
              <w:left w:val="nil"/>
              <w:bottom w:val="single" w:sz="4" w:space="0" w:color="auto"/>
              <w:right w:val="single" w:sz="4" w:space="0" w:color="auto"/>
            </w:tcBorders>
            <w:shd w:val="clear" w:color="auto" w:fill="auto"/>
            <w:hideMark/>
          </w:tcPr>
          <w:p w14:paraId="1601BC3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 MPB/PRr</w:t>
            </w:r>
          </w:p>
        </w:tc>
        <w:tc>
          <w:tcPr>
            <w:tcW w:w="366" w:type="dxa"/>
            <w:tcBorders>
              <w:top w:val="nil"/>
              <w:left w:val="nil"/>
              <w:bottom w:val="single" w:sz="4" w:space="0" w:color="auto"/>
              <w:right w:val="single" w:sz="4" w:space="0" w:color="auto"/>
            </w:tcBorders>
            <w:shd w:val="clear" w:color="auto" w:fill="auto"/>
            <w:hideMark/>
          </w:tcPr>
          <w:p w14:paraId="5B9D53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Jo</w:t>
            </w:r>
          </w:p>
        </w:tc>
        <w:tc>
          <w:tcPr>
            <w:tcW w:w="366" w:type="dxa"/>
            <w:tcBorders>
              <w:top w:val="nil"/>
              <w:left w:val="nil"/>
              <w:bottom w:val="single" w:sz="4" w:space="0" w:color="auto"/>
              <w:right w:val="single" w:sz="4" w:space="0" w:color="auto"/>
            </w:tcBorders>
            <w:shd w:val="clear" w:color="auto" w:fill="auto"/>
            <w:hideMark/>
          </w:tcPr>
          <w:p w14:paraId="3D91B75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66" w:type="dxa"/>
            <w:tcBorders>
              <w:top w:val="nil"/>
              <w:left w:val="nil"/>
              <w:bottom w:val="single" w:sz="4" w:space="0" w:color="auto"/>
              <w:right w:val="single" w:sz="4" w:space="0" w:color="auto"/>
            </w:tcBorders>
            <w:shd w:val="clear" w:color="auto" w:fill="auto"/>
            <w:hideMark/>
          </w:tcPr>
          <w:p w14:paraId="1A32926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Pjesërisht</w:t>
            </w:r>
          </w:p>
        </w:tc>
        <w:tc>
          <w:tcPr>
            <w:tcW w:w="359" w:type="dxa"/>
            <w:tcBorders>
              <w:top w:val="nil"/>
              <w:left w:val="nil"/>
              <w:bottom w:val="single" w:sz="4" w:space="0" w:color="auto"/>
              <w:right w:val="single" w:sz="4" w:space="0" w:color="auto"/>
            </w:tcBorders>
            <w:shd w:val="clear" w:color="auto" w:fill="auto"/>
            <w:hideMark/>
          </w:tcPr>
          <w:p w14:paraId="2127CD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Po</w:t>
            </w:r>
          </w:p>
        </w:tc>
        <w:tc>
          <w:tcPr>
            <w:tcW w:w="525" w:type="dxa"/>
            <w:tcBorders>
              <w:top w:val="nil"/>
              <w:left w:val="nil"/>
              <w:bottom w:val="single" w:sz="4" w:space="0" w:color="auto"/>
              <w:right w:val="single" w:sz="8" w:space="0" w:color="auto"/>
            </w:tcBorders>
            <w:shd w:val="clear" w:color="auto" w:fill="auto"/>
            <w:hideMark/>
          </w:tcPr>
          <w:p w14:paraId="0EF98A1C" w14:textId="53B9DE99"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 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/PRr</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36" w:type="dxa"/>
            <w:tcBorders>
              <w:top w:val="nil"/>
              <w:left w:val="nil"/>
              <w:bottom w:val="single" w:sz="4" w:space="0" w:color="auto"/>
              <w:right w:val="nil"/>
            </w:tcBorders>
            <w:shd w:val="clear" w:color="000000" w:fill="EE0000"/>
            <w:hideMark/>
          </w:tcPr>
          <w:p w14:paraId="16340BB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nil"/>
              <w:right w:val="single" w:sz="4" w:space="0" w:color="auto"/>
            </w:tcBorders>
            <w:shd w:val="clear" w:color="000000" w:fill="D9D9D9"/>
            <w:hideMark/>
          </w:tcPr>
          <w:p w14:paraId="65B175F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5.3.2</w:t>
            </w:r>
            <w:r w:rsidRPr="00B907A3">
              <w:rPr>
                <w:rFonts w:ascii="Garamond" w:hAnsi="Garamond" w:cs="Arial"/>
                <w:b/>
                <w:bCs/>
                <w:color w:val="000000"/>
                <w:sz w:val="6"/>
                <w:szCs w:val="12"/>
                <w:lang w:eastAsia="en-US"/>
              </w:rPr>
              <w:br/>
              <w:t>Përmirësimi dhe standardizimi i sistemit të rregullt të komunikimit ndërmjet spitaleve dhe Policisë Rrugore (i testuar në 2 projekte pilot)</w:t>
            </w:r>
          </w:p>
        </w:tc>
        <w:tc>
          <w:tcPr>
            <w:tcW w:w="520" w:type="dxa"/>
            <w:tcBorders>
              <w:top w:val="nil"/>
              <w:left w:val="nil"/>
              <w:bottom w:val="single" w:sz="4" w:space="0" w:color="auto"/>
              <w:right w:val="single" w:sz="4" w:space="0" w:color="auto"/>
            </w:tcBorders>
            <w:shd w:val="clear" w:color="auto" w:fill="auto"/>
            <w:hideMark/>
          </w:tcPr>
          <w:p w14:paraId="640872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MSHMS/ MPB/PR</w:t>
            </w:r>
          </w:p>
        </w:tc>
        <w:tc>
          <w:tcPr>
            <w:tcW w:w="512" w:type="dxa"/>
            <w:tcBorders>
              <w:top w:val="single" w:sz="4" w:space="0" w:color="auto"/>
              <w:left w:val="nil"/>
              <w:bottom w:val="nil"/>
              <w:right w:val="single" w:sz="4" w:space="0" w:color="auto"/>
            </w:tcBorders>
            <w:shd w:val="clear" w:color="auto" w:fill="auto"/>
            <w:hideMark/>
          </w:tcPr>
          <w:p w14:paraId="3315FCC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ISHP,</w:t>
            </w:r>
            <w:r w:rsidRPr="00B907A3">
              <w:rPr>
                <w:rFonts w:ascii="Garamond" w:hAnsi="Garamond" w:cs="Arial"/>
                <w:color w:val="000000"/>
                <w:sz w:val="6"/>
                <w:szCs w:val="12"/>
                <w:lang w:eastAsia="en-US"/>
              </w:rPr>
              <w:br/>
              <w:t>AKSHI</w:t>
            </w:r>
          </w:p>
        </w:tc>
        <w:tc>
          <w:tcPr>
            <w:tcW w:w="367" w:type="dxa"/>
            <w:tcBorders>
              <w:top w:val="nil"/>
              <w:left w:val="nil"/>
              <w:bottom w:val="single" w:sz="4" w:space="0" w:color="auto"/>
              <w:right w:val="single" w:sz="8" w:space="0" w:color="auto"/>
            </w:tcBorders>
            <w:shd w:val="clear" w:color="auto" w:fill="auto"/>
            <w:hideMark/>
          </w:tcPr>
          <w:p w14:paraId="6D8FC52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2028-2029</w:t>
            </w:r>
          </w:p>
        </w:tc>
        <w:tc>
          <w:tcPr>
            <w:tcW w:w="372" w:type="dxa"/>
            <w:tcBorders>
              <w:top w:val="nil"/>
              <w:left w:val="nil"/>
              <w:bottom w:val="nil"/>
              <w:right w:val="single" w:sz="4" w:space="0" w:color="auto"/>
            </w:tcBorders>
            <w:shd w:val="clear" w:color="auto" w:fill="auto"/>
            <w:hideMark/>
          </w:tcPr>
          <w:p w14:paraId="3F8B0EA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single" w:sz="4" w:space="0" w:color="auto"/>
            </w:tcBorders>
            <w:shd w:val="clear" w:color="auto" w:fill="auto"/>
            <w:hideMark/>
          </w:tcPr>
          <w:p w14:paraId="54BD2F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hideMark/>
          </w:tcPr>
          <w:p w14:paraId="78DF81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31861CE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hideMark/>
          </w:tcPr>
          <w:p w14:paraId="010FC27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hideMark/>
          </w:tcPr>
          <w:p w14:paraId="54A4A6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4B85F15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6C897CF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24" w:type="dxa"/>
            <w:tcBorders>
              <w:top w:val="nil"/>
              <w:left w:val="nil"/>
              <w:bottom w:val="single" w:sz="4" w:space="0" w:color="auto"/>
              <w:right w:val="single" w:sz="4" w:space="0" w:color="auto"/>
            </w:tcBorders>
            <w:shd w:val="clear" w:color="auto" w:fill="auto"/>
            <w:hideMark/>
          </w:tcPr>
          <w:p w14:paraId="718CC79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82" w:type="dxa"/>
            <w:tcBorders>
              <w:top w:val="nil"/>
              <w:left w:val="nil"/>
              <w:bottom w:val="single" w:sz="4" w:space="0" w:color="auto"/>
              <w:right w:val="single" w:sz="4" w:space="0" w:color="auto"/>
            </w:tcBorders>
            <w:shd w:val="clear" w:color="auto" w:fill="auto"/>
            <w:hideMark/>
          </w:tcPr>
          <w:p w14:paraId="40D178A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3F0F145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69" w:type="dxa"/>
            <w:tcBorders>
              <w:top w:val="nil"/>
              <w:left w:val="nil"/>
              <w:bottom w:val="single" w:sz="4" w:space="0" w:color="auto"/>
              <w:right w:val="single" w:sz="8" w:space="0" w:color="auto"/>
            </w:tcBorders>
            <w:shd w:val="clear" w:color="auto" w:fill="auto"/>
            <w:hideMark/>
          </w:tcPr>
          <w:p w14:paraId="408CD7E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7643818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hideMark/>
          </w:tcPr>
          <w:p w14:paraId="16CCCBE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24" w:type="dxa"/>
            <w:tcBorders>
              <w:top w:val="nil"/>
              <w:left w:val="nil"/>
              <w:bottom w:val="single" w:sz="4" w:space="0" w:color="auto"/>
              <w:right w:val="single" w:sz="4" w:space="0" w:color="auto"/>
            </w:tcBorders>
            <w:shd w:val="clear" w:color="auto" w:fill="auto"/>
            <w:hideMark/>
          </w:tcPr>
          <w:p w14:paraId="49B6DE57"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82" w:type="dxa"/>
            <w:tcBorders>
              <w:top w:val="nil"/>
              <w:left w:val="nil"/>
              <w:bottom w:val="single" w:sz="4" w:space="0" w:color="auto"/>
              <w:right w:val="single" w:sz="4" w:space="0" w:color="auto"/>
            </w:tcBorders>
            <w:shd w:val="clear" w:color="auto" w:fill="auto"/>
            <w:hideMark/>
          </w:tcPr>
          <w:p w14:paraId="077C9AC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auto" w:fill="auto"/>
            <w:hideMark/>
          </w:tcPr>
          <w:p w14:paraId="5249AE3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69" w:type="dxa"/>
            <w:tcBorders>
              <w:top w:val="nil"/>
              <w:left w:val="nil"/>
              <w:bottom w:val="single" w:sz="4" w:space="0" w:color="auto"/>
              <w:right w:val="single" w:sz="8" w:space="0" w:color="auto"/>
            </w:tcBorders>
            <w:shd w:val="clear" w:color="000000" w:fill="FFFFFF"/>
            <w:hideMark/>
          </w:tcPr>
          <w:p w14:paraId="6FAD2E1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64" w:type="dxa"/>
            <w:tcBorders>
              <w:top w:val="nil"/>
              <w:left w:val="nil"/>
              <w:bottom w:val="single" w:sz="4" w:space="0" w:color="auto"/>
              <w:right w:val="single" w:sz="4" w:space="0" w:color="auto"/>
            </w:tcBorders>
            <w:shd w:val="clear" w:color="000000" w:fill="FFFFFF"/>
            <w:hideMark/>
          </w:tcPr>
          <w:p w14:paraId="61CF59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Shkëmbimi i të dhënave MSHMS-MPB/PRr në funksion në 2 spitale</w:t>
            </w:r>
          </w:p>
        </w:tc>
        <w:tc>
          <w:tcPr>
            <w:tcW w:w="442" w:type="dxa"/>
            <w:tcBorders>
              <w:top w:val="nil"/>
              <w:left w:val="nil"/>
              <w:bottom w:val="single" w:sz="4" w:space="0" w:color="auto"/>
              <w:right w:val="single" w:sz="4" w:space="0" w:color="auto"/>
            </w:tcBorders>
            <w:shd w:val="clear" w:color="000000" w:fill="FFFFFF"/>
            <w:hideMark/>
          </w:tcPr>
          <w:p w14:paraId="6AAFB914" w14:textId="25705ADA"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Raportimi i MSHMS</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MPB</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r w:rsidRPr="00B907A3">
              <w:rPr>
                <w:rFonts w:ascii="Garamond" w:hAnsi="Garamond" w:cs="Arial"/>
                <w:color w:val="000000"/>
                <w:sz w:val="6"/>
                <w:szCs w:val="12"/>
                <w:lang w:eastAsia="en-US"/>
              </w:rPr>
              <w:t>/PT</w:t>
            </w:r>
            <w:r w:rsidR="00DB76F6" w:rsidRPr="00B907A3">
              <w:rPr>
                <w:rFonts w:ascii="Garamond" w:hAnsi="Garamond" w:cs="Arial"/>
                <w:color w:val="000000"/>
                <w:sz w:val="6"/>
                <w:szCs w:val="12"/>
                <w:lang w:eastAsia="en-US"/>
              </w:rPr>
              <w:t>-</w:t>
            </w:r>
            <w:r w:rsidR="00DB76F6">
              <w:rPr>
                <w:rFonts w:ascii="Garamond" w:hAnsi="Garamond" w:cs="Arial"/>
                <w:color w:val="000000"/>
                <w:sz w:val="6"/>
                <w:szCs w:val="12"/>
                <w:lang w:eastAsia="en-US"/>
              </w:rPr>
              <w:t>së</w:t>
            </w:r>
          </w:p>
        </w:tc>
        <w:tc>
          <w:tcPr>
            <w:tcW w:w="287" w:type="dxa"/>
            <w:tcBorders>
              <w:top w:val="single" w:sz="4" w:space="0" w:color="auto"/>
              <w:left w:val="nil"/>
              <w:bottom w:val="single" w:sz="4" w:space="0" w:color="auto"/>
              <w:right w:val="single" w:sz="8" w:space="0" w:color="auto"/>
            </w:tcBorders>
            <w:shd w:val="clear" w:color="000000" w:fill="FFFFFF"/>
            <w:hideMark/>
          </w:tcPr>
          <w:p w14:paraId="725C2AC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54E2E1F3"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35EDBCE1" w14:textId="77777777" w:rsidTr="00962754">
        <w:trPr>
          <w:trHeight w:val="20"/>
        </w:trPr>
        <w:tc>
          <w:tcPr>
            <w:tcW w:w="718" w:type="dxa"/>
            <w:tcBorders>
              <w:top w:val="nil"/>
              <w:left w:val="single" w:sz="8" w:space="0" w:color="auto"/>
              <w:bottom w:val="single" w:sz="4" w:space="0" w:color="auto"/>
              <w:right w:val="single" w:sz="4" w:space="0" w:color="auto"/>
            </w:tcBorders>
            <w:shd w:val="clear" w:color="000000" w:fill="D9D9D9"/>
            <w:vAlign w:val="center"/>
            <w:hideMark/>
          </w:tcPr>
          <w:p w14:paraId="506E77A8"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auto" w:fill="auto"/>
            <w:vAlign w:val="center"/>
            <w:hideMark/>
          </w:tcPr>
          <w:p w14:paraId="38F14FF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auto" w:fill="auto"/>
            <w:vAlign w:val="center"/>
            <w:hideMark/>
          </w:tcPr>
          <w:p w14:paraId="1C9541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auto" w:fill="auto"/>
            <w:vAlign w:val="center"/>
            <w:hideMark/>
          </w:tcPr>
          <w:p w14:paraId="24F9AB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1931A31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2049F8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auto" w:fill="auto"/>
            <w:vAlign w:val="center"/>
            <w:hideMark/>
          </w:tcPr>
          <w:p w14:paraId="50C0D6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auto" w:fill="auto"/>
            <w:vAlign w:val="center"/>
            <w:hideMark/>
          </w:tcPr>
          <w:p w14:paraId="10FFC41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8" w:space="0" w:color="auto"/>
            </w:tcBorders>
            <w:shd w:val="clear" w:color="auto" w:fill="auto"/>
            <w:vAlign w:val="center"/>
            <w:hideMark/>
          </w:tcPr>
          <w:p w14:paraId="3F11633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nil"/>
            </w:tcBorders>
            <w:shd w:val="clear" w:color="000000" w:fill="EE0000"/>
            <w:vAlign w:val="center"/>
            <w:hideMark/>
          </w:tcPr>
          <w:p w14:paraId="19191BA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single" w:sz="4" w:space="0" w:color="auto"/>
              <w:left w:val="single" w:sz="8" w:space="0" w:color="auto"/>
              <w:bottom w:val="single" w:sz="4" w:space="0" w:color="auto"/>
              <w:right w:val="single" w:sz="4" w:space="0" w:color="auto"/>
            </w:tcBorders>
            <w:shd w:val="clear" w:color="000000" w:fill="D9D9D9"/>
            <w:vAlign w:val="center"/>
            <w:hideMark/>
          </w:tcPr>
          <w:p w14:paraId="73470FF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auto" w:fill="auto"/>
            <w:vAlign w:val="center"/>
            <w:hideMark/>
          </w:tcPr>
          <w:p w14:paraId="083B597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single" w:sz="4" w:space="0" w:color="auto"/>
              <w:left w:val="nil"/>
              <w:bottom w:val="single" w:sz="4" w:space="0" w:color="auto"/>
              <w:right w:val="single" w:sz="4" w:space="0" w:color="auto"/>
            </w:tcBorders>
            <w:shd w:val="clear" w:color="auto" w:fill="auto"/>
            <w:vAlign w:val="center"/>
            <w:hideMark/>
          </w:tcPr>
          <w:p w14:paraId="67E3AD4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8" w:space="0" w:color="auto"/>
            </w:tcBorders>
            <w:shd w:val="clear" w:color="auto" w:fill="auto"/>
            <w:vAlign w:val="center"/>
            <w:hideMark/>
          </w:tcPr>
          <w:p w14:paraId="247C4DF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vAlign w:val="center"/>
            <w:hideMark/>
          </w:tcPr>
          <w:p w14:paraId="4FC80B9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single" w:sz="4" w:space="0" w:color="auto"/>
              <w:left w:val="nil"/>
              <w:bottom w:val="single" w:sz="4" w:space="0" w:color="auto"/>
              <w:right w:val="single" w:sz="4" w:space="0" w:color="auto"/>
            </w:tcBorders>
            <w:shd w:val="clear" w:color="auto" w:fill="auto"/>
            <w:vAlign w:val="center"/>
            <w:hideMark/>
          </w:tcPr>
          <w:p w14:paraId="4872952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auto" w:fill="auto"/>
            <w:vAlign w:val="center"/>
            <w:hideMark/>
          </w:tcPr>
          <w:p w14:paraId="6ED0AA1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vAlign w:val="center"/>
            <w:hideMark/>
          </w:tcPr>
          <w:p w14:paraId="561A4C0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auto" w:fill="auto"/>
            <w:vAlign w:val="center"/>
            <w:hideMark/>
          </w:tcPr>
          <w:p w14:paraId="49E2DB2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8" w:space="0" w:color="auto"/>
            </w:tcBorders>
            <w:shd w:val="clear" w:color="auto" w:fill="auto"/>
            <w:vAlign w:val="center"/>
            <w:hideMark/>
          </w:tcPr>
          <w:p w14:paraId="1EFDDBE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0BEB09D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auto" w:fill="auto"/>
            <w:vAlign w:val="center"/>
            <w:hideMark/>
          </w:tcPr>
          <w:p w14:paraId="52E612F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vAlign w:val="center"/>
            <w:hideMark/>
          </w:tcPr>
          <w:p w14:paraId="5F716F1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1DC04A8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74F90B1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vAlign w:val="center"/>
            <w:hideMark/>
          </w:tcPr>
          <w:p w14:paraId="112A711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vAlign w:val="center"/>
            <w:hideMark/>
          </w:tcPr>
          <w:p w14:paraId="2440E74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FFFFFF"/>
            <w:vAlign w:val="center"/>
            <w:hideMark/>
          </w:tcPr>
          <w:p w14:paraId="68F669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FFFFFF"/>
            <w:vAlign w:val="center"/>
            <w:hideMark/>
          </w:tcPr>
          <w:p w14:paraId="5036C55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603CD55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FFFFFF"/>
            <w:vAlign w:val="center"/>
            <w:hideMark/>
          </w:tcPr>
          <w:p w14:paraId="18D27DA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8" w:space="0" w:color="auto"/>
            </w:tcBorders>
            <w:shd w:val="clear" w:color="000000" w:fill="FFFFFF"/>
            <w:vAlign w:val="center"/>
            <w:hideMark/>
          </w:tcPr>
          <w:p w14:paraId="5E2AFE81"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FFFFFF"/>
            <w:vAlign w:val="center"/>
            <w:hideMark/>
          </w:tcPr>
          <w:p w14:paraId="3272735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FFFFFF"/>
            <w:vAlign w:val="center"/>
            <w:hideMark/>
          </w:tcPr>
          <w:p w14:paraId="6BC0316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8" w:space="0" w:color="auto"/>
            </w:tcBorders>
            <w:shd w:val="clear" w:color="000000" w:fill="FFFFFF"/>
            <w:vAlign w:val="center"/>
            <w:hideMark/>
          </w:tcPr>
          <w:p w14:paraId="4733A02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22947F8B" w14:textId="77777777" w:rsidR="00962754" w:rsidRPr="00B907A3" w:rsidRDefault="00962754" w:rsidP="00962754">
            <w:pPr>
              <w:spacing w:after="0"/>
              <w:jc w:val="left"/>
              <w:rPr>
                <w:rFonts w:ascii="Garamond" w:hAnsi="Garamond" w:cs="Arial"/>
                <w:color w:val="000000"/>
                <w:sz w:val="6"/>
                <w:szCs w:val="12"/>
                <w:lang w:eastAsia="en-US"/>
              </w:rPr>
            </w:pPr>
          </w:p>
        </w:tc>
      </w:tr>
      <w:tr w:rsidR="00962754" w:rsidRPr="00B907A3" w14:paraId="576C2245"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EE0000"/>
            <w:vAlign w:val="center"/>
            <w:hideMark/>
          </w:tcPr>
          <w:p w14:paraId="7C73E537"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EE0000"/>
            <w:vAlign w:val="center"/>
            <w:hideMark/>
          </w:tcPr>
          <w:p w14:paraId="052D7B4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EE0000"/>
            <w:vAlign w:val="center"/>
            <w:hideMark/>
          </w:tcPr>
          <w:p w14:paraId="3CDDFAE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EE0000"/>
            <w:vAlign w:val="center"/>
            <w:hideMark/>
          </w:tcPr>
          <w:p w14:paraId="2AF0242D"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59A8902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32AF6F7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EE0000"/>
            <w:vAlign w:val="center"/>
            <w:hideMark/>
          </w:tcPr>
          <w:p w14:paraId="0F547B7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EE0000"/>
            <w:vAlign w:val="center"/>
            <w:hideMark/>
          </w:tcPr>
          <w:p w14:paraId="3710ECB4"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EE0000"/>
            <w:vAlign w:val="center"/>
            <w:hideMark/>
          </w:tcPr>
          <w:p w14:paraId="1F558D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EE0000"/>
            <w:vAlign w:val="center"/>
            <w:hideMark/>
          </w:tcPr>
          <w:p w14:paraId="3030DE6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EE0000"/>
            <w:vAlign w:val="center"/>
            <w:hideMark/>
          </w:tcPr>
          <w:p w14:paraId="5DD21F2A"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EE0000"/>
            <w:vAlign w:val="center"/>
            <w:hideMark/>
          </w:tcPr>
          <w:p w14:paraId="61027C1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EE0000"/>
            <w:vAlign w:val="center"/>
            <w:hideMark/>
          </w:tcPr>
          <w:p w14:paraId="375FD63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EE0000"/>
            <w:vAlign w:val="center"/>
            <w:hideMark/>
          </w:tcPr>
          <w:p w14:paraId="72AA2E4F"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05BF723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1C8DF9B5"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EE0000"/>
            <w:vAlign w:val="center"/>
            <w:hideMark/>
          </w:tcPr>
          <w:p w14:paraId="0DB1580B"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678B55D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18" w:type="dxa"/>
            <w:tcBorders>
              <w:top w:val="nil"/>
              <w:left w:val="nil"/>
              <w:bottom w:val="single" w:sz="4" w:space="0" w:color="auto"/>
              <w:right w:val="single" w:sz="4" w:space="0" w:color="auto"/>
            </w:tcBorders>
            <w:shd w:val="clear" w:color="000000" w:fill="EE0000"/>
            <w:vAlign w:val="center"/>
            <w:hideMark/>
          </w:tcPr>
          <w:p w14:paraId="67681920"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605" w:type="dxa"/>
            <w:tcBorders>
              <w:top w:val="nil"/>
              <w:left w:val="nil"/>
              <w:bottom w:val="single" w:sz="4" w:space="0" w:color="auto"/>
              <w:right w:val="single" w:sz="4" w:space="0" w:color="auto"/>
            </w:tcBorders>
            <w:shd w:val="clear" w:color="000000" w:fill="EE0000"/>
            <w:vAlign w:val="center"/>
            <w:hideMark/>
          </w:tcPr>
          <w:p w14:paraId="1F98D78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459186B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7AEA4CE2"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0994669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1D30D606"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758F60DE"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E0000"/>
            <w:vAlign w:val="center"/>
            <w:hideMark/>
          </w:tcPr>
          <w:p w14:paraId="188429C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21444869"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EE0000"/>
            <w:vAlign w:val="center"/>
            <w:hideMark/>
          </w:tcPr>
          <w:p w14:paraId="539A9AB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EE0000"/>
            <w:vAlign w:val="center"/>
            <w:hideMark/>
          </w:tcPr>
          <w:p w14:paraId="6D2D5B21"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000DF13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82" w:type="dxa"/>
            <w:tcBorders>
              <w:top w:val="nil"/>
              <w:left w:val="nil"/>
              <w:bottom w:val="single" w:sz="4" w:space="0" w:color="auto"/>
              <w:right w:val="single" w:sz="4" w:space="0" w:color="auto"/>
            </w:tcBorders>
            <w:shd w:val="clear" w:color="000000" w:fill="EE0000"/>
            <w:vAlign w:val="center"/>
            <w:hideMark/>
          </w:tcPr>
          <w:p w14:paraId="31EC422C"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69" w:type="dxa"/>
            <w:tcBorders>
              <w:top w:val="nil"/>
              <w:left w:val="nil"/>
              <w:bottom w:val="single" w:sz="4" w:space="0" w:color="auto"/>
              <w:right w:val="single" w:sz="4" w:space="0" w:color="auto"/>
            </w:tcBorders>
            <w:shd w:val="clear" w:color="000000" w:fill="EE0000"/>
            <w:vAlign w:val="center"/>
            <w:hideMark/>
          </w:tcPr>
          <w:p w14:paraId="4FB34E61"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464" w:type="dxa"/>
            <w:tcBorders>
              <w:top w:val="nil"/>
              <w:left w:val="nil"/>
              <w:bottom w:val="single" w:sz="4" w:space="0" w:color="auto"/>
              <w:right w:val="single" w:sz="4" w:space="0" w:color="auto"/>
            </w:tcBorders>
            <w:shd w:val="clear" w:color="000000" w:fill="EE0000"/>
            <w:vAlign w:val="center"/>
            <w:hideMark/>
          </w:tcPr>
          <w:p w14:paraId="2CD2AFC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EE0000"/>
            <w:vAlign w:val="center"/>
            <w:hideMark/>
          </w:tcPr>
          <w:p w14:paraId="29AE95FA"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EE0000"/>
            <w:vAlign w:val="center"/>
            <w:hideMark/>
          </w:tcPr>
          <w:p w14:paraId="29BC5723"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94" w:type="dxa"/>
            <w:tcBorders>
              <w:top w:val="nil"/>
              <w:left w:val="nil"/>
              <w:bottom w:val="nil"/>
              <w:right w:val="nil"/>
            </w:tcBorders>
            <w:shd w:val="clear" w:color="auto" w:fill="auto"/>
            <w:noWrap/>
            <w:vAlign w:val="bottom"/>
            <w:hideMark/>
          </w:tcPr>
          <w:p w14:paraId="39679FD9" w14:textId="77777777" w:rsidR="00962754" w:rsidRPr="00B907A3" w:rsidRDefault="00962754" w:rsidP="00962754">
            <w:pPr>
              <w:spacing w:after="0"/>
              <w:jc w:val="left"/>
              <w:rPr>
                <w:rFonts w:ascii="Garamond" w:hAnsi="Garamond" w:cs="Arial"/>
                <w:color w:val="000000"/>
                <w:sz w:val="6"/>
                <w:szCs w:val="12"/>
                <w:lang w:eastAsia="en-US"/>
              </w:rPr>
            </w:pPr>
          </w:p>
        </w:tc>
      </w:tr>
      <w:tr w:rsidR="00B907A3" w:rsidRPr="00B907A3" w14:paraId="61A98D67" w14:textId="77777777" w:rsidTr="00962754">
        <w:trPr>
          <w:trHeight w:val="20"/>
        </w:trPr>
        <w:tc>
          <w:tcPr>
            <w:tcW w:w="718" w:type="dxa"/>
            <w:tcBorders>
              <w:top w:val="nil"/>
              <w:left w:val="single" w:sz="4" w:space="0" w:color="auto"/>
              <w:bottom w:val="single" w:sz="4" w:space="0" w:color="auto"/>
              <w:right w:val="single" w:sz="4" w:space="0" w:color="auto"/>
            </w:tcBorders>
            <w:shd w:val="clear" w:color="000000" w:fill="D9D9D9"/>
            <w:vAlign w:val="center"/>
            <w:hideMark/>
          </w:tcPr>
          <w:p w14:paraId="6A6B941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71" w:type="dxa"/>
            <w:tcBorders>
              <w:top w:val="nil"/>
              <w:left w:val="nil"/>
              <w:bottom w:val="single" w:sz="4" w:space="0" w:color="auto"/>
              <w:right w:val="single" w:sz="4" w:space="0" w:color="auto"/>
            </w:tcBorders>
            <w:shd w:val="clear" w:color="000000" w:fill="D9D9D9"/>
            <w:vAlign w:val="center"/>
            <w:hideMark/>
          </w:tcPr>
          <w:p w14:paraId="3C1E480C"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70" w:type="dxa"/>
            <w:tcBorders>
              <w:top w:val="nil"/>
              <w:left w:val="nil"/>
              <w:bottom w:val="single" w:sz="4" w:space="0" w:color="auto"/>
              <w:right w:val="single" w:sz="4" w:space="0" w:color="auto"/>
            </w:tcBorders>
            <w:shd w:val="clear" w:color="000000" w:fill="D9D9D9"/>
            <w:vAlign w:val="center"/>
            <w:hideMark/>
          </w:tcPr>
          <w:p w14:paraId="70BEC59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668" w:type="dxa"/>
            <w:tcBorders>
              <w:top w:val="nil"/>
              <w:left w:val="nil"/>
              <w:bottom w:val="single" w:sz="4" w:space="0" w:color="auto"/>
              <w:right w:val="single" w:sz="4" w:space="0" w:color="auto"/>
            </w:tcBorders>
            <w:shd w:val="clear" w:color="000000" w:fill="D9D9D9"/>
            <w:vAlign w:val="center"/>
            <w:hideMark/>
          </w:tcPr>
          <w:p w14:paraId="61AEBB1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D9D9D9"/>
            <w:vAlign w:val="center"/>
            <w:hideMark/>
          </w:tcPr>
          <w:p w14:paraId="074B889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D9D9D9"/>
            <w:vAlign w:val="center"/>
            <w:hideMark/>
          </w:tcPr>
          <w:p w14:paraId="77C2F325"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6" w:type="dxa"/>
            <w:tcBorders>
              <w:top w:val="nil"/>
              <w:left w:val="nil"/>
              <w:bottom w:val="single" w:sz="4" w:space="0" w:color="auto"/>
              <w:right w:val="single" w:sz="4" w:space="0" w:color="auto"/>
            </w:tcBorders>
            <w:shd w:val="clear" w:color="000000" w:fill="D9D9D9"/>
            <w:vAlign w:val="center"/>
            <w:hideMark/>
          </w:tcPr>
          <w:p w14:paraId="0CF6D5C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59" w:type="dxa"/>
            <w:tcBorders>
              <w:top w:val="nil"/>
              <w:left w:val="nil"/>
              <w:bottom w:val="single" w:sz="4" w:space="0" w:color="auto"/>
              <w:right w:val="single" w:sz="4" w:space="0" w:color="auto"/>
            </w:tcBorders>
            <w:shd w:val="clear" w:color="000000" w:fill="D9D9D9"/>
            <w:vAlign w:val="center"/>
            <w:hideMark/>
          </w:tcPr>
          <w:p w14:paraId="7474904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5" w:type="dxa"/>
            <w:tcBorders>
              <w:top w:val="nil"/>
              <w:left w:val="nil"/>
              <w:bottom w:val="single" w:sz="4" w:space="0" w:color="auto"/>
              <w:right w:val="single" w:sz="4" w:space="0" w:color="auto"/>
            </w:tcBorders>
            <w:shd w:val="clear" w:color="000000" w:fill="D9D9D9"/>
            <w:vAlign w:val="center"/>
            <w:hideMark/>
          </w:tcPr>
          <w:p w14:paraId="36CF00B4"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36" w:type="dxa"/>
            <w:tcBorders>
              <w:top w:val="nil"/>
              <w:left w:val="nil"/>
              <w:bottom w:val="single" w:sz="4" w:space="0" w:color="auto"/>
              <w:right w:val="single" w:sz="4" w:space="0" w:color="auto"/>
            </w:tcBorders>
            <w:shd w:val="clear" w:color="000000" w:fill="D9D9D9"/>
            <w:vAlign w:val="center"/>
            <w:hideMark/>
          </w:tcPr>
          <w:p w14:paraId="3E5AD33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714" w:type="dxa"/>
            <w:tcBorders>
              <w:top w:val="nil"/>
              <w:left w:val="nil"/>
              <w:bottom w:val="single" w:sz="4" w:space="0" w:color="auto"/>
              <w:right w:val="single" w:sz="4" w:space="0" w:color="auto"/>
            </w:tcBorders>
            <w:shd w:val="clear" w:color="000000" w:fill="D9D9D9"/>
            <w:vAlign w:val="center"/>
            <w:hideMark/>
          </w:tcPr>
          <w:p w14:paraId="3D66501B"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20" w:type="dxa"/>
            <w:tcBorders>
              <w:top w:val="nil"/>
              <w:left w:val="nil"/>
              <w:bottom w:val="single" w:sz="4" w:space="0" w:color="auto"/>
              <w:right w:val="single" w:sz="4" w:space="0" w:color="auto"/>
            </w:tcBorders>
            <w:shd w:val="clear" w:color="000000" w:fill="D9D9D9"/>
            <w:vAlign w:val="center"/>
            <w:hideMark/>
          </w:tcPr>
          <w:p w14:paraId="191BF53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512" w:type="dxa"/>
            <w:tcBorders>
              <w:top w:val="nil"/>
              <w:left w:val="nil"/>
              <w:bottom w:val="single" w:sz="4" w:space="0" w:color="auto"/>
              <w:right w:val="single" w:sz="4" w:space="0" w:color="auto"/>
            </w:tcBorders>
            <w:shd w:val="clear" w:color="000000" w:fill="D9D9D9"/>
            <w:vAlign w:val="center"/>
            <w:hideMark/>
          </w:tcPr>
          <w:p w14:paraId="609A73C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67" w:type="dxa"/>
            <w:tcBorders>
              <w:top w:val="nil"/>
              <w:left w:val="nil"/>
              <w:bottom w:val="single" w:sz="4" w:space="0" w:color="auto"/>
              <w:right w:val="single" w:sz="4" w:space="0" w:color="auto"/>
            </w:tcBorders>
            <w:shd w:val="clear" w:color="000000" w:fill="D9D9D9"/>
            <w:vAlign w:val="center"/>
            <w:hideMark/>
          </w:tcPr>
          <w:p w14:paraId="20577EDE"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9D9D9"/>
            <w:vAlign w:val="center"/>
            <w:hideMark/>
          </w:tcPr>
          <w:p w14:paraId="57AAD6A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9D9D9"/>
            <w:vAlign w:val="center"/>
            <w:hideMark/>
          </w:tcPr>
          <w:p w14:paraId="4FF89902"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26" w:type="dxa"/>
            <w:tcBorders>
              <w:top w:val="nil"/>
              <w:left w:val="nil"/>
              <w:bottom w:val="single" w:sz="4" w:space="0" w:color="auto"/>
              <w:right w:val="single" w:sz="4" w:space="0" w:color="auto"/>
            </w:tcBorders>
            <w:shd w:val="clear" w:color="000000" w:fill="D9D9D9"/>
            <w:vAlign w:val="center"/>
            <w:hideMark/>
          </w:tcPr>
          <w:p w14:paraId="0F12B640"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7067</w:t>
            </w:r>
          </w:p>
        </w:tc>
        <w:tc>
          <w:tcPr>
            <w:tcW w:w="618" w:type="dxa"/>
            <w:tcBorders>
              <w:top w:val="nil"/>
              <w:left w:val="nil"/>
              <w:bottom w:val="single" w:sz="4" w:space="0" w:color="auto"/>
              <w:right w:val="single" w:sz="4" w:space="0" w:color="auto"/>
            </w:tcBorders>
            <w:shd w:val="clear" w:color="000000" w:fill="D9D9D9"/>
            <w:vAlign w:val="center"/>
            <w:hideMark/>
          </w:tcPr>
          <w:p w14:paraId="5BE66487"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618" w:type="dxa"/>
            <w:tcBorders>
              <w:top w:val="nil"/>
              <w:left w:val="nil"/>
              <w:bottom w:val="single" w:sz="4" w:space="0" w:color="auto"/>
              <w:right w:val="single" w:sz="4" w:space="0" w:color="auto"/>
            </w:tcBorders>
            <w:shd w:val="clear" w:color="000000" w:fill="D9D9D9"/>
            <w:vAlign w:val="center"/>
            <w:hideMark/>
          </w:tcPr>
          <w:p w14:paraId="30AB807C"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605" w:type="dxa"/>
            <w:tcBorders>
              <w:top w:val="nil"/>
              <w:left w:val="nil"/>
              <w:bottom w:val="single" w:sz="4" w:space="0" w:color="auto"/>
              <w:right w:val="single" w:sz="4" w:space="0" w:color="auto"/>
            </w:tcBorders>
            <w:shd w:val="clear" w:color="000000" w:fill="D9D9D9"/>
            <w:vAlign w:val="center"/>
            <w:hideMark/>
          </w:tcPr>
          <w:p w14:paraId="3E6CEF09"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D9D9D9"/>
            <w:vAlign w:val="center"/>
            <w:hideMark/>
          </w:tcPr>
          <w:p w14:paraId="741B0BE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9D9D9"/>
            <w:vAlign w:val="center"/>
            <w:hideMark/>
          </w:tcPr>
          <w:p w14:paraId="4CA387E3"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D9D9D9"/>
            <w:vAlign w:val="center"/>
            <w:hideMark/>
          </w:tcPr>
          <w:p w14:paraId="38A0DE84"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14134</w:t>
            </w:r>
          </w:p>
        </w:tc>
        <w:tc>
          <w:tcPr>
            <w:tcW w:w="382" w:type="dxa"/>
            <w:tcBorders>
              <w:top w:val="nil"/>
              <w:left w:val="nil"/>
              <w:bottom w:val="single" w:sz="4" w:space="0" w:color="auto"/>
              <w:right w:val="single" w:sz="4" w:space="0" w:color="auto"/>
            </w:tcBorders>
            <w:shd w:val="clear" w:color="000000" w:fill="D9D9D9"/>
            <w:vAlign w:val="center"/>
            <w:hideMark/>
          </w:tcPr>
          <w:p w14:paraId="0E8539A2"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D9D9D9"/>
            <w:vAlign w:val="center"/>
            <w:hideMark/>
          </w:tcPr>
          <w:p w14:paraId="2800C0DD"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14134</w:t>
            </w:r>
          </w:p>
        </w:tc>
        <w:tc>
          <w:tcPr>
            <w:tcW w:w="369" w:type="dxa"/>
            <w:tcBorders>
              <w:top w:val="nil"/>
              <w:left w:val="nil"/>
              <w:bottom w:val="single" w:sz="4" w:space="0" w:color="auto"/>
              <w:right w:val="single" w:sz="4" w:space="0" w:color="auto"/>
            </w:tcBorders>
            <w:shd w:val="clear" w:color="000000" w:fill="D9D9D9"/>
            <w:vAlign w:val="center"/>
            <w:hideMark/>
          </w:tcPr>
          <w:p w14:paraId="3FF39CED"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72" w:type="dxa"/>
            <w:tcBorders>
              <w:top w:val="nil"/>
              <w:left w:val="nil"/>
              <w:bottom w:val="single" w:sz="4" w:space="0" w:color="auto"/>
              <w:right w:val="single" w:sz="4" w:space="0" w:color="auto"/>
            </w:tcBorders>
            <w:shd w:val="clear" w:color="000000" w:fill="D9D9D9"/>
            <w:vAlign w:val="center"/>
            <w:hideMark/>
          </w:tcPr>
          <w:p w14:paraId="7FD8043D"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72" w:type="dxa"/>
            <w:tcBorders>
              <w:top w:val="nil"/>
              <w:left w:val="nil"/>
              <w:bottom w:val="single" w:sz="4" w:space="0" w:color="auto"/>
              <w:right w:val="single" w:sz="4" w:space="0" w:color="auto"/>
            </w:tcBorders>
            <w:shd w:val="clear" w:color="000000" w:fill="D9D9D9"/>
            <w:vAlign w:val="center"/>
            <w:hideMark/>
          </w:tcPr>
          <w:p w14:paraId="1D2797B1"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24" w:type="dxa"/>
            <w:tcBorders>
              <w:top w:val="nil"/>
              <w:left w:val="nil"/>
              <w:bottom w:val="single" w:sz="4" w:space="0" w:color="auto"/>
              <w:right w:val="single" w:sz="4" w:space="0" w:color="auto"/>
            </w:tcBorders>
            <w:shd w:val="clear" w:color="000000" w:fill="D9D9D9"/>
            <w:vAlign w:val="center"/>
            <w:hideMark/>
          </w:tcPr>
          <w:p w14:paraId="12F31AC6"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9567</w:t>
            </w:r>
          </w:p>
        </w:tc>
        <w:tc>
          <w:tcPr>
            <w:tcW w:w="382" w:type="dxa"/>
            <w:tcBorders>
              <w:top w:val="nil"/>
              <w:left w:val="nil"/>
              <w:bottom w:val="single" w:sz="4" w:space="0" w:color="auto"/>
              <w:right w:val="single" w:sz="4" w:space="0" w:color="auto"/>
            </w:tcBorders>
            <w:shd w:val="clear" w:color="000000" w:fill="D9D9D9"/>
            <w:vAlign w:val="center"/>
            <w:hideMark/>
          </w:tcPr>
          <w:p w14:paraId="1356DD9F"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0</w:t>
            </w:r>
          </w:p>
        </w:tc>
        <w:tc>
          <w:tcPr>
            <w:tcW w:w="382" w:type="dxa"/>
            <w:tcBorders>
              <w:top w:val="nil"/>
              <w:left w:val="nil"/>
              <w:bottom w:val="single" w:sz="4" w:space="0" w:color="auto"/>
              <w:right w:val="single" w:sz="4" w:space="0" w:color="auto"/>
            </w:tcBorders>
            <w:shd w:val="clear" w:color="000000" w:fill="D9D9D9"/>
            <w:vAlign w:val="center"/>
            <w:hideMark/>
          </w:tcPr>
          <w:p w14:paraId="0680DF60"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7067</w:t>
            </w:r>
          </w:p>
        </w:tc>
        <w:tc>
          <w:tcPr>
            <w:tcW w:w="369" w:type="dxa"/>
            <w:tcBorders>
              <w:top w:val="nil"/>
              <w:left w:val="nil"/>
              <w:bottom w:val="single" w:sz="4" w:space="0" w:color="auto"/>
              <w:right w:val="single" w:sz="4" w:space="0" w:color="auto"/>
            </w:tcBorders>
            <w:shd w:val="clear" w:color="000000" w:fill="D9D9D9"/>
            <w:vAlign w:val="center"/>
            <w:hideMark/>
          </w:tcPr>
          <w:p w14:paraId="19062BB6"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2500</w:t>
            </w:r>
          </w:p>
        </w:tc>
        <w:tc>
          <w:tcPr>
            <w:tcW w:w="464" w:type="dxa"/>
            <w:tcBorders>
              <w:top w:val="nil"/>
              <w:left w:val="nil"/>
              <w:bottom w:val="single" w:sz="4" w:space="0" w:color="auto"/>
              <w:right w:val="single" w:sz="4" w:space="0" w:color="auto"/>
            </w:tcBorders>
            <w:shd w:val="clear" w:color="000000" w:fill="D9D9D9"/>
            <w:vAlign w:val="center"/>
            <w:hideMark/>
          </w:tcPr>
          <w:p w14:paraId="1CC7A3AF"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442" w:type="dxa"/>
            <w:tcBorders>
              <w:top w:val="nil"/>
              <w:left w:val="nil"/>
              <w:bottom w:val="single" w:sz="4" w:space="0" w:color="auto"/>
              <w:right w:val="single" w:sz="4" w:space="0" w:color="auto"/>
            </w:tcBorders>
            <w:shd w:val="clear" w:color="000000" w:fill="D9D9D9"/>
            <w:vAlign w:val="center"/>
            <w:hideMark/>
          </w:tcPr>
          <w:p w14:paraId="31DF3DC0"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287" w:type="dxa"/>
            <w:tcBorders>
              <w:top w:val="nil"/>
              <w:left w:val="nil"/>
              <w:bottom w:val="single" w:sz="4" w:space="0" w:color="auto"/>
              <w:right w:val="single" w:sz="4" w:space="0" w:color="auto"/>
            </w:tcBorders>
            <w:shd w:val="clear" w:color="000000" w:fill="D9D9D9"/>
            <w:vAlign w:val="center"/>
            <w:hideMark/>
          </w:tcPr>
          <w:p w14:paraId="5C50CC09" w14:textId="77777777" w:rsidR="00962754" w:rsidRPr="00B907A3" w:rsidRDefault="00962754" w:rsidP="00962754">
            <w:pPr>
              <w:spacing w:after="0"/>
              <w:jc w:val="lef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 </w:t>
            </w:r>
          </w:p>
        </w:tc>
        <w:tc>
          <w:tcPr>
            <w:tcW w:w="394" w:type="dxa"/>
            <w:tcBorders>
              <w:top w:val="single" w:sz="4" w:space="0" w:color="auto"/>
              <w:left w:val="nil"/>
              <w:bottom w:val="single" w:sz="4" w:space="0" w:color="auto"/>
              <w:right w:val="single" w:sz="4" w:space="0" w:color="auto"/>
            </w:tcBorders>
            <w:shd w:val="clear" w:color="000000" w:fill="D9D9D9"/>
            <w:vAlign w:val="center"/>
            <w:hideMark/>
          </w:tcPr>
          <w:p w14:paraId="22B05495"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30768</w:t>
            </w:r>
          </w:p>
        </w:tc>
      </w:tr>
      <w:tr w:rsidR="00962754" w:rsidRPr="00B907A3" w14:paraId="65DC8D3F" w14:textId="77777777" w:rsidTr="00962754">
        <w:trPr>
          <w:trHeight w:val="20"/>
        </w:trPr>
        <w:tc>
          <w:tcPr>
            <w:tcW w:w="718" w:type="dxa"/>
            <w:tcBorders>
              <w:top w:val="nil"/>
              <w:left w:val="nil"/>
              <w:bottom w:val="nil"/>
              <w:right w:val="nil"/>
            </w:tcBorders>
            <w:shd w:val="clear" w:color="auto" w:fill="auto"/>
            <w:vAlign w:val="center"/>
            <w:hideMark/>
          </w:tcPr>
          <w:p w14:paraId="40A287E0" w14:textId="77777777" w:rsidR="00962754" w:rsidRPr="00B907A3" w:rsidRDefault="00962754" w:rsidP="00962754">
            <w:pPr>
              <w:spacing w:after="0"/>
              <w:jc w:val="right"/>
              <w:rPr>
                <w:rFonts w:ascii="Garamond" w:hAnsi="Garamond" w:cs="Arial"/>
                <w:b/>
                <w:bCs/>
                <w:color w:val="000000"/>
                <w:sz w:val="6"/>
                <w:szCs w:val="12"/>
                <w:lang w:eastAsia="en-US"/>
              </w:rPr>
            </w:pPr>
          </w:p>
        </w:tc>
        <w:tc>
          <w:tcPr>
            <w:tcW w:w="571" w:type="dxa"/>
            <w:tcBorders>
              <w:top w:val="nil"/>
              <w:left w:val="nil"/>
              <w:bottom w:val="nil"/>
              <w:right w:val="nil"/>
            </w:tcBorders>
            <w:shd w:val="clear" w:color="auto" w:fill="auto"/>
            <w:vAlign w:val="center"/>
            <w:hideMark/>
          </w:tcPr>
          <w:p w14:paraId="364385F3"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vAlign w:val="center"/>
            <w:hideMark/>
          </w:tcPr>
          <w:p w14:paraId="5776927E"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vAlign w:val="center"/>
            <w:hideMark/>
          </w:tcPr>
          <w:p w14:paraId="7ADED618"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vAlign w:val="center"/>
            <w:hideMark/>
          </w:tcPr>
          <w:p w14:paraId="51C84D41"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vAlign w:val="center"/>
            <w:hideMark/>
          </w:tcPr>
          <w:p w14:paraId="0C489E3E"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vAlign w:val="center"/>
            <w:hideMark/>
          </w:tcPr>
          <w:p w14:paraId="58EB6C04"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vAlign w:val="center"/>
            <w:hideMark/>
          </w:tcPr>
          <w:p w14:paraId="5A9BB7D5"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vAlign w:val="center"/>
            <w:hideMark/>
          </w:tcPr>
          <w:p w14:paraId="22E8532D"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vAlign w:val="center"/>
            <w:hideMark/>
          </w:tcPr>
          <w:p w14:paraId="45CBB54C"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vAlign w:val="center"/>
            <w:hideMark/>
          </w:tcPr>
          <w:p w14:paraId="32F6F72E"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vAlign w:val="center"/>
            <w:hideMark/>
          </w:tcPr>
          <w:p w14:paraId="47757FFE"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vAlign w:val="center"/>
            <w:hideMark/>
          </w:tcPr>
          <w:p w14:paraId="01BC1CC7"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vAlign w:val="center"/>
            <w:hideMark/>
          </w:tcPr>
          <w:p w14:paraId="28A8A82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vAlign w:val="center"/>
            <w:hideMark/>
          </w:tcPr>
          <w:p w14:paraId="6948B4CB"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vAlign w:val="center"/>
            <w:hideMark/>
          </w:tcPr>
          <w:p w14:paraId="254CB68D"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vAlign w:val="center"/>
            <w:hideMark/>
          </w:tcPr>
          <w:p w14:paraId="0B03FACB"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vAlign w:val="center"/>
            <w:hideMark/>
          </w:tcPr>
          <w:p w14:paraId="32B900BC"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vAlign w:val="center"/>
            <w:hideMark/>
          </w:tcPr>
          <w:p w14:paraId="7E5DEE9B"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vAlign w:val="center"/>
            <w:hideMark/>
          </w:tcPr>
          <w:p w14:paraId="7497A6F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vAlign w:val="center"/>
            <w:hideMark/>
          </w:tcPr>
          <w:p w14:paraId="78EE53AF"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vAlign w:val="center"/>
            <w:hideMark/>
          </w:tcPr>
          <w:p w14:paraId="6A0D52B0"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vAlign w:val="center"/>
            <w:hideMark/>
          </w:tcPr>
          <w:p w14:paraId="1C2A1C5B"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vAlign w:val="center"/>
            <w:hideMark/>
          </w:tcPr>
          <w:p w14:paraId="168E908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vAlign w:val="center"/>
            <w:hideMark/>
          </w:tcPr>
          <w:p w14:paraId="764C1B41"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vAlign w:val="center"/>
            <w:hideMark/>
          </w:tcPr>
          <w:p w14:paraId="60BE88F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vAlign w:val="center"/>
            <w:hideMark/>
          </w:tcPr>
          <w:p w14:paraId="089A6632"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vAlign w:val="center"/>
            <w:hideMark/>
          </w:tcPr>
          <w:p w14:paraId="264F518D"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vAlign w:val="center"/>
            <w:hideMark/>
          </w:tcPr>
          <w:p w14:paraId="4BF84957"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vAlign w:val="center"/>
            <w:hideMark/>
          </w:tcPr>
          <w:p w14:paraId="0F22748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vAlign w:val="center"/>
            <w:hideMark/>
          </w:tcPr>
          <w:p w14:paraId="37DC7A44"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vAlign w:val="center"/>
            <w:hideMark/>
          </w:tcPr>
          <w:p w14:paraId="204B50C8"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vAlign w:val="center"/>
            <w:hideMark/>
          </w:tcPr>
          <w:p w14:paraId="0466C67A"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vAlign w:val="center"/>
            <w:hideMark/>
          </w:tcPr>
          <w:p w14:paraId="75D8E42C"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vAlign w:val="center"/>
            <w:hideMark/>
          </w:tcPr>
          <w:p w14:paraId="1CB6727C"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1E52B453" w14:textId="77777777" w:rsidR="00962754" w:rsidRPr="00B907A3" w:rsidRDefault="00962754" w:rsidP="00962754">
            <w:pPr>
              <w:spacing w:after="0"/>
              <w:jc w:val="left"/>
              <w:rPr>
                <w:rFonts w:ascii="Garamond" w:hAnsi="Garamond"/>
                <w:sz w:val="6"/>
                <w:szCs w:val="12"/>
                <w:lang w:eastAsia="en-US"/>
              </w:rPr>
            </w:pPr>
          </w:p>
        </w:tc>
      </w:tr>
      <w:tr w:rsidR="00962754" w:rsidRPr="00B907A3" w14:paraId="66BAB6DC" w14:textId="77777777" w:rsidTr="00DB76F6">
        <w:trPr>
          <w:trHeight w:val="20"/>
        </w:trPr>
        <w:tc>
          <w:tcPr>
            <w:tcW w:w="718" w:type="dxa"/>
            <w:tcBorders>
              <w:top w:val="nil"/>
              <w:left w:val="nil"/>
              <w:bottom w:val="nil"/>
              <w:right w:val="nil"/>
            </w:tcBorders>
            <w:shd w:val="clear" w:color="auto" w:fill="auto"/>
            <w:noWrap/>
            <w:vAlign w:val="bottom"/>
            <w:hideMark/>
          </w:tcPr>
          <w:p w14:paraId="59239376"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44DCED15"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6A8028F3"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51AFE8D0"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4835B09"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1E48628E"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59F9A5D8"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595C3B84"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42640DF2"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1377D256" w14:textId="77777777" w:rsidR="00962754" w:rsidRPr="00B907A3" w:rsidRDefault="00962754" w:rsidP="00962754">
            <w:pPr>
              <w:spacing w:after="0"/>
              <w:jc w:val="left"/>
              <w:rPr>
                <w:rFonts w:ascii="Garamond" w:hAnsi="Garamond"/>
                <w:sz w:val="6"/>
                <w:szCs w:val="12"/>
                <w:lang w:eastAsia="en-US"/>
              </w:rPr>
            </w:pPr>
          </w:p>
        </w:tc>
        <w:tc>
          <w:tcPr>
            <w:tcW w:w="2857" w:type="dxa"/>
            <w:gridSpan w:val="6"/>
            <w:tcBorders>
              <w:top w:val="nil"/>
              <w:left w:val="nil"/>
              <w:bottom w:val="nil"/>
              <w:right w:val="nil"/>
            </w:tcBorders>
            <w:shd w:val="clear" w:color="auto" w:fill="auto"/>
            <w:noWrap/>
            <w:vAlign w:val="bottom"/>
            <w:hideMark/>
          </w:tcPr>
          <w:p w14:paraId="76CCE36A" w14:textId="77777777" w:rsidR="00962754" w:rsidRPr="00B907A3" w:rsidRDefault="00962754" w:rsidP="00962754">
            <w:pPr>
              <w:spacing w:after="0"/>
              <w:jc w:val="left"/>
              <w:rPr>
                <w:rFonts w:ascii="Garamond" w:hAnsi="Garamond"/>
                <w:sz w:val="6"/>
                <w:szCs w:val="12"/>
                <w:lang w:eastAsia="en-US"/>
              </w:rPr>
            </w:pPr>
          </w:p>
        </w:tc>
        <w:tc>
          <w:tcPr>
            <w:tcW w:w="426"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2D3D3FDD" w14:textId="77777777" w:rsidR="00962754" w:rsidRPr="00DB76F6" w:rsidRDefault="00962754" w:rsidP="00DB76F6">
            <w:pPr>
              <w:spacing w:after="0"/>
              <w:jc w:val="center"/>
              <w:rPr>
                <w:rFonts w:ascii="Garamond" w:hAnsi="Garamond" w:cs="Arial"/>
                <w:b/>
                <w:bCs/>
                <w:color w:val="000000"/>
                <w:sz w:val="6"/>
                <w:szCs w:val="12"/>
                <w:lang w:eastAsia="en-US"/>
              </w:rPr>
            </w:pPr>
            <w:r w:rsidRPr="00DB76F6">
              <w:rPr>
                <w:rFonts w:ascii="Garamond" w:hAnsi="Garamond" w:cs="Arial"/>
                <w:b/>
                <w:bCs/>
                <w:color w:val="000000"/>
                <w:sz w:val="6"/>
                <w:szCs w:val="12"/>
                <w:lang w:eastAsia="en-US"/>
              </w:rPr>
              <w:t>Total</w:t>
            </w:r>
          </w:p>
        </w:tc>
        <w:tc>
          <w:tcPr>
            <w:tcW w:w="618" w:type="dxa"/>
            <w:tcBorders>
              <w:top w:val="single" w:sz="4" w:space="0" w:color="auto"/>
              <w:left w:val="nil"/>
              <w:bottom w:val="single" w:sz="4" w:space="0" w:color="auto"/>
              <w:right w:val="single" w:sz="4" w:space="0" w:color="auto"/>
            </w:tcBorders>
            <w:shd w:val="clear" w:color="000000" w:fill="FFFF00"/>
            <w:vAlign w:val="center"/>
            <w:hideMark/>
          </w:tcPr>
          <w:p w14:paraId="21C7B98F" w14:textId="77777777" w:rsidR="00962754" w:rsidRPr="00DB76F6" w:rsidRDefault="00962754" w:rsidP="00DB76F6">
            <w:pPr>
              <w:spacing w:after="0"/>
              <w:jc w:val="center"/>
              <w:rPr>
                <w:rFonts w:ascii="Garamond" w:hAnsi="Garamond" w:cs="Arial"/>
                <w:b/>
                <w:color w:val="000000"/>
                <w:sz w:val="6"/>
                <w:szCs w:val="12"/>
                <w:lang w:eastAsia="en-US"/>
              </w:rPr>
            </w:pPr>
            <w:r w:rsidRPr="00DB76F6">
              <w:rPr>
                <w:rFonts w:ascii="Garamond" w:hAnsi="Garamond" w:cs="Arial"/>
                <w:b/>
                <w:color w:val="000000"/>
                <w:sz w:val="6"/>
                <w:szCs w:val="12"/>
                <w:lang w:eastAsia="en-US"/>
              </w:rPr>
              <w:t>Buxheti</w:t>
            </w:r>
          </w:p>
        </w:tc>
        <w:tc>
          <w:tcPr>
            <w:tcW w:w="618" w:type="dxa"/>
            <w:tcBorders>
              <w:top w:val="single" w:sz="4" w:space="0" w:color="auto"/>
              <w:left w:val="nil"/>
              <w:bottom w:val="single" w:sz="4" w:space="0" w:color="auto"/>
              <w:right w:val="single" w:sz="4" w:space="0" w:color="auto"/>
            </w:tcBorders>
            <w:shd w:val="clear" w:color="000000" w:fill="FFFF00"/>
            <w:noWrap/>
            <w:vAlign w:val="center"/>
            <w:hideMark/>
          </w:tcPr>
          <w:p w14:paraId="0626663D" w14:textId="5D1B8527" w:rsidR="00962754" w:rsidRPr="00DB76F6" w:rsidRDefault="00DB76F6" w:rsidP="00DB76F6">
            <w:pPr>
              <w:spacing w:after="0"/>
              <w:jc w:val="center"/>
              <w:rPr>
                <w:rFonts w:ascii="Garamond" w:hAnsi="Garamond" w:cs="Arial"/>
                <w:b/>
                <w:color w:val="000000"/>
                <w:sz w:val="6"/>
                <w:szCs w:val="12"/>
                <w:lang w:eastAsia="en-US"/>
              </w:rPr>
            </w:pPr>
            <w:r>
              <w:rPr>
                <w:rFonts w:ascii="Garamond" w:hAnsi="Garamond" w:cs="Arial"/>
                <w:b/>
                <w:color w:val="000000"/>
                <w:sz w:val="6"/>
                <w:szCs w:val="12"/>
                <w:lang w:eastAsia="en-US"/>
              </w:rPr>
              <w:t>Donatorë</w:t>
            </w:r>
          </w:p>
        </w:tc>
        <w:tc>
          <w:tcPr>
            <w:tcW w:w="605" w:type="dxa"/>
            <w:tcBorders>
              <w:top w:val="single" w:sz="4" w:space="0" w:color="auto"/>
              <w:left w:val="nil"/>
              <w:bottom w:val="single" w:sz="4" w:space="0" w:color="auto"/>
              <w:right w:val="single" w:sz="4" w:space="0" w:color="auto"/>
            </w:tcBorders>
            <w:shd w:val="clear" w:color="000000" w:fill="FFFF00"/>
            <w:noWrap/>
            <w:vAlign w:val="center"/>
            <w:hideMark/>
          </w:tcPr>
          <w:p w14:paraId="0A2CE9FC" w14:textId="77777777" w:rsidR="00962754" w:rsidRPr="00DB76F6" w:rsidRDefault="00962754" w:rsidP="00DB76F6">
            <w:pPr>
              <w:spacing w:after="0"/>
              <w:jc w:val="center"/>
              <w:rPr>
                <w:rFonts w:ascii="Garamond" w:hAnsi="Garamond" w:cs="Arial"/>
                <w:b/>
                <w:color w:val="000000"/>
                <w:sz w:val="6"/>
                <w:szCs w:val="12"/>
                <w:lang w:eastAsia="en-US"/>
              </w:rPr>
            </w:pPr>
            <w:r w:rsidRPr="00DB76F6">
              <w:rPr>
                <w:rFonts w:ascii="Garamond" w:hAnsi="Garamond" w:cs="Arial"/>
                <w:b/>
                <w:color w:val="000000"/>
                <w:sz w:val="6"/>
                <w:szCs w:val="12"/>
                <w:lang w:eastAsia="en-US"/>
              </w:rPr>
              <w:t>Hendeku financiar</w:t>
            </w:r>
          </w:p>
        </w:tc>
        <w:tc>
          <w:tcPr>
            <w:tcW w:w="372" w:type="dxa"/>
            <w:tcBorders>
              <w:top w:val="nil"/>
              <w:left w:val="nil"/>
              <w:bottom w:val="nil"/>
              <w:right w:val="nil"/>
            </w:tcBorders>
            <w:shd w:val="clear" w:color="auto" w:fill="auto"/>
            <w:noWrap/>
            <w:vAlign w:val="bottom"/>
            <w:hideMark/>
          </w:tcPr>
          <w:p w14:paraId="78192862" w14:textId="77777777" w:rsidR="00962754" w:rsidRPr="00B907A3" w:rsidRDefault="00962754" w:rsidP="00962754">
            <w:pPr>
              <w:spacing w:after="0"/>
              <w:rPr>
                <w:rFonts w:ascii="Garamond" w:hAnsi="Garamond" w:cs="Arial"/>
                <w:color w:val="000000"/>
                <w:sz w:val="6"/>
                <w:szCs w:val="12"/>
                <w:lang w:eastAsia="en-US"/>
              </w:rPr>
            </w:pPr>
          </w:p>
        </w:tc>
        <w:tc>
          <w:tcPr>
            <w:tcW w:w="372" w:type="dxa"/>
            <w:tcBorders>
              <w:top w:val="nil"/>
              <w:left w:val="nil"/>
              <w:bottom w:val="nil"/>
              <w:right w:val="nil"/>
            </w:tcBorders>
            <w:shd w:val="clear" w:color="auto" w:fill="auto"/>
            <w:noWrap/>
            <w:vAlign w:val="bottom"/>
            <w:hideMark/>
          </w:tcPr>
          <w:p w14:paraId="782F2E82"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45183B9E"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4DB4091E"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ECEB33F"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ABF2838"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276A5E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CC6E27D"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14EB93E8"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C95E22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D10E455"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5C144A46"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11723E84"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66D514AF"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7876966"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40E33024"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923948</w:t>
            </w:r>
          </w:p>
        </w:tc>
      </w:tr>
      <w:tr w:rsidR="00962754" w:rsidRPr="00B907A3" w14:paraId="2C789F1A" w14:textId="77777777" w:rsidTr="00962754">
        <w:trPr>
          <w:trHeight w:val="20"/>
        </w:trPr>
        <w:tc>
          <w:tcPr>
            <w:tcW w:w="718" w:type="dxa"/>
            <w:tcBorders>
              <w:top w:val="nil"/>
              <w:left w:val="nil"/>
              <w:bottom w:val="nil"/>
              <w:right w:val="nil"/>
            </w:tcBorders>
            <w:shd w:val="clear" w:color="auto" w:fill="auto"/>
            <w:noWrap/>
            <w:vAlign w:val="bottom"/>
            <w:hideMark/>
          </w:tcPr>
          <w:p w14:paraId="2405F156" w14:textId="77777777" w:rsidR="00962754" w:rsidRPr="00B907A3" w:rsidRDefault="00962754" w:rsidP="00962754">
            <w:pPr>
              <w:spacing w:after="0"/>
              <w:jc w:val="right"/>
              <w:rPr>
                <w:rFonts w:ascii="Garamond" w:hAnsi="Garamond" w:cs="Arial"/>
                <w:color w:val="000000"/>
                <w:sz w:val="6"/>
                <w:szCs w:val="12"/>
                <w:lang w:eastAsia="en-US"/>
              </w:rPr>
            </w:pPr>
          </w:p>
        </w:tc>
        <w:tc>
          <w:tcPr>
            <w:tcW w:w="571" w:type="dxa"/>
            <w:tcBorders>
              <w:top w:val="nil"/>
              <w:left w:val="nil"/>
              <w:bottom w:val="nil"/>
              <w:right w:val="nil"/>
            </w:tcBorders>
            <w:shd w:val="clear" w:color="auto" w:fill="auto"/>
            <w:noWrap/>
            <w:vAlign w:val="bottom"/>
            <w:hideMark/>
          </w:tcPr>
          <w:p w14:paraId="13083ACD"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3DC473AF"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3496D6AB"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19B62CA6"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CDB9D90"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1038A589"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683334EF"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0F82AF8F"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2395C8A8" w14:textId="77777777" w:rsidR="00962754" w:rsidRPr="00B907A3" w:rsidRDefault="00962754" w:rsidP="00962754">
            <w:pPr>
              <w:spacing w:after="0"/>
              <w:jc w:val="left"/>
              <w:rPr>
                <w:rFonts w:ascii="Garamond" w:hAnsi="Garamond"/>
                <w:sz w:val="6"/>
                <w:szCs w:val="12"/>
                <w:lang w:eastAsia="en-US"/>
              </w:rPr>
            </w:pPr>
          </w:p>
        </w:tc>
        <w:tc>
          <w:tcPr>
            <w:tcW w:w="2857" w:type="dxa"/>
            <w:gridSpan w:val="6"/>
            <w:tcBorders>
              <w:top w:val="nil"/>
              <w:left w:val="nil"/>
              <w:bottom w:val="nil"/>
              <w:right w:val="single" w:sz="4" w:space="0" w:color="000000"/>
            </w:tcBorders>
            <w:shd w:val="clear" w:color="000000" w:fill="FFFF00"/>
            <w:noWrap/>
            <w:vAlign w:val="bottom"/>
            <w:hideMark/>
          </w:tcPr>
          <w:p w14:paraId="443FA85A" w14:textId="1928C948" w:rsidR="00962754" w:rsidRPr="00B907A3" w:rsidRDefault="00962754" w:rsidP="00DB76F6">
            <w:pPr>
              <w:spacing w:after="0"/>
              <w:jc w:val="center"/>
              <w:rPr>
                <w:rFonts w:ascii="Garamond" w:hAnsi="Garamond" w:cs="Arial"/>
                <w:b/>
                <w:bCs/>
                <w:color w:val="000000"/>
                <w:sz w:val="6"/>
                <w:szCs w:val="12"/>
                <w:u w:val="single"/>
                <w:lang w:eastAsia="en-US"/>
              </w:rPr>
            </w:pPr>
            <w:r w:rsidRPr="00B907A3">
              <w:rPr>
                <w:rFonts w:ascii="Garamond" w:hAnsi="Garamond" w:cs="Arial"/>
                <w:b/>
                <w:bCs/>
                <w:color w:val="000000"/>
                <w:sz w:val="6"/>
                <w:szCs w:val="12"/>
                <w:u w:val="single"/>
                <w:lang w:eastAsia="en-US"/>
              </w:rPr>
              <w:t>Kosto</w:t>
            </w:r>
            <w:r w:rsidR="00DB76F6">
              <w:rPr>
                <w:rFonts w:ascii="Garamond" w:hAnsi="Garamond" w:cs="Arial"/>
                <w:b/>
                <w:bCs/>
                <w:color w:val="000000"/>
                <w:sz w:val="6"/>
                <w:szCs w:val="12"/>
                <w:u w:val="single"/>
                <w:lang w:eastAsia="en-US"/>
              </w:rPr>
              <w:t>ja</w:t>
            </w:r>
            <w:r w:rsidRPr="00B907A3">
              <w:rPr>
                <w:rFonts w:ascii="Garamond" w:hAnsi="Garamond" w:cs="Arial"/>
                <w:b/>
                <w:bCs/>
                <w:color w:val="000000"/>
                <w:sz w:val="6"/>
                <w:szCs w:val="12"/>
                <w:u w:val="single"/>
                <w:lang w:eastAsia="en-US"/>
              </w:rPr>
              <w:t xml:space="preserve"> e zbatimit t</w:t>
            </w:r>
            <w:r w:rsidR="00DB76F6">
              <w:rPr>
                <w:rFonts w:ascii="Garamond" w:hAnsi="Garamond" w:cs="Arial"/>
                <w:b/>
                <w:bCs/>
                <w:color w:val="000000"/>
                <w:sz w:val="6"/>
                <w:szCs w:val="12"/>
                <w:u w:val="single"/>
                <w:lang w:eastAsia="en-US"/>
              </w:rPr>
              <w:t>ë</w:t>
            </w:r>
            <w:r w:rsidRPr="00B907A3">
              <w:rPr>
                <w:rFonts w:ascii="Garamond" w:hAnsi="Garamond" w:cs="Arial"/>
                <w:b/>
                <w:bCs/>
                <w:color w:val="000000"/>
                <w:sz w:val="6"/>
                <w:szCs w:val="12"/>
                <w:u w:val="single"/>
                <w:lang w:eastAsia="en-US"/>
              </w:rPr>
              <w:t xml:space="preserve"> PVS 2027</w:t>
            </w:r>
            <w:r w:rsidR="00DB76F6">
              <w:rPr>
                <w:rFonts w:ascii="Garamond" w:hAnsi="Garamond" w:cs="Arial"/>
                <w:b/>
                <w:bCs/>
                <w:color w:val="000000"/>
                <w:sz w:val="6"/>
                <w:szCs w:val="12"/>
                <w:u w:val="single"/>
                <w:lang w:eastAsia="en-US"/>
              </w:rPr>
              <w:t>–</w:t>
            </w:r>
            <w:r w:rsidRPr="00B907A3">
              <w:rPr>
                <w:rFonts w:ascii="Garamond" w:hAnsi="Garamond" w:cs="Arial"/>
                <w:b/>
                <w:bCs/>
                <w:color w:val="000000"/>
                <w:sz w:val="6"/>
                <w:szCs w:val="12"/>
                <w:u w:val="single"/>
                <w:lang w:eastAsia="en-US"/>
              </w:rPr>
              <w:t>2029</w:t>
            </w:r>
          </w:p>
        </w:tc>
        <w:tc>
          <w:tcPr>
            <w:tcW w:w="426" w:type="dxa"/>
            <w:tcBorders>
              <w:top w:val="nil"/>
              <w:left w:val="nil"/>
              <w:bottom w:val="single" w:sz="4" w:space="0" w:color="auto"/>
              <w:right w:val="single" w:sz="4" w:space="0" w:color="auto"/>
            </w:tcBorders>
            <w:shd w:val="clear" w:color="auto" w:fill="auto"/>
            <w:noWrap/>
            <w:vAlign w:val="bottom"/>
            <w:hideMark/>
          </w:tcPr>
          <w:p w14:paraId="592A5DEF" w14:textId="77777777" w:rsidR="00962754" w:rsidRPr="00B907A3" w:rsidRDefault="00962754" w:rsidP="00962754">
            <w:pPr>
              <w:spacing w:after="0"/>
              <w:jc w:val="right"/>
              <w:rPr>
                <w:rFonts w:ascii="Garamond" w:hAnsi="Garamond" w:cs="Arial"/>
                <w:b/>
                <w:bCs/>
                <w:color w:val="000000"/>
                <w:sz w:val="6"/>
                <w:szCs w:val="12"/>
                <w:lang w:eastAsia="en-US"/>
              </w:rPr>
            </w:pPr>
            <w:r w:rsidRPr="00B907A3">
              <w:rPr>
                <w:rFonts w:ascii="Garamond" w:hAnsi="Garamond" w:cs="Arial"/>
                <w:b/>
                <w:bCs/>
                <w:color w:val="000000"/>
                <w:sz w:val="6"/>
                <w:szCs w:val="12"/>
                <w:lang w:eastAsia="en-US"/>
              </w:rPr>
              <w:t>923948</w:t>
            </w:r>
          </w:p>
        </w:tc>
        <w:tc>
          <w:tcPr>
            <w:tcW w:w="618" w:type="dxa"/>
            <w:tcBorders>
              <w:top w:val="nil"/>
              <w:left w:val="nil"/>
              <w:bottom w:val="single" w:sz="4" w:space="0" w:color="auto"/>
              <w:right w:val="single" w:sz="4" w:space="0" w:color="auto"/>
            </w:tcBorders>
            <w:shd w:val="clear" w:color="auto" w:fill="auto"/>
            <w:noWrap/>
            <w:vAlign w:val="bottom"/>
            <w:hideMark/>
          </w:tcPr>
          <w:p w14:paraId="4962807A"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112960</w:t>
            </w:r>
          </w:p>
        </w:tc>
        <w:tc>
          <w:tcPr>
            <w:tcW w:w="618" w:type="dxa"/>
            <w:tcBorders>
              <w:top w:val="nil"/>
              <w:left w:val="nil"/>
              <w:bottom w:val="single" w:sz="4" w:space="0" w:color="auto"/>
              <w:right w:val="single" w:sz="4" w:space="0" w:color="auto"/>
            </w:tcBorders>
            <w:shd w:val="clear" w:color="auto" w:fill="auto"/>
            <w:noWrap/>
            <w:vAlign w:val="bottom"/>
            <w:hideMark/>
          </w:tcPr>
          <w:p w14:paraId="62E79C50"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748988</w:t>
            </w:r>
          </w:p>
        </w:tc>
        <w:tc>
          <w:tcPr>
            <w:tcW w:w="605" w:type="dxa"/>
            <w:tcBorders>
              <w:top w:val="nil"/>
              <w:left w:val="nil"/>
              <w:bottom w:val="single" w:sz="4" w:space="0" w:color="auto"/>
              <w:right w:val="single" w:sz="4" w:space="0" w:color="auto"/>
            </w:tcBorders>
            <w:shd w:val="clear" w:color="auto" w:fill="auto"/>
            <w:noWrap/>
            <w:vAlign w:val="bottom"/>
            <w:hideMark/>
          </w:tcPr>
          <w:p w14:paraId="6A649AA7" w14:textId="77777777" w:rsidR="00962754" w:rsidRPr="00B907A3" w:rsidRDefault="00962754" w:rsidP="00962754">
            <w:pPr>
              <w:spacing w:after="0"/>
              <w:jc w:val="right"/>
              <w:rPr>
                <w:rFonts w:ascii="Garamond" w:hAnsi="Garamond" w:cs="Arial"/>
                <w:color w:val="000000"/>
                <w:sz w:val="6"/>
                <w:szCs w:val="12"/>
                <w:lang w:eastAsia="en-US"/>
              </w:rPr>
            </w:pPr>
            <w:r w:rsidRPr="00B907A3">
              <w:rPr>
                <w:rFonts w:ascii="Garamond" w:hAnsi="Garamond" w:cs="Arial"/>
                <w:color w:val="000000"/>
                <w:sz w:val="6"/>
                <w:szCs w:val="12"/>
                <w:lang w:eastAsia="en-US"/>
              </w:rPr>
              <w:t>62000</w:t>
            </w:r>
          </w:p>
        </w:tc>
        <w:tc>
          <w:tcPr>
            <w:tcW w:w="372" w:type="dxa"/>
            <w:tcBorders>
              <w:top w:val="nil"/>
              <w:left w:val="nil"/>
              <w:bottom w:val="nil"/>
              <w:right w:val="nil"/>
            </w:tcBorders>
            <w:shd w:val="clear" w:color="auto" w:fill="auto"/>
            <w:noWrap/>
            <w:vAlign w:val="bottom"/>
            <w:hideMark/>
          </w:tcPr>
          <w:p w14:paraId="308DE098" w14:textId="77777777" w:rsidR="00962754" w:rsidRPr="00B907A3" w:rsidRDefault="00962754" w:rsidP="00962754">
            <w:pPr>
              <w:spacing w:after="0"/>
              <w:jc w:val="left"/>
              <w:rPr>
                <w:rFonts w:ascii="Garamond" w:hAnsi="Garamond" w:cs="Arial"/>
                <w:color w:val="000000"/>
                <w:sz w:val="6"/>
                <w:szCs w:val="12"/>
                <w:lang w:eastAsia="en-US"/>
              </w:rPr>
            </w:pPr>
            <w:r w:rsidRPr="00B907A3">
              <w:rPr>
                <w:rFonts w:ascii="Garamond" w:hAnsi="Garamond" w:cs="Arial"/>
                <w:color w:val="000000"/>
                <w:sz w:val="6"/>
                <w:szCs w:val="12"/>
                <w:lang w:eastAsia="en-US"/>
              </w:rPr>
              <w:t> </w:t>
            </w:r>
          </w:p>
        </w:tc>
        <w:tc>
          <w:tcPr>
            <w:tcW w:w="372" w:type="dxa"/>
            <w:tcBorders>
              <w:top w:val="nil"/>
              <w:left w:val="nil"/>
              <w:bottom w:val="nil"/>
              <w:right w:val="nil"/>
            </w:tcBorders>
            <w:shd w:val="clear" w:color="auto" w:fill="auto"/>
            <w:noWrap/>
            <w:vAlign w:val="bottom"/>
            <w:hideMark/>
          </w:tcPr>
          <w:p w14:paraId="4DEDFE96" w14:textId="77777777" w:rsidR="00962754" w:rsidRPr="00B907A3" w:rsidRDefault="00962754" w:rsidP="00962754">
            <w:pPr>
              <w:spacing w:after="0"/>
              <w:jc w:val="left"/>
              <w:rPr>
                <w:rFonts w:ascii="Garamond" w:hAnsi="Garamond" w:cs="Arial"/>
                <w:color w:val="000000"/>
                <w:sz w:val="6"/>
                <w:szCs w:val="12"/>
                <w:lang w:eastAsia="en-US"/>
              </w:rPr>
            </w:pPr>
          </w:p>
        </w:tc>
        <w:tc>
          <w:tcPr>
            <w:tcW w:w="324" w:type="dxa"/>
            <w:tcBorders>
              <w:top w:val="nil"/>
              <w:left w:val="nil"/>
              <w:bottom w:val="nil"/>
              <w:right w:val="nil"/>
            </w:tcBorders>
            <w:shd w:val="clear" w:color="auto" w:fill="auto"/>
            <w:noWrap/>
            <w:vAlign w:val="bottom"/>
            <w:hideMark/>
          </w:tcPr>
          <w:p w14:paraId="3E4C9264"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A98CE4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732DA233"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8B471C5"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D7D5420"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4C114D5B"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4ED16E1B"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379D7AD"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453E7D6"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1F1A402"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4E2D9B18"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46A3D4AA"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16225BA5"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3F229345" w14:textId="77777777" w:rsidR="00962754" w:rsidRPr="00B907A3" w:rsidRDefault="00962754" w:rsidP="00962754">
            <w:pPr>
              <w:spacing w:after="0"/>
              <w:jc w:val="left"/>
              <w:rPr>
                <w:rFonts w:ascii="Garamond" w:hAnsi="Garamond"/>
                <w:sz w:val="6"/>
                <w:szCs w:val="12"/>
                <w:lang w:eastAsia="en-US"/>
              </w:rPr>
            </w:pPr>
          </w:p>
        </w:tc>
      </w:tr>
      <w:tr w:rsidR="00962754" w:rsidRPr="00B907A3" w14:paraId="1BE67E33" w14:textId="77777777" w:rsidTr="00962754">
        <w:trPr>
          <w:trHeight w:val="20"/>
        </w:trPr>
        <w:tc>
          <w:tcPr>
            <w:tcW w:w="718" w:type="dxa"/>
            <w:tcBorders>
              <w:top w:val="nil"/>
              <w:left w:val="nil"/>
              <w:bottom w:val="nil"/>
              <w:right w:val="nil"/>
            </w:tcBorders>
            <w:shd w:val="clear" w:color="auto" w:fill="auto"/>
            <w:noWrap/>
            <w:vAlign w:val="bottom"/>
            <w:hideMark/>
          </w:tcPr>
          <w:p w14:paraId="2A7C648A"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0129CF8A"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3C0B8699"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21376E88"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6981944"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40E38F1"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60AB5D53"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29282906"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04BA85ED"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02B0982A" w14:textId="77777777" w:rsidR="00962754" w:rsidRPr="00B907A3" w:rsidRDefault="00962754" w:rsidP="00962754">
            <w:pPr>
              <w:spacing w:after="0"/>
              <w:jc w:val="left"/>
              <w:rPr>
                <w:rFonts w:ascii="Garamond" w:hAnsi="Garamond"/>
                <w:sz w:val="6"/>
                <w:szCs w:val="12"/>
                <w:lang w:eastAsia="en-US"/>
              </w:rPr>
            </w:pPr>
          </w:p>
        </w:tc>
        <w:tc>
          <w:tcPr>
            <w:tcW w:w="2857" w:type="dxa"/>
            <w:gridSpan w:val="6"/>
            <w:tcBorders>
              <w:top w:val="nil"/>
              <w:left w:val="nil"/>
              <w:bottom w:val="nil"/>
              <w:right w:val="nil"/>
            </w:tcBorders>
            <w:shd w:val="clear" w:color="auto" w:fill="auto"/>
            <w:noWrap/>
            <w:vAlign w:val="bottom"/>
            <w:hideMark/>
          </w:tcPr>
          <w:p w14:paraId="4BCA262D"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527588E"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618" w:type="dxa"/>
            <w:tcBorders>
              <w:top w:val="nil"/>
              <w:left w:val="nil"/>
              <w:bottom w:val="single" w:sz="4" w:space="0" w:color="auto"/>
              <w:right w:val="single" w:sz="4" w:space="0" w:color="auto"/>
            </w:tcBorders>
            <w:shd w:val="clear" w:color="auto" w:fill="auto"/>
            <w:noWrap/>
            <w:vAlign w:val="bottom"/>
            <w:hideMark/>
          </w:tcPr>
          <w:p w14:paraId="717CFFA6"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618" w:type="dxa"/>
            <w:tcBorders>
              <w:top w:val="nil"/>
              <w:left w:val="nil"/>
              <w:bottom w:val="single" w:sz="4" w:space="0" w:color="auto"/>
              <w:right w:val="single" w:sz="4" w:space="0" w:color="auto"/>
            </w:tcBorders>
            <w:shd w:val="clear" w:color="auto" w:fill="auto"/>
            <w:noWrap/>
            <w:vAlign w:val="bottom"/>
            <w:hideMark/>
          </w:tcPr>
          <w:p w14:paraId="636868C1"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605" w:type="dxa"/>
            <w:tcBorders>
              <w:top w:val="nil"/>
              <w:left w:val="nil"/>
              <w:bottom w:val="single" w:sz="4" w:space="0" w:color="auto"/>
              <w:right w:val="single" w:sz="4" w:space="0" w:color="auto"/>
            </w:tcBorders>
            <w:shd w:val="clear" w:color="auto" w:fill="auto"/>
            <w:noWrap/>
            <w:vAlign w:val="bottom"/>
            <w:hideMark/>
          </w:tcPr>
          <w:p w14:paraId="3787B238" w14:textId="77777777" w:rsidR="00962754" w:rsidRPr="00B907A3" w:rsidRDefault="00962754" w:rsidP="00962754">
            <w:pPr>
              <w:spacing w:after="0"/>
              <w:jc w:val="left"/>
              <w:rPr>
                <w:rFonts w:ascii="Garamond" w:hAnsi="Garamond" w:cs="Arial"/>
                <w:color w:val="FF0000"/>
                <w:sz w:val="6"/>
                <w:szCs w:val="12"/>
                <w:lang w:eastAsia="en-US"/>
              </w:rPr>
            </w:pPr>
            <w:r w:rsidRPr="00B907A3">
              <w:rPr>
                <w:rFonts w:ascii="Garamond" w:hAnsi="Garamond" w:cs="Arial"/>
                <w:color w:val="FF0000"/>
                <w:sz w:val="6"/>
                <w:szCs w:val="12"/>
                <w:lang w:eastAsia="en-US"/>
              </w:rPr>
              <w:t> </w:t>
            </w:r>
          </w:p>
        </w:tc>
        <w:tc>
          <w:tcPr>
            <w:tcW w:w="372" w:type="dxa"/>
            <w:tcBorders>
              <w:top w:val="nil"/>
              <w:left w:val="nil"/>
              <w:bottom w:val="nil"/>
              <w:right w:val="nil"/>
            </w:tcBorders>
            <w:shd w:val="clear" w:color="auto" w:fill="auto"/>
            <w:noWrap/>
            <w:vAlign w:val="bottom"/>
            <w:hideMark/>
          </w:tcPr>
          <w:p w14:paraId="6BCCDCB7" w14:textId="77777777" w:rsidR="00962754" w:rsidRPr="00B907A3" w:rsidRDefault="00962754" w:rsidP="00962754">
            <w:pPr>
              <w:spacing w:after="0"/>
              <w:jc w:val="left"/>
              <w:rPr>
                <w:rFonts w:ascii="Garamond" w:hAnsi="Garamond" w:cs="Arial"/>
                <w:color w:val="FF0000"/>
                <w:sz w:val="6"/>
                <w:szCs w:val="12"/>
                <w:lang w:eastAsia="en-US"/>
              </w:rPr>
            </w:pPr>
          </w:p>
        </w:tc>
        <w:tc>
          <w:tcPr>
            <w:tcW w:w="372" w:type="dxa"/>
            <w:tcBorders>
              <w:top w:val="nil"/>
              <w:left w:val="nil"/>
              <w:bottom w:val="nil"/>
              <w:right w:val="nil"/>
            </w:tcBorders>
            <w:shd w:val="clear" w:color="auto" w:fill="auto"/>
            <w:noWrap/>
            <w:vAlign w:val="bottom"/>
            <w:hideMark/>
          </w:tcPr>
          <w:p w14:paraId="2D3C5889"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F1D4393"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20B66D5E"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18E7882"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21B1C009"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B20E49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77EDA3EE"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72B6DB11"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6BFF13E2"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33AAB6EB"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37382BEA"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00F981FC"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7EFC4914"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2F8C8EBC"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3E4C9B16" w14:textId="77777777" w:rsidR="00962754" w:rsidRPr="00B907A3" w:rsidRDefault="00962754" w:rsidP="00962754">
            <w:pPr>
              <w:spacing w:after="0"/>
              <w:jc w:val="left"/>
              <w:rPr>
                <w:rFonts w:ascii="Garamond" w:hAnsi="Garamond"/>
                <w:sz w:val="6"/>
                <w:szCs w:val="12"/>
                <w:lang w:eastAsia="en-US"/>
              </w:rPr>
            </w:pPr>
          </w:p>
        </w:tc>
      </w:tr>
      <w:tr w:rsidR="00962754" w:rsidRPr="00B907A3" w14:paraId="6261566B" w14:textId="77777777" w:rsidTr="00962754">
        <w:trPr>
          <w:trHeight w:val="20"/>
        </w:trPr>
        <w:tc>
          <w:tcPr>
            <w:tcW w:w="718" w:type="dxa"/>
            <w:tcBorders>
              <w:top w:val="nil"/>
              <w:left w:val="nil"/>
              <w:bottom w:val="nil"/>
              <w:right w:val="nil"/>
            </w:tcBorders>
            <w:shd w:val="clear" w:color="auto" w:fill="auto"/>
            <w:noWrap/>
            <w:vAlign w:val="bottom"/>
            <w:hideMark/>
          </w:tcPr>
          <w:p w14:paraId="748430E2" w14:textId="77777777" w:rsidR="00962754" w:rsidRPr="00B907A3" w:rsidRDefault="00962754" w:rsidP="00962754">
            <w:pPr>
              <w:spacing w:after="0"/>
              <w:jc w:val="left"/>
              <w:rPr>
                <w:rFonts w:ascii="Garamond" w:hAnsi="Garamond"/>
                <w:sz w:val="6"/>
                <w:szCs w:val="12"/>
                <w:lang w:eastAsia="en-US"/>
              </w:rPr>
            </w:pPr>
          </w:p>
        </w:tc>
        <w:tc>
          <w:tcPr>
            <w:tcW w:w="571" w:type="dxa"/>
            <w:tcBorders>
              <w:top w:val="nil"/>
              <w:left w:val="nil"/>
              <w:bottom w:val="nil"/>
              <w:right w:val="nil"/>
            </w:tcBorders>
            <w:shd w:val="clear" w:color="auto" w:fill="auto"/>
            <w:noWrap/>
            <w:vAlign w:val="bottom"/>
            <w:hideMark/>
          </w:tcPr>
          <w:p w14:paraId="0E543D73" w14:textId="77777777" w:rsidR="00962754" w:rsidRPr="00B907A3" w:rsidRDefault="00962754" w:rsidP="00962754">
            <w:pPr>
              <w:spacing w:after="0"/>
              <w:jc w:val="left"/>
              <w:rPr>
                <w:rFonts w:ascii="Garamond" w:hAnsi="Garamond"/>
                <w:sz w:val="6"/>
                <w:szCs w:val="12"/>
                <w:lang w:eastAsia="en-US"/>
              </w:rPr>
            </w:pPr>
          </w:p>
        </w:tc>
        <w:tc>
          <w:tcPr>
            <w:tcW w:w="470" w:type="dxa"/>
            <w:tcBorders>
              <w:top w:val="nil"/>
              <w:left w:val="nil"/>
              <w:bottom w:val="nil"/>
              <w:right w:val="nil"/>
            </w:tcBorders>
            <w:shd w:val="clear" w:color="auto" w:fill="auto"/>
            <w:noWrap/>
            <w:vAlign w:val="bottom"/>
            <w:hideMark/>
          </w:tcPr>
          <w:p w14:paraId="50C61541" w14:textId="77777777" w:rsidR="00962754" w:rsidRPr="00B907A3" w:rsidRDefault="00962754" w:rsidP="00962754">
            <w:pPr>
              <w:spacing w:after="0"/>
              <w:jc w:val="left"/>
              <w:rPr>
                <w:rFonts w:ascii="Garamond" w:hAnsi="Garamond"/>
                <w:sz w:val="6"/>
                <w:szCs w:val="12"/>
                <w:lang w:eastAsia="en-US"/>
              </w:rPr>
            </w:pPr>
          </w:p>
        </w:tc>
        <w:tc>
          <w:tcPr>
            <w:tcW w:w="668" w:type="dxa"/>
            <w:tcBorders>
              <w:top w:val="nil"/>
              <w:left w:val="nil"/>
              <w:bottom w:val="nil"/>
              <w:right w:val="nil"/>
            </w:tcBorders>
            <w:shd w:val="clear" w:color="auto" w:fill="auto"/>
            <w:noWrap/>
            <w:vAlign w:val="bottom"/>
            <w:hideMark/>
          </w:tcPr>
          <w:p w14:paraId="5A2A4C75"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23C40949"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32A4F4C3" w14:textId="77777777" w:rsidR="00962754" w:rsidRPr="00B907A3" w:rsidRDefault="00962754" w:rsidP="00962754">
            <w:pPr>
              <w:spacing w:after="0"/>
              <w:jc w:val="left"/>
              <w:rPr>
                <w:rFonts w:ascii="Garamond" w:hAnsi="Garamond"/>
                <w:sz w:val="6"/>
                <w:szCs w:val="12"/>
                <w:lang w:eastAsia="en-US"/>
              </w:rPr>
            </w:pPr>
          </w:p>
        </w:tc>
        <w:tc>
          <w:tcPr>
            <w:tcW w:w="366" w:type="dxa"/>
            <w:tcBorders>
              <w:top w:val="nil"/>
              <w:left w:val="nil"/>
              <w:bottom w:val="nil"/>
              <w:right w:val="nil"/>
            </w:tcBorders>
            <w:shd w:val="clear" w:color="auto" w:fill="auto"/>
            <w:noWrap/>
            <w:vAlign w:val="bottom"/>
            <w:hideMark/>
          </w:tcPr>
          <w:p w14:paraId="7D4E9C00" w14:textId="77777777" w:rsidR="00962754" w:rsidRPr="00B907A3" w:rsidRDefault="00962754" w:rsidP="00962754">
            <w:pPr>
              <w:spacing w:after="0"/>
              <w:jc w:val="left"/>
              <w:rPr>
                <w:rFonts w:ascii="Garamond" w:hAnsi="Garamond"/>
                <w:sz w:val="6"/>
                <w:szCs w:val="12"/>
                <w:lang w:eastAsia="en-US"/>
              </w:rPr>
            </w:pPr>
          </w:p>
        </w:tc>
        <w:tc>
          <w:tcPr>
            <w:tcW w:w="359" w:type="dxa"/>
            <w:tcBorders>
              <w:top w:val="nil"/>
              <w:left w:val="nil"/>
              <w:bottom w:val="nil"/>
              <w:right w:val="nil"/>
            </w:tcBorders>
            <w:shd w:val="clear" w:color="auto" w:fill="auto"/>
            <w:noWrap/>
            <w:vAlign w:val="bottom"/>
            <w:hideMark/>
          </w:tcPr>
          <w:p w14:paraId="4BC3B0EC" w14:textId="77777777" w:rsidR="00962754" w:rsidRPr="00B907A3" w:rsidRDefault="00962754" w:rsidP="00962754">
            <w:pPr>
              <w:spacing w:after="0"/>
              <w:jc w:val="left"/>
              <w:rPr>
                <w:rFonts w:ascii="Garamond" w:hAnsi="Garamond"/>
                <w:sz w:val="6"/>
                <w:szCs w:val="12"/>
                <w:lang w:eastAsia="en-US"/>
              </w:rPr>
            </w:pPr>
          </w:p>
        </w:tc>
        <w:tc>
          <w:tcPr>
            <w:tcW w:w="525" w:type="dxa"/>
            <w:tcBorders>
              <w:top w:val="nil"/>
              <w:left w:val="nil"/>
              <w:bottom w:val="nil"/>
              <w:right w:val="nil"/>
            </w:tcBorders>
            <w:shd w:val="clear" w:color="auto" w:fill="auto"/>
            <w:noWrap/>
            <w:vAlign w:val="bottom"/>
            <w:hideMark/>
          </w:tcPr>
          <w:p w14:paraId="2D673091" w14:textId="77777777" w:rsidR="00962754" w:rsidRPr="00B907A3" w:rsidRDefault="00962754" w:rsidP="00962754">
            <w:pPr>
              <w:spacing w:after="0"/>
              <w:jc w:val="left"/>
              <w:rPr>
                <w:rFonts w:ascii="Garamond" w:hAnsi="Garamond"/>
                <w:sz w:val="6"/>
                <w:szCs w:val="12"/>
                <w:lang w:eastAsia="en-US"/>
              </w:rPr>
            </w:pPr>
          </w:p>
        </w:tc>
        <w:tc>
          <w:tcPr>
            <w:tcW w:w="236" w:type="dxa"/>
            <w:tcBorders>
              <w:top w:val="nil"/>
              <w:left w:val="nil"/>
              <w:bottom w:val="nil"/>
              <w:right w:val="nil"/>
            </w:tcBorders>
            <w:shd w:val="clear" w:color="auto" w:fill="auto"/>
            <w:noWrap/>
            <w:vAlign w:val="bottom"/>
            <w:hideMark/>
          </w:tcPr>
          <w:p w14:paraId="6ABEF48E" w14:textId="77777777" w:rsidR="00962754" w:rsidRPr="00B907A3" w:rsidRDefault="00962754" w:rsidP="00962754">
            <w:pPr>
              <w:spacing w:after="0"/>
              <w:jc w:val="left"/>
              <w:rPr>
                <w:rFonts w:ascii="Garamond" w:hAnsi="Garamond"/>
                <w:sz w:val="6"/>
                <w:szCs w:val="12"/>
                <w:lang w:eastAsia="en-US"/>
              </w:rPr>
            </w:pPr>
          </w:p>
        </w:tc>
        <w:tc>
          <w:tcPr>
            <w:tcW w:w="714" w:type="dxa"/>
            <w:tcBorders>
              <w:top w:val="nil"/>
              <w:left w:val="nil"/>
              <w:bottom w:val="nil"/>
              <w:right w:val="nil"/>
            </w:tcBorders>
            <w:shd w:val="clear" w:color="auto" w:fill="auto"/>
            <w:noWrap/>
            <w:vAlign w:val="bottom"/>
            <w:hideMark/>
          </w:tcPr>
          <w:p w14:paraId="3AB8C92C" w14:textId="77777777" w:rsidR="00962754" w:rsidRPr="00B907A3" w:rsidRDefault="00962754" w:rsidP="00962754">
            <w:pPr>
              <w:spacing w:after="0"/>
              <w:jc w:val="left"/>
              <w:rPr>
                <w:rFonts w:ascii="Garamond" w:hAnsi="Garamond"/>
                <w:sz w:val="6"/>
                <w:szCs w:val="12"/>
                <w:lang w:eastAsia="en-US"/>
              </w:rPr>
            </w:pPr>
          </w:p>
        </w:tc>
        <w:tc>
          <w:tcPr>
            <w:tcW w:w="520" w:type="dxa"/>
            <w:tcBorders>
              <w:top w:val="nil"/>
              <w:left w:val="nil"/>
              <w:bottom w:val="nil"/>
              <w:right w:val="nil"/>
            </w:tcBorders>
            <w:shd w:val="clear" w:color="auto" w:fill="auto"/>
            <w:noWrap/>
            <w:vAlign w:val="bottom"/>
            <w:hideMark/>
          </w:tcPr>
          <w:p w14:paraId="5E0A71CD" w14:textId="77777777" w:rsidR="00962754" w:rsidRPr="00B907A3" w:rsidRDefault="00962754" w:rsidP="00962754">
            <w:pPr>
              <w:spacing w:after="0"/>
              <w:jc w:val="left"/>
              <w:rPr>
                <w:rFonts w:ascii="Garamond" w:hAnsi="Garamond"/>
                <w:sz w:val="6"/>
                <w:szCs w:val="12"/>
                <w:lang w:eastAsia="en-US"/>
              </w:rPr>
            </w:pPr>
          </w:p>
        </w:tc>
        <w:tc>
          <w:tcPr>
            <w:tcW w:w="512" w:type="dxa"/>
            <w:tcBorders>
              <w:top w:val="nil"/>
              <w:left w:val="nil"/>
              <w:bottom w:val="nil"/>
              <w:right w:val="nil"/>
            </w:tcBorders>
            <w:shd w:val="clear" w:color="auto" w:fill="auto"/>
            <w:noWrap/>
            <w:vAlign w:val="bottom"/>
            <w:hideMark/>
          </w:tcPr>
          <w:p w14:paraId="51BCB6FD" w14:textId="77777777" w:rsidR="00962754" w:rsidRPr="00B907A3" w:rsidRDefault="00962754" w:rsidP="00962754">
            <w:pPr>
              <w:spacing w:after="0"/>
              <w:jc w:val="left"/>
              <w:rPr>
                <w:rFonts w:ascii="Garamond" w:hAnsi="Garamond"/>
                <w:sz w:val="6"/>
                <w:szCs w:val="12"/>
                <w:lang w:eastAsia="en-US"/>
              </w:rPr>
            </w:pPr>
          </w:p>
        </w:tc>
        <w:tc>
          <w:tcPr>
            <w:tcW w:w="367" w:type="dxa"/>
            <w:tcBorders>
              <w:top w:val="nil"/>
              <w:left w:val="nil"/>
              <w:bottom w:val="nil"/>
              <w:right w:val="nil"/>
            </w:tcBorders>
            <w:shd w:val="clear" w:color="auto" w:fill="auto"/>
            <w:noWrap/>
            <w:vAlign w:val="bottom"/>
            <w:hideMark/>
          </w:tcPr>
          <w:p w14:paraId="4FC4E8D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50266823"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6C75D83C" w14:textId="77777777" w:rsidR="00962754" w:rsidRPr="00B907A3" w:rsidRDefault="00962754" w:rsidP="00962754">
            <w:pPr>
              <w:spacing w:after="0"/>
              <w:jc w:val="left"/>
              <w:rPr>
                <w:rFonts w:ascii="Garamond" w:hAnsi="Garamond"/>
                <w:sz w:val="6"/>
                <w:szCs w:val="12"/>
                <w:lang w:eastAsia="en-US"/>
              </w:rPr>
            </w:pPr>
          </w:p>
        </w:tc>
        <w:tc>
          <w:tcPr>
            <w:tcW w:w="426" w:type="dxa"/>
            <w:tcBorders>
              <w:top w:val="nil"/>
              <w:left w:val="nil"/>
              <w:bottom w:val="nil"/>
              <w:right w:val="nil"/>
            </w:tcBorders>
            <w:shd w:val="clear" w:color="auto" w:fill="auto"/>
            <w:noWrap/>
            <w:vAlign w:val="bottom"/>
            <w:hideMark/>
          </w:tcPr>
          <w:p w14:paraId="7FF5679C"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0494C895" w14:textId="77777777" w:rsidR="00962754" w:rsidRPr="00B907A3" w:rsidRDefault="00962754" w:rsidP="00962754">
            <w:pPr>
              <w:spacing w:after="0"/>
              <w:jc w:val="left"/>
              <w:rPr>
                <w:rFonts w:ascii="Garamond" w:hAnsi="Garamond"/>
                <w:sz w:val="6"/>
                <w:szCs w:val="12"/>
                <w:lang w:eastAsia="en-US"/>
              </w:rPr>
            </w:pPr>
          </w:p>
        </w:tc>
        <w:tc>
          <w:tcPr>
            <w:tcW w:w="618" w:type="dxa"/>
            <w:tcBorders>
              <w:top w:val="nil"/>
              <w:left w:val="nil"/>
              <w:bottom w:val="nil"/>
              <w:right w:val="nil"/>
            </w:tcBorders>
            <w:shd w:val="clear" w:color="auto" w:fill="auto"/>
            <w:noWrap/>
            <w:vAlign w:val="bottom"/>
            <w:hideMark/>
          </w:tcPr>
          <w:p w14:paraId="5ADFA7D0" w14:textId="77777777" w:rsidR="00962754" w:rsidRPr="00B907A3" w:rsidRDefault="00962754" w:rsidP="00962754">
            <w:pPr>
              <w:spacing w:after="0"/>
              <w:jc w:val="left"/>
              <w:rPr>
                <w:rFonts w:ascii="Garamond" w:hAnsi="Garamond"/>
                <w:sz w:val="6"/>
                <w:szCs w:val="12"/>
                <w:lang w:eastAsia="en-US"/>
              </w:rPr>
            </w:pPr>
          </w:p>
        </w:tc>
        <w:tc>
          <w:tcPr>
            <w:tcW w:w="605" w:type="dxa"/>
            <w:tcBorders>
              <w:top w:val="nil"/>
              <w:left w:val="nil"/>
              <w:bottom w:val="nil"/>
              <w:right w:val="nil"/>
            </w:tcBorders>
            <w:shd w:val="clear" w:color="auto" w:fill="auto"/>
            <w:noWrap/>
            <w:vAlign w:val="bottom"/>
            <w:hideMark/>
          </w:tcPr>
          <w:p w14:paraId="5135AC6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1324D7F2"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77D2C8B"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68228ADD"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10362D3C"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09720E53"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779C2A1D"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3D08A1EE" w14:textId="77777777" w:rsidR="00962754" w:rsidRPr="00B907A3" w:rsidRDefault="00962754" w:rsidP="00962754">
            <w:pPr>
              <w:spacing w:after="0"/>
              <w:jc w:val="left"/>
              <w:rPr>
                <w:rFonts w:ascii="Garamond" w:hAnsi="Garamond"/>
                <w:sz w:val="6"/>
                <w:szCs w:val="12"/>
                <w:lang w:eastAsia="en-US"/>
              </w:rPr>
            </w:pPr>
          </w:p>
        </w:tc>
        <w:tc>
          <w:tcPr>
            <w:tcW w:w="372" w:type="dxa"/>
            <w:tcBorders>
              <w:top w:val="nil"/>
              <w:left w:val="nil"/>
              <w:bottom w:val="nil"/>
              <w:right w:val="nil"/>
            </w:tcBorders>
            <w:shd w:val="clear" w:color="auto" w:fill="auto"/>
            <w:noWrap/>
            <w:vAlign w:val="bottom"/>
            <w:hideMark/>
          </w:tcPr>
          <w:p w14:paraId="0F3909FF" w14:textId="77777777" w:rsidR="00962754" w:rsidRPr="00B907A3" w:rsidRDefault="00962754" w:rsidP="00962754">
            <w:pPr>
              <w:spacing w:after="0"/>
              <w:jc w:val="left"/>
              <w:rPr>
                <w:rFonts w:ascii="Garamond" w:hAnsi="Garamond"/>
                <w:sz w:val="6"/>
                <w:szCs w:val="12"/>
                <w:lang w:eastAsia="en-US"/>
              </w:rPr>
            </w:pPr>
          </w:p>
        </w:tc>
        <w:tc>
          <w:tcPr>
            <w:tcW w:w="324" w:type="dxa"/>
            <w:tcBorders>
              <w:top w:val="nil"/>
              <w:left w:val="nil"/>
              <w:bottom w:val="nil"/>
              <w:right w:val="nil"/>
            </w:tcBorders>
            <w:shd w:val="clear" w:color="auto" w:fill="auto"/>
            <w:noWrap/>
            <w:vAlign w:val="bottom"/>
            <w:hideMark/>
          </w:tcPr>
          <w:p w14:paraId="1A4129A5"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0E766A6" w14:textId="77777777" w:rsidR="00962754" w:rsidRPr="00B907A3" w:rsidRDefault="00962754" w:rsidP="00962754">
            <w:pPr>
              <w:spacing w:after="0"/>
              <w:jc w:val="left"/>
              <w:rPr>
                <w:rFonts w:ascii="Garamond" w:hAnsi="Garamond"/>
                <w:sz w:val="6"/>
                <w:szCs w:val="12"/>
                <w:lang w:eastAsia="en-US"/>
              </w:rPr>
            </w:pPr>
          </w:p>
        </w:tc>
        <w:tc>
          <w:tcPr>
            <w:tcW w:w="382" w:type="dxa"/>
            <w:tcBorders>
              <w:top w:val="nil"/>
              <w:left w:val="nil"/>
              <w:bottom w:val="nil"/>
              <w:right w:val="nil"/>
            </w:tcBorders>
            <w:shd w:val="clear" w:color="auto" w:fill="auto"/>
            <w:noWrap/>
            <w:vAlign w:val="bottom"/>
            <w:hideMark/>
          </w:tcPr>
          <w:p w14:paraId="5859C1A0" w14:textId="77777777" w:rsidR="00962754" w:rsidRPr="00B907A3" w:rsidRDefault="00962754" w:rsidP="00962754">
            <w:pPr>
              <w:spacing w:after="0"/>
              <w:jc w:val="left"/>
              <w:rPr>
                <w:rFonts w:ascii="Garamond" w:hAnsi="Garamond"/>
                <w:sz w:val="6"/>
                <w:szCs w:val="12"/>
                <w:lang w:eastAsia="en-US"/>
              </w:rPr>
            </w:pPr>
          </w:p>
        </w:tc>
        <w:tc>
          <w:tcPr>
            <w:tcW w:w="369" w:type="dxa"/>
            <w:tcBorders>
              <w:top w:val="nil"/>
              <w:left w:val="nil"/>
              <w:bottom w:val="nil"/>
              <w:right w:val="nil"/>
            </w:tcBorders>
            <w:shd w:val="clear" w:color="auto" w:fill="auto"/>
            <w:noWrap/>
            <w:vAlign w:val="bottom"/>
            <w:hideMark/>
          </w:tcPr>
          <w:p w14:paraId="0665F05E" w14:textId="77777777" w:rsidR="00962754" w:rsidRPr="00B907A3" w:rsidRDefault="00962754" w:rsidP="00962754">
            <w:pPr>
              <w:spacing w:after="0"/>
              <w:jc w:val="left"/>
              <w:rPr>
                <w:rFonts w:ascii="Garamond" w:hAnsi="Garamond"/>
                <w:sz w:val="6"/>
                <w:szCs w:val="12"/>
                <w:lang w:eastAsia="en-US"/>
              </w:rPr>
            </w:pPr>
          </w:p>
        </w:tc>
        <w:tc>
          <w:tcPr>
            <w:tcW w:w="464" w:type="dxa"/>
            <w:tcBorders>
              <w:top w:val="nil"/>
              <w:left w:val="nil"/>
              <w:bottom w:val="nil"/>
              <w:right w:val="nil"/>
            </w:tcBorders>
            <w:shd w:val="clear" w:color="auto" w:fill="auto"/>
            <w:noWrap/>
            <w:vAlign w:val="bottom"/>
            <w:hideMark/>
          </w:tcPr>
          <w:p w14:paraId="0FC30671" w14:textId="77777777" w:rsidR="00962754" w:rsidRPr="00B907A3" w:rsidRDefault="00962754" w:rsidP="00962754">
            <w:pPr>
              <w:spacing w:after="0"/>
              <w:jc w:val="left"/>
              <w:rPr>
                <w:rFonts w:ascii="Garamond" w:hAnsi="Garamond"/>
                <w:sz w:val="6"/>
                <w:szCs w:val="12"/>
                <w:lang w:eastAsia="en-US"/>
              </w:rPr>
            </w:pPr>
          </w:p>
        </w:tc>
        <w:tc>
          <w:tcPr>
            <w:tcW w:w="442" w:type="dxa"/>
            <w:tcBorders>
              <w:top w:val="nil"/>
              <w:left w:val="nil"/>
              <w:bottom w:val="nil"/>
              <w:right w:val="nil"/>
            </w:tcBorders>
            <w:shd w:val="clear" w:color="auto" w:fill="auto"/>
            <w:noWrap/>
            <w:vAlign w:val="bottom"/>
            <w:hideMark/>
          </w:tcPr>
          <w:p w14:paraId="47DACAAF" w14:textId="77777777" w:rsidR="00962754" w:rsidRPr="00B907A3" w:rsidRDefault="00962754" w:rsidP="00962754">
            <w:pPr>
              <w:spacing w:after="0"/>
              <w:jc w:val="left"/>
              <w:rPr>
                <w:rFonts w:ascii="Garamond" w:hAnsi="Garamond"/>
                <w:sz w:val="6"/>
                <w:szCs w:val="12"/>
                <w:lang w:eastAsia="en-US"/>
              </w:rPr>
            </w:pPr>
          </w:p>
        </w:tc>
        <w:tc>
          <w:tcPr>
            <w:tcW w:w="287" w:type="dxa"/>
            <w:tcBorders>
              <w:top w:val="nil"/>
              <w:left w:val="nil"/>
              <w:bottom w:val="nil"/>
              <w:right w:val="nil"/>
            </w:tcBorders>
            <w:shd w:val="clear" w:color="auto" w:fill="auto"/>
            <w:noWrap/>
            <w:vAlign w:val="bottom"/>
            <w:hideMark/>
          </w:tcPr>
          <w:p w14:paraId="2F9E66CE" w14:textId="77777777" w:rsidR="00962754" w:rsidRPr="00B907A3" w:rsidRDefault="00962754" w:rsidP="00962754">
            <w:pPr>
              <w:spacing w:after="0"/>
              <w:jc w:val="left"/>
              <w:rPr>
                <w:rFonts w:ascii="Garamond" w:hAnsi="Garamond"/>
                <w:sz w:val="6"/>
                <w:szCs w:val="12"/>
                <w:lang w:eastAsia="en-US"/>
              </w:rPr>
            </w:pPr>
          </w:p>
        </w:tc>
        <w:tc>
          <w:tcPr>
            <w:tcW w:w="394" w:type="dxa"/>
            <w:tcBorders>
              <w:top w:val="nil"/>
              <w:left w:val="nil"/>
              <w:bottom w:val="nil"/>
              <w:right w:val="nil"/>
            </w:tcBorders>
            <w:shd w:val="clear" w:color="auto" w:fill="auto"/>
            <w:noWrap/>
            <w:vAlign w:val="bottom"/>
            <w:hideMark/>
          </w:tcPr>
          <w:p w14:paraId="6ADAAE65" w14:textId="77777777" w:rsidR="00962754" w:rsidRPr="00B907A3" w:rsidRDefault="00962754" w:rsidP="00962754">
            <w:pPr>
              <w:spacing w:after="0"/>
              <w:jc w:val="left"/>
              <w:rPr>
                <w:rFonts w:ascii="Garamond" w:hAnsi="Garamond"/>
                <w:sz w:val="6"/>
                <w:szCs w:val="12"/>
                <w:lang w:eastAsia="en-US"/>
              </w:rPr>
            </w:pPr>
          </w:p>
        </w:tc>
      </w:tr>
    </w:tbl>
    <w:p w14:paraId="5B115E18" w14:textId="5333281B" w:rsidR="00962754" w:rsidRPr="00B907A3" w:rsidRDefault="00962754" w:rsidP="008C4E07">
      <w:pPr>
        <w:spacing w:after="0"/>
        <w:ind w:firstLine="284"/>
        <w:rPr>
          <w:rFonts w:ascii="Garamond" w:hAnsi="Garamond"/>
          <w:sz w:val="24"/>
        </w:rPr>
      </w:pPr>
    </w:p>
    <w:sectPr w:rsidR="00962754" w:rsidRPr="00B907A3" w:rsidSect="00962754">
      <w:pgSz w:w="16838" w:h="11906" w:orient="landscape" w:code="9"/>
      <w:pgMar w:top="1134" w:right="1418" w:bottom="1134" w:left="1134"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A0F3A" w14:textId="77777777" w:rsidR="00A41523" w:rsidRPr="00F87055" w:rsidRDefault="00A41523">
      <w:r w:rsidRPr="00F87055">
        <w:separator/>
      </w:r>
    </w:p>
    <w:p w14:paraId="5E06D9A4" w14:textId="77777777" w:rsidR="00A41523" w:rsidRPr="00F87055" w:rsidRDefault="00A41523"/>
    <w:p w14:paraId="47D863E9" w14:textId="77777777" w:rsidR="00A41523" w:rsidRDefault="00A41523"/>
  </w:endnote>
  <w:endnote w:type="continuationSeparator" w:id="0">
    <w:p w14:paraId="19719704" w14:textId="77777777" w:rsidR="00A41523" w:rsidRPr="00F87055" w:rsidRDefault="00A41523">
      <w:r w:rsidRPr="00F87055">
        <w:continuationSeparator/>
      </w:r>
    </w:p>
    <w:p w14:paraId="35BB2A54" w14:textId="77777777" w:rsidR="00A41523" w:rsidRPr="00F87055" w:rsidRDefault="00A41523"/>
    <w:p w14:paraId="6853A2FE" w14:textId="77777777" w:rsidR="00A41523" w:rsidRDefault="00A41523"/>
  </w:endnote>
  <w:endnote w:type="continuationNotice" w:id="1">
    <w:p w14:paraId="14BAF9BD" w14:textId="77777777" w:rsidR="00A41523" w:rsidRDefault="00A4152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0F801" w14:textId="77777777" w:rsidR="00A41523" w:rsidRPr="00F87055" w:rsidRDefault="00A41523" w:rsidP="00AD7D2B">
    <w:pPr>
      <w:pStyle w:val="Footer"/>
      <w:tabs>
        <w:tab w:val="clear" w:pos="4320"/>
        <w:tab w:val="clear" w:pos="8640"/>
        <w:tab w:val="left" w:pos="2601"/>
      </w:tabs>
      <w:spacing w:after="0"/>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C5F8B6" w14:textId="77777777" w:rsidR="00A41523" w:rsidRPr="00F87055" w:rsidRDefault="00A41523">
    <w:pPr>
      <w:pStyle w:val="Footer"/>
      <w:rPr>
        <w:lang w:val="en-GB"/>
      </w:rPr>
    </w:pPr>
  </w:p>
  <w:p w14:paraId="24C9AEA4" w14:textId="77777777" w:rsidR="00A41523" w:rsidRPr="00F87055" w:rsidRDefault="00A415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4317D3" w14:textId="77777777" w:rsidR="00A41523" w:rsidRPr="00F87055" w:rsidRDefault="00A41523">
      <w:r w:rsidRPr="00F87055">
        <w:separator/>
      </w:r>
    </w:p>
    <w:p w14:paraId="2EF5C3FC" w14:textId="77777777" w:rsidR="00A41523" w:rsidRPr="00F87055" w:rsidRDefault="00A41523"/>
    <w:p w14:paraId="256C5538" w14:textId="77777777" w:rsidR="00A41523" w:rsidRDefault="00A41523"/>
  </w:footnote>
  <w:footnote w:type="continuationSeparator" w:id="0">
    <w:p w14:paraId="5C59F316" w14:textId="77777777" w:rsidR="00A41523" w:rsidRPr="00F87055" w:rsidRDefault="00A41523">
      <w:r w:rsidRPr="00F87055">
        <w:continuationSeparator/>
      </w:r>
    </w:p>
    <w:p w14:paraId="01CF8530" w14:textId="77777777" w:rsidR="00A41523" w:rsidRPr="00F87055" w:rsidRDefault="00A41523"/>
    <w:p w14:paraId="11352F06" w14:textId="77777777" w:rsidR="00A41523" w:rsidRDefault="00A41523"/>
  </w:footnote>
  <w:footnote w:type="continuationNotice" w:id="1">
    <w:p w14:paraId="4BB1ACA9" w14:textId="77777777" w:rsidR="00A41523" w:rsidRDefault="00A41523">
      <w:pPr>
        <w:spacing w:after="0"/>
      </w:pPr>
    </w:p>
  </w:footnote>
  <w:footnote w:id="2">
    <w:p w14:paraId="2CB80503" w14:textId="4B9D9F73" w:rsidR="00A41523" w:rsidRPr="007432A8" w:rsidRDefault="00A41523" w:rsidP="007432A8">
      <w:pPr>
        <w:pStyle w:val="FootnoteText"/>
        <w:spacing w:after="0"/>
        <w:ind w:left="0" w:firstLine="0"/>
        <w:rPr>
          <w:rFonts w:ascii="Garamond" w:hAnsi="Garamond"/>
          <w:color w:val="004F88"/>
        </w:rPr>
      </w:pPr>
      <w:r w:rsidRPr="007432A8">
        <w:rPr>
          <w:rStyle w:val="FootnoteReference"/>
          <w:rFonts w:ascii="Garamond" w:hAnsi="Garamond"/>
        </w:rPr>
        <w:footnoteRef/>
      </w:r>
      <w:hyperlink r:id="rId1" w:history="1">
        <w:r w:rsidRPr="00956271">
          <w:rPr>
            <w:rStyle w:val="Hyperlink"/>
            <w:rFonts w:ascii="Garamond" w:hAnsi="Garamond"/>
          </w:rPr>
          <w:t>https://resources.irap.org/Research/iRAP_report_the_true_cost_of_road_crashes_EN.pdf?_gl=1*1wilnzn*_ga*NzQxMTcyMzMxLjE3MzkzNTA1OTA.*_ga_HK6PSM29PR*MTc0NDAyMTY0OC4zLjEuMTc0NDAyMTczOS4wLjAuMA</w:t>
        </w:r>
      </w:hyperlink>
      <w:r w:rsidRPr="007432A8">
        <w:rPr>
          <w:rFonts w:ascii="Garamond" w:hAnsi="Garamond"/>
          <w:color w:val="004F88"/>
        </w:rPr>
        <w:t xml:space="preserve"> </w:t>
      </w:r>
    </w:p>
  </w:footnote>
  <w:footnote w:id="3">
    <w:p w14:paraId="4C8B9571" w14:textId="269CBB0B" w:rsidR="00A41523" w:rsidRPr="007432A8" w:rsidRDefault="00A41523" w:rsidP="007432A8">
      <w:pPr>
        <w:pStyle w:val="FootnoteText"/>
        <w:spacing w:after="0"/>
        <w:ind w:left="0" w:firstLine="0"/>
        <w:rPr>
          <w:rFonts w:ascii="Garamond" w:hAnsi="Garamond"/>
        </w:rPr>
      </w:pPr>
      <w:r w:rsidRPr="007432A8">
        <w:rPr>
          <w:rStyle w:val="FootnoteReference"/>
          <w:rFonts w:ascii="Garamond" w:hAnsi="Garamond"/>
        </w:rPr>
        <w:footnoteRef/>
      </w:r>
      <w:r w:rsidRPr="007432A8">
        <w:rPr>
          <w:rFonts w:ascii="Garamond" w:hAnsi="Garamond"/>
        </w:rPr>
        <w:t xml:space="preserve"> </w:t>
      </w:r>
      <w:hyperlink r:id="rId2" w:history="1">
        <w:r w:rsidRPr="007432A8">
          <w:rPr>
            <w:rStyle w:val="Hyperlink"/>
            <w:rFonts w:ascii="Garamond" w:hAnsi="Garamond"/>
          </w:rPr>
          <w:t>http://publications.europa.eu/resource/cellar/e021854b-a451-11e9-9d01-01aa75ed71a1.0001.01/DOC_1</w:t>
        </w:r>
      </w:hyperlink>
      <w:r w:rsidRPr="007432A8">
        <w:rPr>
          <w:rFonts w:ascii="Garamond" w:hAnsi="Garamond"/>
        </w:rPr>
        <w:t xml:space="preserve">. </w:t>
      </w:r>
    </w:p>
  </w:footnote>
  <w:footnote w:id="4">
    <w:p w14:paraId="63C79F25" w14:textId="6D7437C5" w:rsidR="00A41523" w:rsidRPr="00A021B5" w:rsidRDefault="00A41523" w:rsidP="007432A8">
      <w:pPr>
        <w:pStyle w:val="FootnoteText"/>
        <w:spacing w:after="0"/>
        <w:ind w:left="0" w:firstLine="0"/>
        <w:rPr>
          <w:rFonts w:ascii="Garamond" w:hAnsi="Garamond"/>
          <w:lang w:val="sq-AL"/>
        </w:rPr>
      </w:pPr>
      <w:r w:rsidRPr="007951BD">
        <w:rPr>
          <w:rStyle w:val="FootnoteReference"/>
          <w:rFonts w:ascii="Garamond" w:hAnsi="Garamond"/>
        </w:rPr>
        <w:footnoteRef/>
      </w:r>
      <w:r w:rsidRPr="007951BD">
        <w:rPr>
          <w:rFonts w:ascii="Garamond" w:hAnsi="Garamond"/>
        </w:rPr>
        <w:t xml:space="preserve"> Strategjia </w:t>
      </w:r>
      <w:r w:rsidRPr="00A021B5">
        <w:rPr>
          <w:rFonts w:ascii="Garamond" w:hAnsi="Garamond"/>
          <w:lang w:val="sq-AL"/>
        </w:rPr>
        <w:t>Kombëtare p</w:t>
      </w:r>
      <w:r w:rsidRPr="00A021B5">
        <w:rPr>
          <w:rFonts w:ascii="Garamond" w:hAnsi="Garamond" w:cs="Arial"/>
          <w:lang w:val="sq-AL"/>
        </w:rPr>
        <w:t xml:space="preserve">ër </w:t>
      </w:r>
      <w:r w:rsidRPr="00A021B5">
        <w:rPr>
          <w:rFonts w:ascii="Garamond" w:hAnsi="Garamond"/>
          <w:lang w:val="sq-AL"/>
        </w:rPr>
        <w:t>Sigurinë Rrugore 2011–2020 “Siguria Rrugore si e drejtë dhe përgjegjësi për të gjithë” dhe Strategjia Kombëtare e Transportit dhe Plani i Veprimit 2016–2020.</w:t>
      </w:r>
    </w:p>
  </w:footnote>
  <w:footnote w:id="5">
    <w:p w14:paraId="25267693" w14:textId="488CF39C" w:rsidR="00A41523" w:rsidRPr="007432A8" w:rsidRDefault="00A41523" w:rsidP="007432A8">
      <w:pPr>
        <w:pStyle w:val="FootnoteText"/>
        <w:spacing w:after="0"/>
        <w:ind w:left="0" w:firstLine="0"/>
        <w:rPr>
          <w:rFonts w:ascii="Garamond" w:hAnsi="Garamond"/>
        </w:rPr>
      </w:pPr>
      <w:r w:rsidRPr="007432A8">
        <w:rPr>
          <w:rStyle w:val="FootnoteReference"/>
          <w:rFonts w:ascii="Garamond" w:hAnsi="Garamond"/>
        </w:rPr>
        <w:footnoteRef/>
      </w:r>
      <w:hyperlink r:id="rId3" w:history="1">
        <w:r w:rsidRPr="007432A8">
          <w:rPr>
            <w:rStyle w:val="Hyperlink"/>
            <w:rFonts w:ascii="Garamond" w:hAnsi="Garamond"/>
            <w:lang w:val="sl-SI"/>
          </w:rPr>
          <w:t>https://road-safety.transport.ec.europa.eu/document/download/b4b82a6b-9e1f-4934-97bf-c0754ef19278_en?filename=Baseline_conclusions_and_recommendations.pdf</w:t>
        </w:r>
      </w:hyperlink>
      <w:r w:rsidRPr="007432A8">
        <w:rPr>
          <w:rFonts w:ascii="Garamond" w:hAnsi="Garamond"/>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3pt;height:11.3pt;visibility:visible;mso-wrap-style:square" o:bullet="t">
        <v:imagedata r:id="rId1" o:title=""/>
      </v:shape>
    </w:pict>
  </w:numPicBullet>
  <w:abstractNum w:abstractNumId="0" w15:restartNumberingAfterBreak="0">
    <w:nsid w:val="FFFFFF82"/>
    <w:multiLevelType w:val="singleLevel"/>
    <w:tmpl w:val="E7E83698"/>
    <w:lvl w:ilvl="0">
      <w:start w:val="1"/>
      <w:numFmt w:val="bullet"/>
      <w:pStyle w:val="ListBullet3"/>
      <w:lvlText w:val=""/>
      <w:lvlJc w:val="left"/>
      <w:pPr>
        <w:tabs>
          <w:tab w:val="num" w:pos="862"/>
        </w:tabs>
        <w:ind w:left="862" w:hanging="360"/>
      </w:pPr>
      <w:rPr>
        <w:rFonts w:ascii="Symbol" w:hAnsi="Symbol" w:hint="default"/>
      </w:rPr>
    </w:lvl>
  </w:abstractNum>
  <w:abstractNum w:abstractNumId="1" w15:restartNumberingAfterBreak="0">
    <w:nsid w:val="FFFFFF83"/>
    <w:multiLevelType w:val="singleLevel"/>
    <w:tmpl w:val="464E8C4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000009"/>
    <w:multiLevelType w:val="singleLevel"/>
    <w:tmpl w:val="00000009"/>
    <w:name w:val="WW8Num19"/>
    <w:lvl w:ilvl="0">
      <w:start w:val="1"/>
      <w:numFmt w:val="bullet"/>
      <w:lvlText w:val=""/>
      <w:lvlJc w:val="left"/>
      <w:pPr>
        <w:tabs>
          <w:tab w:val="num" w:pos="1197"/>
        </w:tabs>
        <w:ind w:left="1197" w:hanging="360"/>
      </w:pPr>
      <w:rPr>
        <w:rFonts w:ascii="Wingdings" w:hAnsi="Wingdings"/>
      </w:rPr>
    </w:lvl>
  </w:abstractNum>
  <w:abstractNum w:abstractNumId="3" w15:restartNumberingAfterBreak="0">
    <w:nsid w:val="00000018"/>
    <w:multiLevelType w:val="singleLevel"/>
    <w:tmpl w:val="00000018"/>
    <w:name w:val="WW8Num24"/>
    <w:lvl w:ilvl="0">
      <w:start w:val="1"/>
      <w:numFmt w:val="bullet"/>
      <w:lvlText w:val=""/>
      <w:lvlJc w:val="left"/>
      <w:pPr>
        <w:tabs>
          <w:tab w:val="num" w:pos="0"/>
        </w:tabs>
        <w:ind w:left="530" w:hanging="360"/>
      </w:pPr>
      <w:rPr>
        <w:rFonts w:ascii="Symbol" w:hAnsi="Symbol"/>
      </w:rPr>
    </w:lvl>
  </w:abstractNum>
  <w:abstractNum w:abstractNumId="4" w15:restartNumberingAfterBreak="0">
    <w:nsid w:val="034D50F7"/>
    <w:multiLevelType w:val="hybridMultilevel"/>
    <w:tmpl w:val="B1FE1228"/>
    <w:lvl w:ilvl="0" w:tplc="04240007">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E24EAF"/>
    <w:multiLevelType w:val="multilevel"/>
    <w:tmpl w:val="8B247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9C0015"/>
    <w:multiLevelType w:val="multilevel"/>
    <w:tmpl w:val="F9444F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CE13E0A"/>
    <w:multiLevelType w:val="hybridMultilevel"/>
    <w:tmpl w:val="87CAB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1B1ED5"/>
    <w:multiLevelType w:val="multilevel"/>
    <w:tmpl w:val="2E56F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4866A4"/>
    <w:multiLevelType w:val="hybridMultilevel"/>
    <w:tmpl w:val="BAEC7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805DF8"/>
    <w:multiLevelType w:val="hybridMultilevel"/>
    <w:tmpl w:val="FCF28F08"/>
    <w:lvl w:ilvl="0" w:tplc="0809000B">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92147B4"/>
    <w:multiLevelType w:val="hybridMultilevel"/>
    <w:tmpl w:val="5F4EB6D2"/>
    <w:lvl w:ilvl="0" w:tplc="0424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52A9C"/>
    <w:multiLevelType w:val="hybridMultilevel"/>
    <w:tmpl w:val="5F605B06"/>
    <w:lvl w:ilvl="0" w:tplc="08090001">
      <w:start w:val="1"/>
      <w:numFmt w:val="bullet"/>
      <w:lvlText w:val=""/>
      <w:lvlJc w:val="left"/>
      <w:pPr>
        <w:ind w:left="630" w:hanging="360"/>
      </w:pPr>
      <w:rPr>
        <w:rFonts w:ascii="Symbol" w:hAnsi="Symbol" w:hint="default"/>
      </w:rPr>
    </w:lvl>
    <w:lvl w:ilvl="1" w:tplc="08090003">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A51B22"/>
    <w:multiLevelType w:val="hybridMultilevel"/>
    <w:tmpl w:val="4558AAE0"/>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0062B60"/>
    <w:multiLevelType w:val="multilevel"/>
    <w:tmpl w:val="7B804B5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303890"/>
    <w:multiLevelType w:val="hybridMultilevel"/>
    <w:tmpl w:val="7D34BC3E"/>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38D04AB"/>
    <w:multiLevelType w:val="multilevel"/>
    <w:tmpl w:val="9926C75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4355035"/>
    <w:multiLevelType w:val="hybridMultilevel"/>
    <w:tmpl w:val="D7847C5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4865170"/>
    <w:multiLevelType w:val="hybridMultilevel"/>
    <w:tmpl w:val="EC6EC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C74D21"/>
    <w:multiLevelType w:val="hybridMultilevel"/>
    <w:tmpl w:val="5CBE6546"/>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8CC4D00"/>
    <w:multiLevelType w:val="hybridMultilevel"/>
    <w:tmpl w:val="781A0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AB67B0"/>
    <w:multiLevelType w:val="hybridMultilevel"/>
    <w:tmpl w:val="2AAEDAFC"/>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2D1A02A9"/>
    <w:multiLevelType w:val="hybridMultilevel"/>
    <w:tmpl w:val="E410B75E"/>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2FCA02A9"/>
    <w:multiLevelType w:val="hybridMultilevel"/>
    <w:tmpl w:val="4A2E317E"/>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0C3676E"/>
    <w:multiLevelType w:val="multilevel"/>
    <w:tmpl w:val="4B242AB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1640BFF"/>
    <w:multiLevelType w:val="hybridMultilevel"/>
    <w:tmpl w:val="09A43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027ECD"/>
    <w:multiLevelType w:val="hybridMultilevel"/>
    <w:tmpl w:val="9FEE00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C2023E"/>
    <w:multiLevelType w:val="multilevel"/>
    <w:tmpl w:val="67F6B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8527075"/>
    <w:multiLevelType w:val="hybridMultilevel"/>
    <w:tmpl w:val="F02454B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C640EA"/>
    <w:multiLevelType w:val="hybridMultilevel"/>
    <w:tmpl w:val="0FCC45E0"/>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38D333B2"/>
    <w:multiLevelType w:val="hybridMultilevel"/>
    <w:tmpl w:val="C7942FA0"/>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32" w15:restartNumberingAfterBreak="0">
    <w:nsid w:val="3E575E79"/>
    <w:multiLevelType w:val="hybridMultilevel"/>
    <w:tmpl w:val="35F67C1A"/>
    <w:lvl w:ilvl="0" w:tplc="366C1D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9A3055"/>
    <w:multiLevelType w:val="multilevel"/>
    <w:tmpl w:val="B47C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DC1565"/>
    <w:multiLevelType w:val="hybridMultilevel"/>
    <w:tmpl w:val="D6087F8E"/>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420B6524"/>
    <w:multiLevelType w:val="hybridMultilevel"/>
    <w:tmpl w:val="DAD47F9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42DB16B8"/>
    <w:multiLevelType w:val="hybridMultilevel"/>
    <w:tmpl w:val="7C0C4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D12558"/>
    <w:multiLevelType w:val="multilevel"/>
    <w:tmpl w:val="A41AED58"/>
    <w:lvl w:ilvl="0">
      <w:start w:val="1"/>
      <w:numFmt w:val="decimal"/>
      <w:pStyle w:val="Heading1"/>
      <w:lvlText w:val="%1"/>
      <w:lvlJc w:val="left"/>
      <w:pPr>
        <w:ind w:left="432" w:hanging="432"/>
      </w:pPr>
      <w:rPr>
        <w:rFonts w:hint="default"/>
        <w:sz w:val="28"/>
        <w:szCs w:val="22"/>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Times New Roman" w:hAnsi="Times New Roman" w:cs="Times New Roman" w:hint="default"/>
        <w:b/>
        <w:bCs w:val="0"/>
        <w:i w:val="0"/>
        <w:iCs w:val="0"/>
        <w:caps w:val="0"/>
        <w:smallCaps w:val="0"/>
        <w:strike w:val="0"/>
        <w:dstrike w:val="0"/>
        <w:noProof w:val="0"/>
        <w:vanish w:val="0"/>
        <w:color w:val="005595"/>
        <w:spacing w:val="0"/>
        <w:kern w:val="0"/>
        <w:position w:val="0"/>
        <w:u w:val="none"/>
        <w:effect w:val="none"/>
        <w:vertAlign w:val="baseline"/>
        <w:em w:val="none"/>
        <w:lang w:val="sl-SI"/>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4"/>
      <w:lvlText w:val="%1.%2.%3.%4"/>
      <w:lvlJc w:val="left"/>
      <w:pPr>
        <w:ind w:left="864" w:hanging="86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lvlText w:val="%1.%2.%3.%4.%5"/>
      <w:lvlJc w:val="left"/>
      <w:pPr>
        <w:ind w:left="1008" w:hanging="1008"/>
      </w:pPr>
      <w:rPr>
        <w:rFonts w:hint="default"/>
        <w:b/>
        <w:color w:val="4F81BD"/>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8" w15:restartNumberingAfterBreak="0">
    <w:nsid w:val="52BA79C0"/>
    <w:multiLevelType w:val="hybridMultilevel"/>
    <w:tmpl w:val="31C84EC4"/>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58807AB6"/>
    <w:multiLevelType w:val="hybridMultilevel"/>
    <w:tmpl w:val="D0804F5E"/>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5A0120B9"/>
    <w:multiLevelType w:val="hybridMultilevel"/>
    <w:tmpl w:val="319CBBE8"/>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 w15:restartNumberingAfterBreak="0">
    <w:nsid w:val="5AE67C39"/>
    <w:multiLevelType w:val="hybridMultilevel"/>
    <w:tmpl w:val="BD4A4278"/>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5E5C3CBE"/>
    <w:multiLevelType w:val="multilevel"/>
    <w:tmpl w:val="12BC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4E1E5C"/>
    <w:multiLevelType w:val="hybridMultilevel"/>
    <w:tmpl w:val="AEA233BC"/>
    <w:lvl w:ilvl="0" w:tplc="04240007">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B1856EB"/>
    <w:multiLevelType w:val="hybridMultilevel"/>
    <w:tmpl w:val="4CC81DC0"/>
    <w:lvl w:ilvl="0" w:tplc="F42E2CA8">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EDC3C82"/>
    <w:multiLevelType w:val="hybridMultilevel"/>
    <w:tmpl w:val="458C711E"/>
    <w:lvl w:ilvl="0" w:tplc="F9FA6E52">
      <w:start w:val="1"/>
      <w:numFmt w:val="bullet"/>
      <w:pStyle w:val="00Nabrajanja"/>
      <w:lvlText w:val=""/>
      <w:lvlJc w:val="left"/>
      <w:pPr>
        <w:ind w:left="3594"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2971DA"/>
    <w:multiLevelType w:val="hybridMultilevel"/>
    <w:tmpl w:val="03C4B74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26B35AB"/>
    <w:multiLevelType w:val="hybridMultilevel"/>
    <w:tmpl w:val="486CD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2C65DD1"/>
    <w:multiLevelType w:val="hybridMultilevel"/>
    <w:tmpl w:val="5B704E12"/>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8952E9E"/>
    <w:multiLevelType w:val="hybridMultilevel"/>
    <w:tmpl w:val="C466E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B02440D"/>
    <w:multiLevelType w:val="hybridMultilevel"/>
    <w:tmpl w:val="F7CA937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7DCF4585"/>
    <w:multiLevelType w:val="hybridMultilevel"/>
    <w:tmpl w:val="7B3E61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FF373F8"/>
    <w:multiLevelType w:val="multilevel"/>
    <w:tmpl w:val="63646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31"/>
  </w:num>
  <w:num w:numId="3">
    <w:abstractNumId w:val="1"/>
  </w:num>
  <w:num w:numId="4">
    <w:abstractNumId w:val="0"/>
  </w:num>
  <w:num w:numId="5">
    <w:abstractNumId w:val="32"/>
  </w:num>
  <w:num w:numId="6">
    <w:abstractNumId w:val="37"/>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ascii="Arial" w:hAnsi="Arial" w:hint="default"/>
          <w:b/>
          <w:bCs w:val="0"/>
          <w:i w:val="0"/>
          <w:iCs w:val="0"/>
          <w:caps w:val="0"/>
          <w:smallCaps w:val="0"/>
          <w:strike w:val="0"/>
          <w:dstrike w:val="0"/>
          <w:vanish w:val="0"/>
          <w:color w:val="005595"/>
          <w:spacing w:val="0"/>
          <w:kern w:val="0"/>
          <w:position w:val="0"/>
          <w:u w:val="none"/>
          <w:effect w:val="none"/>
          <w:vertAlign w:val="baseline"/>
          <w:em w:val="none"/>
        </w:rPr>
      </w:lvl>
    </w:lvlOverride>
    <w:lvlOverride w:ilvl="3">
      <w:lvl w:ilvl="3">
        <w:start w:val="1"/>
        <w:numFmt w:val="decimal"/>
        <w:pStyle w:val="Heading4"/>
        <w:lvlText w:val="%1.%2.%3.%4"/>
        <w:lvlJc w:val="left"/>
        <w:pPr>
          <w:ind w:left="864" w:hanging="864"/>
        </w:pPr>
        <w:rPr>
          <w:rFonts w:ascii="Times New Roman" w:hAnsi="Times New Roman" w:cs="Times New Roman" w:hint="default"/>
          <w:b/>
          <w:bCs w:val="0"/>
          <w:i w:val="0"/>
          <w:iCs w:val="0"/>
          <w:caps w:val="0"/>
          <w:strike w:val="0"/>
          <w:dstrike w:val="0"/>
          <w:vanish w:val="0"/>
          <w:color w:val="005595"/>
          <w:spacing w:val="0"/>
          <w:kern w:val="0"/>
          <w:position w:val="0"/>
          <w:u w:val="none"/>
          <w:effect w:val="none"/>
          <w:vertAlign w:val="baseline"/>
          <w:em w:val="none"/>
        </w:rPr>
      </w:lvl>
    </w:lvlOverride>
    <w:lvlOverride w:ilvl="4">
      <w:lvl w:ilvl="4">
        <w:start w:val="1"/>
        <w:numFmt w:val="decimal"/>
        <w:pStyle w:val="Heading5"/>
        <w:lvlText w:val="%1.%2.%3.%4.%5"/>
        <w:lvlJc w:val="left"/>
        <w:pPr>
          <w:ind w:left="1008" w:hanging="1008"/>
        </w:pPr>
        <w:rPr>
          <w:rFonts w:hint="default"/>
          <w:b/>
          <w:color w:val="4F81BD"/>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5"/>
  </w:num>
  <w:num w:numId="9">
    <w:abstractNumId w:val="40"/>
  </w:num>
  <w:num w:numId="10">
    <w:abstractNumId w:val="12"/>
  </w:num>
  <w:num w:numId="11">
    <w:abstractNumId w:val="47"/>
  </w:num>
  <w:num w:numId="12">
    <w:abstractNumId w:val="17"/>
  </w:num>
  <w:num w:numId="13">
    <w:abstractNumId w:val="35"/>
  </w:num>
  <w:num w:numId="14">
    <w:abstractNumId w:val="46"/>
  </w:num>
  <w:num w:numId="15">
    <w:abstractNumId w:val="50"/>
  </w:num>
  <w:num w:numId="16">
    <w:abstractNumId w:val="49"/>
  </w:num>
  <w:num w:numId="17">
    <w:abstractNumId w:val="8"/>
  </w:num>
  <w:num w:numId="18">
    <w:abstractNumId w:val="6"/>
  </w:num>
  <w:num w:numId="19">
    <w:abstractNumId w:val="16"/>
  </w:num>
  <w:num w:numId="20">
    <w:abstractNumId w:val="24"/>
  </w:num>
  <w:num w:numId="21">
    <w:abstractNumId w:val="51"/>
  </w:num>
  <w:num w:numId="22">
    <w:abstractNumId w:val="28"/>
  </w:num>
  <w:num w:numId="23">
    <w:abstractNumId w:val="10"/>
  </w:num>
  <w:num w:numId="24">
    <w:abstractNumId w:val="48"/>
  </w:num>
  <w:num w:numId="25">
    <w:abstractNumId w:val="9"/>
  </w:num>
  <w:num w:numId="26">
    <w:abstractNumId w:val="26"/>
  </w:num>
  <w:num w:numId="27">
    <w:abstractNumId w:val="36"/>
  </w:num>
  <w:num w:numId="28">
    <w:abstractNumId w:val="18"/>
  </w:num>
  <w:num w:numId="29">
    <w:abstractNumId w:val="25"/>
  </w:num>
  <w:num w:numId="30">
    <w:abstractNumId w:val="20"/>
  </w:num>
  <w:num w:numId="31">
    <w:abstractNumId w:val="39"/>
  </w:num>
  <w:num w:numId="32">
    <w:abstractNumId w:val="34"/>
  </w:num>
  <w:num w:numId="33">
    <w:abstractNumId w:val="22"/>
  </w:num>
  <w:num w:numId="34">
    <w:abstractNumId w:val="15"/>
  </w:num>
  <w:num w:numId="35">
    <w:abstractNumId w:val="23"/>
  </w:num>
  <w:num w:numId="36">
    <w:abstractNumId w:val="44"/>
  </w:num>
  <w:num w:numId="37">
    <w:abstractNumId w:val="38"/>
  </w:num>
  <w:num w:numId="38">
    <w:abstractNumId w:val="5"/>
  </w:num>
  <w:num w:numId="39">
    <w:abstractNumId w:val="42"/>
  </w:num>
  <w:num w:numId="40">
    <w:abstractNumId w:val="27"/>
  </w:num>
  <w:num w:numId="41">
    <w:abstractNumId w:val="33"/>
  </w:num>
  <w:num w:numId="42">
    <w:abstractNumId w:val="52"/>
  </w:num>
  <w:num w:numId="43">
    <w:abstractNumId w:val="14"/>
  </w:num>
  <w:num w:numId="44">
    <w:abstractNumId w:val="29"/>
  </w:num>
  <w:num w:numId="45">
    <w:abstractNumId w:val="41"/>
  </w:num>
  <w:num w:numId="46">
    <w:abstractNumId w:val="13"/>
  </w:num>
  <w:num w:numId="47">
    <w:abstractNumId w:val="19"/>
  </w:num>
  <w:num w:numId="48">
    <w:abstractNumId w:val="21"/>
  </w:num>
  <w:num w:numId="49">
    <w:abstractNumId w:val="30"/>
  </w:num>
  <w:num w:numId="50">
    <w:abstractNumId w:val="4"/>
  </w:num>
  <w:num w:numId="51">
    <w:abstractNumId w:val="43"/>
  </w:num>
  <w:num w:numId="52">
    <w:abstractNumId w:val="37"/>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pStyle w:val="Heading3"/>
        <w:lvlText w:val="%1.%2.%3"/>
        <w:lvlJc w:val="left"/>
        <w:pPr>
          <w:ind w:left="720" w:hanging="720"/>
        </w:pPr>
        <w:rPr>
          <w:rFonts w:ascii="Arial" w:hAnsi="Arial" w:hint="default"/>
          <w:b/>
          <w:bCs w:val="0"/>
          <w:i w:val="0"/>
          <w:iCs w:val="0"/>
          <w:caps w:val="0"/>
          <w:smallCaps w:val="0"/>
          <w:strike w:val="0"/>
          <w:dstrike w:val="0"/>
          <w:vanish w:val="0"/>
          <w:color w:val="005595"/>
          <w:spacing w:val="0"/>
          <w:kern w:val="0"/>
          <w:position w:val="0"/>
          <w:u w:val="none"/>
          <w:effect w:val="none"/>
          <w:vertAlign w:val="baseline"/>
          <w:em w:val="none"/>
        </w:rPr>
      </w:lvl>
    </w:lvlOverride>
    <w:lvlOverride w:ilvl="3">
      <w:lvl w:ilvl="3">
        <w:start w:val="1"/>
        <w:numFmt w:val="decimal"/>
        <w:pStyle w:val="Heading4"/>
        <w:lvlText w:val="%1.%2.%3.%4"/>
        <w:lvlJc w:val="left"/>
        <w:pPr>
          <w:ind w:left="864" w:hanging="864"/>
        </w:pPr>
        <w:rPr>
          <w:rFonts w:ascii="Times New Roman" w:hAnsi="Times New Roman" w:cs="Times New Roman" w:hint="default"/>
          <w:b/>
          <w:bCs w:val="0"/>
          <w:i w:val="0"/>
          <w:iCs w:val="0"/>
          <w:caps w:val="0"/>
          <w:strike w:val="0"/>
          <w:dstrike w:val="0"/>
          <w:vanish w:val="0"/>
          <w:color w:val="005595"/>
          <w:spacing w:val="0"/>
          <w:kern w:val="0"/>
          <w:position w:val="0"/>
          <w:u w:val="none"/>
          <w:effect w:val="none"/>
          <w:vertAlign w:val="baseline"/>
          <w:em w:val="none"/>
        </w:rPr>
      </w:lvl>
    </w:lvlOverride>
    <w:lvlOverride w:ilvl="4">
      <w:lvl w:ilvl="4">
        <w:start w:val="1"/>
        <w:numFmt w:val="decimal"/>
        <w:pStyle w:val="Heading5"/>
        <w:lvlText w:val="%1.%2.%3.%4.%5"/>
        <w:lvlJc w:val="left"/>
        <w:pPr>
          <w:ind w:left="1008" w:hanging="1008"/>
        </w:pPr>
        <w:rPr>
          <w:rFonts w:hint="default"/>
          <w:b/>
          <w:color w:val="4F81BD"/>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53">
    <w:abstractNumId w:val="11"/>
  </w:num>
  <w:num w:numId="54">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activeWritingStyle w:appName="MSWord" w:lang="it-IT" w:vendorID="64" w:dllVersion="6" w:nlCheck="1" w:checkStyle="0"/>
  <w:activeWritingStyle w:appName="MSWord" w:lang="en-US" w:vendorID="64" w:dllVersion="6" w:nlCheck="1" w:checkStyle="0"/>
  <w:activeWritingStyle w:appName="MSWord" w:lang="en-GB" w:vendorID="64" w:dllVersion="6" w:nlCheck="1" w:checkStyle="0"/>
  <w:activeWritingStyle w:appName="MSWord" w:lang="fr-BE"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BE"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BE" w:vendorID="64" w:dllVersion="4096" w:nlCheck="1" w:checkStyle="0"/>
  <w:activeWritingStyle w:appName="MSWord" w:lang="fr-FR" w:vendorID="64" w:dllVersion="4096" w:nlCheck="1" w:checkStyle="0"/>
  <w:activeWritingStyle w:appName="MSWord" w:lang="it-IT" w:vendorID="64" w:dllVersion="4096" w:nlCheck="1" w:checkStyle="0"/>
  <w:activeWritingStyle w:appName="MSWord" w:lang="ru-RU" w:vendorID="64" w:dllVersion="6" w:nlCheck="1" w:checkStyle="0"/>
  <w:activeWritingStyle w:appName="MSWord" w:lang="de-CH" w:vendorID="64" w:dllVersion="4096" w:nlCheck="1" w:checkStyle="0"/>
  <w:activeWritingStyle w:appName="MSWord" w:lang="it-IT" w:vendorID="64" w:dllVersion="0" w:nlCheck="1" w:checkStyle="0"/>
  <w:activeWritingStyle w:appName="MSWord" w:lang="fr-CA" w:vendorID="64" w:dllVersion="4096" w:nlCheck="1" w:checkStyle="0"/>
  <w:activeWritingStyle w:appName="MSWord" w:lang="de-DE"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720"/>
  <w:hyphenationZone w:val="142"/>
  <w:doNotHyphenateCaps/>
  <w:drawingGridHorizontalSpacing w:val="120"/>
  <w:displayHorizontalDrawingGridEvery w:val="2"/>
  <w:noPunctuationKerning/>
  <w:characterSpacingControl w:val="doNotCompress"/>
  <w:hdrShapeDefaults>
    <o:shapedefaults v:ext="edit" spidmax="2049" style="mso-position-vertical-relative:line" fill="f" fillcolor="white" stroke="f">
      <v:fill color="white" on="f"/>
      <v:stroke on="f"/>
      <o:colormru v:ext="edit" colors="#005595"/>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0sjSwMDI2MDAyMDVU0lEKTi0uzszPAykwrAUAo2xckSwAAAA="/>
  </w:docVars>
  <w:rsids>
    <w:rsidRoot w:val="001F0F4C"/>
    <w:rsid w:val="000001B2"/>
    <w:rsid w:val="00000896"/>
    <w:rsid w:val="00000E8D"/>
    <w:rsid w:val="00001015"/>
    <w:rsid w:val="00001B3E"/>
    <w:rsid w:val="000020BC"/>
    <w:rsid w:val="000020ED"/>
    <w:rsid w:val="00002351"/>
    <w:rsid w:val="000028FB"/>
    <w:rsid w:val="00002A86"/>
    <w:rsid w:val="00002B07"/>
    <w:rsid w:val="00002B97"/>
    <w:rsid w:val="00002FBA"/>
    <w:rsid w:val="000033FC"/>
    <w:rsid w:val="00003865"/>
    <w:rsid w:val="00003B1C"/>
    <w:rsid w:val="00003D51"/>
    <w:rsid w:val="00003EA0"/>
    <w:rsid w:val="00004153"/>
    <w:rsid w:val="00004A53"/>
    <w:rsid w:val="00004AD6"/>
    <w:rsid w:val="00004B46"/>
    <w:rsid w:val="00004B76"/>
    <w:rsid w:val="00004C34"/>
    <w:rsid w:val="00005414"/>
    <w:rsid w:val="000056C4"/>
    <w:rsid w:val="00005DA1"/>
    <w:rsid w:val="000062AC"/>
    <w:rsid w:val="0000684A"/>
    <w:rsid w:val="0000693F"/>
    <w:rsid w:val="00006DB6"/>
    <w:rsid w:val="000070CF"/>
    <w:rsid w:val="000072F3"/>
    <w:rsid w:val="000074BA"/>
    <w:rsid w:val="0000758C"/>
    <w:rsid w:val="00007A72"/>
    <w:rsid w:val="00007BBA"/>
    <w:rsid w:val="0001000B"/>
    <w:rsid w:val="000105A1"/>
    <w:rsid w:val="00011447"/>
    <w:rsid w:val="00011594"/>
    <w:rsid w:val="00011C9D"/>
    <w:rsid w:val="0001219A"/>
    <w:rsid w:val="000121EF"/>
    <w:rsid w:val="0001223F"/>
    <w:rsid w:val="00012B5A"/>
    <w:rsid w:val="00012BC5"/>
    <w:rsid w:val="00013350"/>
    <w:rsid w:val="00013664"/>
    <w:rsid w:val="0001371C"/>
    <w:rsid w:val="00013860"/>
    <w:rsid w:val="000142B0"/>
    <w:rsid w:val="00014A34"/>
    <w:rsid w:val="00014B8E"/>
    <w:rsid w:val="00014E4F"/>
    <w:rsid w:val="00014EE9"/>
    <w:rsid w:val="00014F65"/>
    <w:rsid w:val="0001508A"/>
    <w:rsid w:val="000150F1"/>
    <w:rsid w:val="00015366"/>
    <w:rsid w:val="00015843"/>
    <w:rsid w:val="000160E8"/>
    <w:rsid w:val="0001610C"/>
    <w:rsid w:val="0001632A"/>
    <w:rsid w:val="000167CA"/>
    <w:rsid w:val="000168E6"/>
    <w:rsid w:val="00016BE7"/>
    <w:rsid w:val="00016C13"/>
    <w:rsid w:val="00016E7F"/>
    <w:rsid w:val="00020102"/>
    <w:rsid w:val="0002044B"/>
    <w:rsid w:val="00020465"/>
    <w:rsid w:val="0002090B"/>
    <w:rsid w:val="00020FEC"/>
    <w:rsid w:val="00021080"/>
    <w:rsid w:val="0002148B"/>
    <w:rsid w:val="000214C0"/>
    <w:rsid w:val="0002165B"/>
    <w:rsid w:val="00021938"/>
    <w:rsid w:val="00021ACF"/>
    <w:rsid w:val="00021E34"/>
    <w:rsid w:val="00021FE2"/>
    <w:rsid w:val="00021FEF"/>
    <w:rsid w:val="00022198"/>
    <w:rsid w:val="000226D6"/>
    <w:rsid w:val="00022C15"/>
    <w:rsid w:val="00022C2B"/>
    <w:rsid w:val="00022D34"/>
    <w:rsid w:val="00022E93"/>
    <w:rsid w:val="00022EEA"/>
    <w:rsid w:val="000231AF"/>
    <w:rsid w:val="00023886"/>
    <w:rsid w:val="00023987"/>
    <w:rsid w:val="00024562"/>
    <w:rsid w:val="0002487D"/>
    <w:rsid w:val="00024A7B"/>
    <w:rsid w:val="00024D6E"/>
    <w:rsid w:val="000256D4"/>
    <w:rsid w:val="0002606C"/>
    <w:rsid w:val="0002613F"/>
    <w:rsid w:val="00026B85"/>
    <w:rsid w:val="0002707A"/>
    <w:rsid w:val="00027199"/>
    <w:rsid w:val="0002735A"/>
    <w:rsid w:val="0002766E"/>
    <w:rsid w:val="00030265"/>
    <w:rsid w:val="00030619"/>
    <w:rsid w:val="00030656"/>
    <w:rsid w:val="000306D2"/>
    <w:rsid w:val="00030EC3"/>
    <w:rsid w:val="00030FB2"/>
    <w:rsid w:val="0003117A"/>
    <w:rsid w:val="00031202"/>
    <w:rsid w:val="0003128E"/>
    <w:rsid w:val="0003166F"/>
    <w:rsid w:val="00031CA5"/>
    <w:rsid w:val="00032021"/>
    <w:rsid w:val="00032B9B"/>
    <w:rsid w:val="0003320A"/>
    <w:rsid w:val="00033896"/>
    <w:rsid w:val="00033CF6"/>
    <w:rsid w:val="00033EE4"/>
    <w:rsid w:val="00034531"/>
    <w:rsid w:val="000345C2"/>
    <w:rsid w:val="000346CF"/>
    <w:rsid w:val="00034910"/>
    <w:rsid w:val="00034CF6"/>
    <w:rsid w:val="00034DFC"/>
    <w:rsid w:val="000351D9"/>
    <w:rsid w:val="0003548C"/>
    <w:rsid w:val="00035799"/>
    <w:rsid w:val="00035D01"/>
    <w:rsid w:val="000361BF"/>
    <w:rsid w:val="000364EB"/>
    <w:rsid w:val="00036B53"/>
    <w:rsid w:val="00036DEC"/>
    <w:rsid w:val="0003701F"/>
    <w:rsid w:val="00037114"/>
    <w:rsid w:val="00037BB9"/>
    <w:rsid w:val="0004050F"/>
    <w:rsid w:val="00041673"/>
    <w:rsid w:val="00041FD3"/>
    <w:rsid w:val="000428A0"/>
    <w:rsid w:val="000428A4"/>
    <w:rsid w:val="00042B03"/>
    <w:rsid w:val="00042BB6"/>
    <w:rsid w:val="00042F15"/>
    <w:rsid w:val="00042F90"/>
    <w:rsid w:val="00042FF9"/>
    <w:rsid w:val="000430AA"/>
    <w:rsid w:val="00043475"/>
    <w:rsid w:val="000435F4"/>
    <w:rsid w:val="0004367F"/>
    <w:rsid w:val="00043BD8"/>
    <w:rsid w:val="00043D4C"/>
    <w:rsid w:val="00044079"/>
    <w:rsid w:val="000443F9"/>
    <w:rsid w:val="00044439"/>
    <w:rsid w:val="00044BD2"/>
    <w:rsid w:val="00045040"/>
    <w:rsid w:val="000451D4"/>
    <w:rsid w:val="00045C8E"/>
    <w:rsid w:val="00045E7E"/>
    <w:rsid w:val="00046218"/>
    <w:rsid w:val="00046716"/>
    <w:rsid w:val="00046A76"/>
    <w:rsid w:val="00047059"/>
    <w:rsid w:val="00047434"/>
    <w:rsid w:val="000474CE"/>
    <w:rsid w:val="000475DD"/>
    <w:rsid w:val="00047643"/>
    <w:rsid w:val="000477AD"/>
    <w:rsid w:val="000477DA"/>
    <w:rsid w:val="00047B56"/>
    <w:rsid w:val="00047F06"/>
    <w:rsid w:val="000502FE"/>
    <w:rsid w:val="000511D0"/>
    <w:rsid w:val="0005172B"/>
    <w:rsid w:val="00051AE2"/>
    <w:rsid w:val="000522D7"/>
    <w:rsid w:val="00052367"/>
    <w:rsid w:val="0005240F"/>
    <w:rsid w:val="00052E39"/>
    <w:rsid w:val="00053E71"/>
    <w:rsid w:val="00053F15"/>
    <w:rsid w:val="000542A7"/>
    <w:rsid w:val="00054707"/>
    <w:rsid w:val="0005545B"/>
    <w:rsid w:val="00055518"/>
    <w:rsid w:val="000559EA"/>
    <w:rsid w:val="00055A79"/>
    <w:rsid w:val="0005617D"/>
    <w:rsid w:val="000561B0"/>
    <w:rsid w:val="0005679C"/>
    <w:rsid w:val="00056ACB"/>
    <w:rsid w:val="00057018"/>
    <w:rsid w:val="00057D8B"/>
    <w:rsid w:val="0006010E"/>
    <w:rsid w:val="00060275"/>
    <w:rsid w:val="00060670"/>
    <w:rsid w:val="000606BB"/>
    <w:rsid w:val="000606E6"/>
    <w:rsid w:val="00060840"/>
    <w:rsid w:val="000614FD"/>
    <w:rsid w:val="000617D6"/>
    <w:rsid w:val="0006186C"/>
    <w:rsid w:val="00061B10"/>
    <w:rsid w:val="00061EFA"/>
    <w:rsid w:val="000621AF"/>
    <w:rsid w:val="00062229"/>
    <w:rsid w:val="0006242C"/>
    <w:rsid w:val="000624DE"/>
    <w:rsid w:val="0006257A"/>
    <w:rsid w:val="00063001"/>
    <w:rsid w:val="00063033"/>
    <w:rsid w:val="0006307B"/>
    <w:rsid w:val="00063760"/>
    <w:rsid w:val="00063B68"/>
    <w:rsid w:val="00063F2A"/>
    <w:rsid w:val="00064316"/>
    <w:rsid w:val="0006445A"/>
    <w:rsid w:val="00064BE6"/>
    <w:rsid w:val="00064D14"/>
    <w:rsid w:val="00064E31"/>
    <w:rsid w:val="00064F6C"/>
    <w:rsid w:val="00065531"/>
    <w:rsid w:val="00065889"/>
    <w:rsid w:val="000665CC"/>
    <w:rsid w:val="000665DF"/>
    <w:rsid w:val="000666F8"/>
    <w:rsid w:val="00066764"/>
    <w:rsid w:val="00066BEA"/>
    <w:rsid w:val="00066C31"/>
    <w:rsid w:val="00066F19"/>
    <w:rsid w:val="00067389"/>
    <w:rsid w:val="000677DD"/>
    <w:rsid w:val="000678F9"/>
    <w:rsid w:val="000679EE"/>
    <w:rsid w:val="000704FC"/>
    <w:rsid w:val="00071CA3"/>
    <w:rsid w:val="0007270C"/>
    <w:rsid w:val="0007274C"/>
    <w:rsid w:val="00072953"/>
    <w:rsid w:val="00072DD4"/>
    <w:rsid w:val="00072E01"/>
    <w:rsid w:val="000732B0"/>
    <w:rsid w:val="00073722"/>
    <w:rsid w:val="00073D39"/>
    <w:rsid w:val="00073FA6"/>
    <w:rsid w:val="0007401C"/>
    <w:rsid w:val="00074305"/>
    <w:rsid w:val="000745BB"/>
    <w:rsid w:val="00074B86"/>
    <w:rsid w:val="00074F6F"/>
    <w:rsid w:val="00075781"/>
    <w:rsid w:val="0007623A"/>
    <w:rsid w:val="000767D9"/>
    <w:rsid w:val="00076AF1"/>
    <w:rsid w:val="00076AF7"/>
    <w:rsid w:val="00076B0E"/>
    <w:rsid w:val="00076D9E"/>
    <w:rsid w:val="00077171"/>
    <w:rsid w:val="00077355"/>
    <w:rsid w:val="0008001A"/>
    <w:rsid w:val="000800BC"/>
    <w:rsid w:val="0008085D"/>
    <w:rsid w:val="00080B16"/>
    <w:rsid w:val="000811E5"/>
    <w:rsid w:val="000813D4"/>
    <w:rsid w:val="00081737"/>
    <w:rsid w:val="00081FEE"/>
    <w:rsid w:val="00082313"/>
    <w:rsid w:val="00082452"/>
    <w:rsid w:val="00082D6C"/>
    <w:rsid w:val="00082F01"/>
    <w:rsid w:val="000831EF"/>
    <w:rsid w:val="000833C1"/>
    <w:rsid w:val="00083537"/>
    <w:rsid w:val="00083A73"/>
    <w:rsid w:val="00083CCA"/>
    <w:rsid w:val="00083E3A"/>
    <w:rsid w:val="0008428D"/>
    <w:rsid w:val="0008470D"/>
    <w:rsid w:val="000847D3"/>
    <w:rsid w:val="00084D80"/>
    <w:rsid w:val="00084E0D"/>
    <w:rsid w:val="00085033"/>
    <w:rsid w:val="0008536F"/>
    <w:rsid w:val="000855B7"/>
    <w:rsid w:val="00085610"/>
    <w:rsid w:val="000857BD"/>
    <w:rsid w:val="000858F1"/>
    <w:rsid w:val="00085965"/>
    <w:rsid w:val="00085A79"/>
    <w:rsid w:val="00085AA3"/>
    <w:rsid w:val="00085D5A"/>
    <w:rsid w:val="00085EF1"/>
    <w:rsid w:val="00086119"/>
    <w:rsid w:val="00086BF8"/>
    <w:rsid w:val="00086E93"/>
    <w:rsid w:val="00086F81"/>
    <w:rsid w:val="0008705B"/>
    <w:rsid w:val="000871D4"/>
    <w:rsid w:val="000875E2"/>
    <w:rsid w:val="00087B8A"/>
    <w:rsid w:val="00087C97"/>
    <w:rsid w:val="00087D88"/>
    <w:rsid w:val="00087FE2"/>
    <w:rsid w:val="000901C4"/>
    <w:rsid w:val="00090E13"/>
    <w:rsid w:val="00091036"/>
    <w:rsid w:val="000913F7"/>
    <w:rsid w:val="000914B9"/>
    <w:rsid w:val="000916E0"/>
    <w:rsid w:val="00091A2B"/>
    <w:rsid w:val="00091D59"/>
    <w:rsid w:val="000924B3"/>
    <w:rsid w:val="000925F0"/>
    <w:rsid w:val="0009278A"/>
    <w:rsid w:val="00092BD2"/>
    <w:rsid w:val="00092F78"/>
    <w:rsid w:val="000930B6"/>
    <w:rsid w:val="00093598"/>
    <w:rsid w:val="000939B8"/>
    <w:rsid w:val="00093C21"/>
    <w:rsid w:val="00093C4D"/>
    <w:rsid w:val="00093E04"/>
    <w:rsid w:val="00093EFD"/>
    <w:rsid w:val="00093FF6"/>
    <w:rsid w:val="00094127"/>
    <w:rsid w:val="00094386"/>
    <w:rsid w:val="00095106"/>
    <w:rsid w:val="0009555A"/>
    <w:rsid w:val="00095D06"/>
    <w:rsid w:val="000962C6"/>
    <w:rsid w:val="00096307"/>
    <w:rsid w:val="00096760"/>
    <w:rsid w:val="00096BEB"/>
    <w:rsid w:val="00096C18"/>
    <w:rsid w:val="000979A9"/>
    <w:rsid w:val="00097C75"/>
    <w:rsid w:val="00097D31"/>
    <w:rsid w:val="000A0388"/>
    <w:rsid w:val="000A0428"/>
    <w:rsid w:val="000A0459"/>
    <w:rsid w:val="000A0AC7"/>
    <w:rsid w:val="000A0FED"/>
    <w:rsid w:val="000A18C4"/>
    <w:rsid w:val="000A1B5A"/>
    <w:rsid w:val="000A242D"/>
    <w:rsid w:val="000A2621"/>
    <w:rsid w:val="000A273C"/>
    <w:rsid w:val="000A2878"/>
    <w:rsid w:val="000A347B"/>
    <w:rsid w:val="000A3830"/>
    <w:rsid w:val="000A3B95"/>
    <w:rsid w:val="000A3C63"/>
    <w:rsid w:val="000A4241"/>
    <w:rsid w:val="000A439D"/>
    <w:rsid w:val="000A4666"/>
    <w:rsid w:val="000A48BD"/>
    <w:rsid w:val="000A5438"/>
    <w:rsid w:val="000A5CB1"/>
    <w:rsid w:val="000A5EF3"/>
    <w:rsid w:val="000A620A"/>
    <w:rsid w:val="000A62D6"/>
    <w:rsid w:val="000A64A1"/>
    <w:rsid w:val="000A67A4"/>
    <w:rsid w:val="000A695F"/>
    <w:rsid w:val="000A73B3"/>
    <w:rsid w:val="000A7592"/>
    <w:rsid w:val="000A75E2"/>
    <w:rsid w:val="000A75F2"/>
    <w:rsid w:val="000A7710"/>
    <w:rsid w:val="000A7915"/>
    <w:rsid w:val="000A7E3D"/>
    <w:rsid w:val="000B023C"/>
    <w:rsid w:val="000B050A"/>
    <w:rsid w:val="000B07F8"/>
    <w:rsid w:val="000B091C"/>
    <w:rsid w:val="000B1307"/>
    <w:rsid w:val="000B15D9"/>
    <w:rsid w:val="000B1794"/>
    <w:rsid w:val="000B1A8A"/>
    <w:rsid w:val="000B1B9C"/>
    <w:rsid w:val="000B20C9"/>
    <w:rsid w:val="000B23F9"/>
    <w:rsid w:val="000B2726"/>
    <w:rsid w:val="000B296B"/>
    <w:rsid w:val="000B2A56"/>
    <w:rsid w:val="000B2DCB"/>
    <w:rsid w:val="000B2FC2"/>
    <w:rsid w:val="000B3178"/>
    <w:rsid w:val="000B31C5"/>
    <w:rsid w:val="000B3252"/>
    <w:rsid w:val="000B35F6"/>
    <w:rsid w:val="000B3719"/>
    <w:rsid w:val="000B37E2"/>
    <w:rsid w:val="000B3B92"/>
    <w:rsid w:val="000B3D85"/>
    <w:rsid w:val="000B3E9D"/>
    <w:rsid w:val="000B4785"/>
    <w:rsid w:val="000B47CF"/>
    <w:rsid w:val="000B544D"/>
    <w:rsid w:val="000B56B0"/>
    <w:rsid w:val="000B599C"/>
    <w:rsid w:val="000B5E16"/>
    <w:rsid w:val="000B658D"/>
    <w:rsid w:val="000B6612"/>
    <w:rsid w:val="000B68CF"/>
    <w:rsid w:val="000B6B7D"/>
    <w:rsid w:val="000B7705"/>
    <w:rsid w:val="000B7F46"/>
    <w:rsid w:val="000C00FF"/>
    <w:rsid w:val="000C089B"/>
    <w:rsid w:val="000C0B71"/>
    <w:rsid w:val="000C0C6B"/>
    <w:rsid w:val="000C1157"/>
    <w:rsid w:val="000C120C"/>
    <w:rsid w:val="000C142A"/>
    <w:rsid w:val="000C1642"/>
    <w:rsid w:val="000C1875"/>
    <w:rsid w:val="000C1AD6"/>
    <w:rsid w:val="000C268B"/>
    <w:rsid w:val="000C28A7"/>
    <w:rsid w:val="000C29BB"/>
    <w:rsid w:val="000C2BD5"/>
    <w:rsid w:val="000C2F20"/>
    <w:rsid w:val="000C333D"/>
    <w:rsid w:val="000C397D"/>
    <w:rsid w:val="000C4040"/>
    <w:rsid w:val="000C4225"/>
    <w:rsid w:val="000C4B0C"/>
    <w:rsid w:val="000C4B5F"/>
    <w:rsid w:val="000C4D4C"/>
    <w:rsid w:val="000C4E27"/>
    <w:rsid w:val="000C5054"/>
    <w:rsid w:val="000C50B5"/>
    <w:rsid w:val="000C5211"/>
    <w:rsid w:val="000C5D73"/>
    <w:rsid w:val="000C6171"/>
    <w:rsid w:val="000C64BD"/>
    <w:rsid w:val="000C66E1"/>
    <w:rsid w:val="000C6BC4"/>
    <w:rsid w:val="000C6E0A"/>
    <w:rsid w:val="000C7656"/>
    <w:rsid w:val="000C7725"/>
    <w:rsid w:val="000C7B74"/>
    <w:rsid w:val="000D0173"/>
    <w:rsid w:val="000D0459"/>
    <w:rsid w:val="000D08AD"/>
    <w:rsid w:val="000D0B5A"/>
    <w:rsid w:val="000D1123"/>
    <w:rsid w:val="000D1567"/>
    <w:rsid w:val="000D16FD"/>
    <w:rsid w:val="000D1A5A"/>
    <w:rsid w:val="000D202E"/>
    <w:rsid w:val="000D277A"/>
    <w:rsid w:val="000D2A90"/>
    <w:rsid w:val="000D2B2A"/>
    <w:rsid w:val="000D334D"/>
    <w:rsid w:val="000D3850"/>
    <w:rsid w:val="000D3D17"/>
    <w:rsid w:val="000D4072"/>
    <w:rsid w:val="000D40EF"/>
    <w:rsid w:val="000D5014"/>
    <w:rsid w:val="000D51AF"/>
    <w:rsid w:val="000D56AF"/>
    <w:rsid w:val="000D5B33"/>
    <w:rsid w:val="000D5BE7"/>
    <w:rsid w:val="000D5D4A"/>
    <w:rsid w:val="000D6258"/>
    <w:rsid w:val="000D626F"/>
    <w:rsid w:val="000D6479"/>
    <w:rsid w:val="000D663D"/>
    <w:rsid w:val="000D6694"/>
    <w:rsid w:val="000D6829"/>
    <w:rsid w:val="000D6E00"/>
    <w:rsid w:val="000D77C1"/>
    <w:rsid w:val="000D79D4"/>
    <w:rsid w:val="000D7A99"/>
    <w:rsid w:val="000D7FC4"/>
    <w:rsid w:val="000E024C"/>
    <w:rsid w:val="000E03A7"/>
    <w:rsid w:val="000E0679"/>
    <w:rsid w:val="000E08F8"/>
    <w:rsid w:val="000E0E3B"/>
    <w:rsid w:val="000E1664"/>
    <w:rsid w:val="000E1867"/>
    <w:rsid w:val="000E1CF6"/>
    <w:rsid w:val="000E25C4"/>
    <w:rsid w:val="000E27D0"/>
    <w:rsid w:val="000E2AE6"/>
    <w:rsid w:val="000E2B00"/>
    <w:rsid w:val="000E32EF"/>
    <w:rsid w:val="000E3337"/>
    <w:rsid w:val="000E35E8"/>
    <w:rsid w:val="000E3A6D"/>
    <w:rsid w:val="000E3D1C"/>
    <w:rsid w:val="000E43B6"/>
    <w:rsid w:val="000E46FE"/>
    <w:rsid w:val="000E4B28"/>
    <w:rsid w:val="000E4F6D"/>
    <w:rsid w:val="000E5229"/>
    <w:rsid w:val="000E542F"/>
    <w:rsid w:val="000E54DF"/>
    <w:rsid w:val="000E59B2"/>
    <w:rsid w:val="000E5E69"/>
    <w:rsid w:val="000E613C"/>
    <w:rsid w:val="000E619A"/>
    <w:rsid w:val="000E6AC0"/>
    <w:rsid w:val="000E6C75"/>
    <w:rsid w:val="000E6F66"/>
    <w:rsid w:val="000E7482"/>
    <w:rsid w:val="000E76AB"/>
    <w:rsid w:val="000E7804"/>
    <w:rsid w:val="000E7BDF"/>
    <w:rsid w:val="000F0E7C"/>
    <w:rsid w:val="000F0F11"/>
    <w:rsid w:val="000F1123"/>
    <w:rsid w:val="000F12A3"/>
    <w:rsid w:val="000F14D9"/>
    <w:rsid w:val="000F15B6"/>
    <w:rsid w:val="000F1D49"/>
    <w:rsid w:val="000F1DC8"/>
    <w:rsid w:val="000F25B2"/>
    <w:rsid w:val="000F3549"/>
    <w:rsid w:val="000F3725"/>
    <w:rsid w:val="000F39A6"/>
    <w:rsid w:val="000F3A30"/>
    <w:rsid w:val="000F3B31"/>
    <w:rsid w:val="000F3DE8"/>
    <w:rsid w:val="000F42C4"/>
    <w:rsid w:val="000F4461"/>
    <w:rsid w:val="000F4980"/>
    <w:rsid w:val="000F4991"/>
    <w:rsid w:val="000F4A97"/>
    <w:rsid w:val="000F4F41"/>
    <w:rsid w:val="000F5220"/>
    <w:rsid w:val="000F5C30"/>
    <w:rsid w:val="000F5DA7"/>
    <w:rsid w:val="000F66C6"/>
    <w:rsid w:val="000F6AE1"/>
    <w:rsid w:val="000F7022"/>
    <w:rsid w:val="000F78BE"/>
    <w:rsid w:val="0010118F"/>
    <w:rsid w:val="0010187C"/>
    <w:rsid w:val="001018D8"/>
    <w:rsid w:val="00101965"/>
    <w:rsid w:val="00101BCE"/>
    <w:rsid w:val="00101E87"/>
    <w:rsid w:val="00101EFC"/>
    <w:rsid w:val="001021B8"/>
    <w:rsid w:val="001022D5"/>
    <w:rsid w:val="0010254C"/>
    <w:rsid w:val="00102773"/>
    <w:rsid w:val="00102DE9"/>
    <w:rsid w:val="001035E6"/>
    <w:rsid w:val="001038B9"/>
    <w:rsid w:val="00104481"/>
    <w:rsid w:val="00104CE5"/>
    <w:rsid w:val="00105149"/>
    <w:rsid w:val="0010518E"/>
    <w:rsid w:val="0010530F"/>
    <w:rsid w:val="0010567E"/>
    <w:rsid w:val="001059A1"/>
    <w:rsid w:val="00105C92"/>
    <w:rsid w:val="001060E8"/>
    <w:rsid w:val="00106C2F"/>
    <w:rsid w:val="00107253"/>
    <w:rsid w:val="00107802"/>
    <w:rsid w:val="00107A13"/>
    <w:rsid w:val="001107F4"/>
    <w:rsid w:val="0011089A"/>
    <w:rsid w:val="00110F0C"/>
    <w:rsid w:val="00110F9E"/>
    <w:rsid w:val="00111C27"/>
    <w:rsid w:val="00111FD1"/>
    <w:rsid w:val="0011200A"/>
    <w:rsid w:val="0011289E"/>
    <w:rsid w:val="00112D62"/>
    <w:rsid w:val="00112D9A"/>
    <w:rsid w:val="00112FBA"/>
    <w:rsid w:val="00113107"/>
    <w:rsid w:val="00113130"/>
    <w:rsid w:val="0011320B"/>
    <w:rsid w:val="0011359B"/>
    <w:rsid w:val="00113BD3"/>
    <w:rsid w:val="0011433F"/>
    <w:rsid w:val="0011436E"/>
    <w:rsid w:val="00114711"/>
    <w:rsid w:val="00114746"/>
    <w:rsid w:val="00114F3B"/>
    <w:rsid w:val="0011527B"/>
    <w:rsid w:val="0011574A"/>
    <w:rsid w:val="00115F23"/>
    <w:rsid w:val="001163AC"/>
    <w:rsid w:val="00116BCD"/>
    <w:rsid w:val="001170D3"/>
    <w:rsid w:val="00117181"/>
    <w:rsid w:val="00117794"/>
    <w:rsid w:val="001178D5"/>
    <w:rsid w:val="00117DBA"/>
    <w:rsid w:val="00120057"/>
    <w:rsid w:val="0012060A"/>
    <w:rsid w:val="00120BCA"/>
    <w:rsid w:val="00120CDF"/>
    <w:rsid w:val="001215B3"/>
    <w:rsid w:val="0012186C"/>
    <w:rsid w:val="001224EB"/>
    <w:rsid w:val="00122596"/>
    <w:rsid w:val="00123F61"/>
    <w:rsid w:val="00123FDA"/>
    <w:rsid w:val="001240DF"/>
    <w:rsid w:val="001247E6"/>
    <w:rsid w:val="001249D5"/>
    <w:rsid w:val="00124DD5"/>
    <w:rsid w:val="00124DF4"/>
    <w:rsid w:val="00124F33"/>
    <w:rsid w:val="00125436"/>
    <w:rsid w:val="00125747"/>
    <w:rsid w:val="001257BB"/>
    <w:rsid w:val="001257DD"/>
    <w:rsid w:val="001258AC"/>
    <w:rsid w:val="00125EA4"/>
    <w:rsid w:val="0012629F"/>
    <w:rsid w:val="0012654E"/>
    <w:rsid w:val="00126804"/>
    <w:rsid w:val="0012689F"/>
    <w:rsid w:val="00126C34"/>
    <w:rsid w:val="00126CA7"/>
    <w:rsid w:val="00126DB4"/>
    <w:rsid w:val="00126F0E"/>
    <w:rsid w:val="00126F52"/>
    <w:rsid w:val="00127082"/>
    <w:rsid w:val="00127169"/>
    <w:rsid w:val="00127373"/>
    <w:rsid w:val="0012738A"/>
    <w:rsid w:val="001275FD"/>
    <w:rsid w:val="001276F4"/>
    <w:rsid w:val="00127919"/>
    <w:rsid w:val="00127AFE"/>
    <w:rsid w:val="00127DF0"/>
    <w:rsid w:val="001301BE"/>
    <w:rsid w:val="00130701"/>
    <w:rsid w:val="00130A9E"/>
    <w:rsid w:val="00130CB6"/>
    <w:rsid w:val="0013138A"/>
    <w:rsid w:val="00131418"/>
    <w:rsid w:val="0013157A"/>
    <w:rsid w:val="001318EB"/>
    <w:rsid w:val="00132162"/>
    <w:rsid w:val="0013248A"/>
    <w:rsid w:val="001325AD"/>
    <w:rsid w:val="001327B4"/>
    <w:rsid w:val="00132E2B"/>
    <w:rsid w:val="00133164"/>
    <w:rsid w:val="001335CD"/>
    <w:rsid w:val="00133F37"/>
    <w:rsid w:val="00133FAC"/>
    <w:rsid w:val="00134237"/>
    <w:rsid w:val="00134A9A"/>
    <w:rsid w:val="00134CB2"/>
    <w:rsid w:val="0013506A"/>
    <w:rsid w:val="001350A4"/>
    <w:rsid w:val="00135161"/>
    <w:rsid w:val="00135263"/>
    <w:rsid w:val="001352F6"/>
    <w:rsid w:val="00135345"/>
    <w:rsid w:val="00135AA9"/>
    <w:rsid w:val="00135B6A"/>
    <w:rsid w:val="00135EB0"/>
    <w:rsid w:val="00135F7E"/>
    <w:rsid w:val="00136231"/>
    <w:rsid w:val="00136466"/>
    <w:rsid w:val="001364A2"/>
    <w:rsid w:val="00136641"/>
    <w:rsid w:val="00136DEB"/>
    <w:rsid w:val="001370F2"/>
    <w:rsid w:val="00137344"/>
    <w:rsid w:val="00137392"/>
    <w:rsid w:val="0014066B"/>
    <w:rsid w:val="001406D2"/>
    <w:rsid w:val="001406F7"/>
    <w:rsid w:val="0014153B"/>
    <w:rsid w:val="00141593"/>
    <w:rsid w:val="00141B1B"/>
    <w:rsid w:val="00141C7A"/>
    <w:rsid w:val="00141EEF"/>
    <w:rsid w:val="00141FEF"/>
    <w:rsid w:val="0014211B"/>
    <w:rsid w:val="00142905"/>
    <w:rsid w:val="001432E5"/>
    <w:rsid w:val="00143998"/>
    <w:rsid w:val="001439B0"/>
    <w:rsid w:val="00143ABC"/>
    <w:rsid w:val="00143D55"/>
    <w:rsid w:val="00144306"/>
    <w:rsid w:val="0014438D"/>
    <w:rsid w:val="00144755"/>
    <w:rsid w:val="00144957"/>
    <w:rsid w:val="001449FC"/>
    <w:rsid w:val="00144A8C"/>
    <w:rsid w:val="00144B90"/>
    <w:rsid w:val="00144F80"/>
    <w:rsid w:val="001459BC"/>
    <w:rsid w:val="00145ADE"/>
    <w:rsid w:val="00145F1A"/>
    <w:rsid w:val="00145F4E"/>
    <w:rsid w:val="00145FCE"/>
    <w:rsid w:val="00146297"/>
    <w:rsid w:val="00146947"/>
    <w:rsid w:val="001469F3"/>
    <w:rsid w:val="00146A0A"/>
    <w:rsid w:val="00146AC3"/>
    <w:rsid w:val="0014738F"/>
    <w:rsid w:val="001474C1"/>
    <w:rsid w:val="001476E5"/>
    <w:rsid w:val="00147A9E"/>
    <w:rsid w:val="00150842"/>
    <w:rsid w:val="00150A0C"/>
    <w:rsid w:val="00150AAC"/>
    <w:rsid w:val="00151AAC"/>
    <w:rsid w:val="00152216"/>
    <w:rsid w:val="00152626"/>
    <w:rsid w:val="0015290C"/>
    <w:rsid w:val="00152B4D"/>
    <w:rsid w:val="00152BA7"/>
    <w:rsid w:val="00152C4A"/>
    <w:rsid w:val="00152D9C"/>
    <w:rsid w:val="00152E46"/>
    <w:rsid w:val="00152EA0"/>
    <w:rsid w:val="001539D0"/>
    <w:rsid w:val="001540F3"/>
    <w:rsid w:val="00154225"/>
    <w:rsid w:val="001543D3"/>
    <w:rsid w:val="0015446A"/>
    <w:rsid w:val="001545D4"/>
    <w:rsid w:val="00154E9C"/>
    <w:rsid w:val="00155259"/>
    <w:rsid w:val="00155AC5"/>
    <w:rsid w:val="00155BF8"/>
    <w:rsid w:val="0015618F"/>
    <w:rsid w:val="001564E8"/>
    <w:rsid w:val="001568C1"/>
    <w:rsid w:val="00156AD7"/>
    <w:rsid w:val="0015755E"/>
    <w:rsid w:val="00157E27"/>
    <w:rsid w:val="001601D7"/>
    <w:rsid w:val="0016089F"/>
    <w:rsid w:val="00160A93"/>
    <w:rsid w:val="00160B8C"/>
    <w:rsid w:val="00160BC1"/>
    <w:rsid w:val="00160BD7"/>
    <w:rsid w:val="00161258"/>
    <w:rsid w:val="00161507"/>
    <w:rsid w:val="00161750"/>
    <w:rsid w:val="00161843"/>
    <w:rsid w:val="0016199A"/>
    <w:rsid w:val="00161AC2"/>
    <w:rsid w:val="00162333"/>
    <w:rsid w:val="00162499"/>
    <w:rsid w:val="001626E3"/>
    <w:rsid w:val="00162A19"/>
    <w:rsid w:val="00162A4A"/>
    <w:rsid w:val="001630DB"/>
    <w:rsid w:val="0016376E"/>
    <w:rsid w:val="001639EA"/>
    <w:rsid w:val="00163F3B"/>
    <w:rsid w:val="00164881"/>
    <w:rsid w:val="00165433"/>
    <w:rsid w:val="00165E6C"/>
    <w:rsid w:val="001664CB"/>
    <w:rsid w:val="00166567"/>
    <w:rsid w:val="001669F0"/>
    <w:rsid w:val="0016786E"/>
    <w:rsid w:val="00167B26"/>
    <w:rsid w:val="00167F56"/>
    <w:rsid w:val="00167F81"/>
    <w:rsid w:val="0017011A"/>
    <w:rsid w:val="0017047D"/>
    <w:rsid w:val="001706BA"/>
    <w:rsid w:val="00170757"/>
    <w:rsid w:val="001707B6"/>
    <w:rsid w:val="00170875"/>
    <w:rsid w:val="00170A8C"/>
    <w:rsid w:val="00170DE4"/>
    <w:rsid w:val="0017128D"/>
    <w:rsid w:val="001714F1"/>
    <w:rsid w:val="001716C8"/>
    <w:rsid w:val="00171709"/>
    <w:rsid w:val="00171CEE"/>
    <w:rsid w:val="00172114"/>
    <w:rsid w:val="001723B4"/>
    <w:rsid w:val="00172749"/>
    <w:rsid w:val="00173D16"/>
    <w:rsid w:val="00174A20"/>
    <w:rsid w:val="00174B12"/>
    <w:rsid w:val="00174CA6"/>
    <w:rsid w:val="001751F6"/>
    <w:rsid w:val="001754C0"/>
    <w:rsid w:val="0017645B"/>
    <w:rsid w:val="0017729D"/>
    <w:rsid w:val="0017759C"/>
    <w:rsid w:val="0018024C"/>
    <w:rsid w:val="00181160"/>
    <w:rsid w:val="001819F9"/>
    <w:rsid w:val="00181C6D"/>
    <w:rsid w:val="0018226D"/>
    <w:rsid w:val="00182464"/>
    <w:rsid w:val="00182569"/>
    <w:rsid w:val="001837C0"/>
    <w:rsid w:val="00183BB3"/>
    <w:rsid w:val="001845E3"/>
    <w:rsid w:val="001845E4"/>
    <w:rsid w:val="001848DD"/>
    <w:rsid w:val="00185305"/>
    <w:rsid w:val="001853BF"/>
    <w:rsid w:val="00185796"/>
    <w:rsid w:val="0018592F"/>
    <w:rsid w:val="0018599A"/>
    <w:rsid w:val="0018685F"/>
    <w:rsid w:val="00186984"/>
    <w:rsid w:val="00186B42"/>
    <w:rsid w:val="001874F9"/>
    <w:rsid w:val="00187598"/>
    <w:rsid w:val="00187A86"/>
    <w:rsid w:val="00187DC8"/>
    <w:rsid w:val="00187EF2"/>
    <w:rsid w:val="001901C7"/>
    <w:rsid w:val="001901D6"/>
    <w:rsid w:val="0019187F"/>
    <w:rsid w:val="001918F1"/>
    <w:rsid w:val="001919F5"/>
    <w:rsid w:val="00192794"/>
    <w:rsid w:val="001927D9"/>
    <w:rsid w:val="00192811"/>
    <w:rsid w:val="00192C08"/>
    <w:rsid w:val="0019305B"/>
    <w:rsid w:val="00193110"/>
    <w:rsid w:val="00193A8F"/>
    <w:rsid w:val="00194327"/>
    <w:rsid w:val="0019437A"/>
    <w:rsid w:val="001947CF"/>
    <w:rsid w:val="00194912"/>
    <w:rsid w:val="00194A74"/>
    <w:rsid w:val="00194BF9"/>
    <w:rsid w:val="00194C5E"/>
    <w:rsid w:val="001951E4"/>
    <w:rsid w:val="00195512"/>
    <w:rsid w:val="00195B54"/>
    <w:rsid w:val="00195C9B"/>
    <w:rsid w:val="00195ED1"/>
    <w:rsid w:val="0019625B"/>
    <w:rsid w:val="0019638D"/>
    <w:rsid w:val="001968FE"/>
    <w:rsid w:val="00196B9D"/>
    <w:rsid w:val="00196DC2"/>
    <w:rsid w:val="00196FA9"/>
    <w:rsid w:val="001A042D"/>
    <w:rsid w:val="001A06E0"/>
    <w:rsid w:val="001A0A8C"/>
    <w:rsid w:val="001A0CC0"/>
    <w:rsid w:val="001A14F1"/>
    <w:rsid w:val="001A1576"/>
    <w:rsid w:val="001A15F5"/>
    <w:rsid w:val="001A1770"/>
    <w:rsid w:val="001A1D82"/>
    <w:rsid w:val="001A31D9"/>
    <w:rsid w:val="001A32D9"/>
    <w:rsid w:val="001A3A70"/>
    <w:rsid w:val="001A4203"/>
    <w:rsid w:val="001A431F"/>
    <w:rsid w:val="001A4380"/>
    <w:rsid w:val="001A4A1C"/>
    <w:rsid w:val="001A4ED0"/>
    <w:rsid w:val="001A4ED5"/>
    <w:rsid w:val="001A5169"/>
    <w:rsid w:val="001A5218"/>
    <w:rsid w:val="001A561E"/>
    <w:rsid w:val="001A5D92"/>
    <w:rsid w:val="001A61E7"/>
    <w:rsid w:val="001A6579"/>
    <w:rsid w:val="001A68A9"/>
    <w:rsid w:val="001A6AF2"/>
    <w:rsid w:val="001A6C2A"/>
    <w:rsid w:val="001A76AD"/>
    <w:rsid w:val="001A7ABB"/>
    <w:rsid w:val="001B045B"/>
    <w:rsid w:val="001B0D4C"/>
    <w:rsid w:val="001B104F"/>
    <w:rsid w:val="001B1683"/>
    <w:rsid w:val="001B1920"/>
    <w:rsid w:val="001B1CF7"/>
    <w:rsid w:val="001B1E42"/>
    <w:rsid w:val="001B2D7F"/>
    <w:rsid w:val="001B2FA4"/>
    <w:rsid w:val="001B3057"/>
    <w:rsid w:val="001B307B"/>
    <w:rsid w:val="001B3319"/>
    <w:rsid w:val="001B41AC"/>
    <w:rsid w:val="001B4A0D"/>
    <w:rsid w:val="001B4A99"/>
    <w:rsid w:val="001B4CA8"/>
    <w:rsid w:val="001B4D65"/>
    <w:rsid w:val="001B4F18"/>
    <w:rsid w:val="001B526B"/>
    <w:rsid w:val="001B5672"/>
    <w:rsid w:val="001B5AD7"/>
    <w:rsid w:val="001B5D61"/>
    <w:rsid w:val="001B60E6"/>
    <w:rsid w:val="001B622E"/>
    <w:rsid w:val="001B6556"/>
    <w:rsid w:val="001B6E90"/>
    <w:rsid w:val="001B6FE7"/>
    <w:rsid w:val="001B7087"/>
    <w:rsid w:val="001B7267"/>
    <w:rsid w:val="001B7B70"/>
    <w:rsid w:val="001C032B"/>
    <w:rsid w:val="001C04C2"/>
    <w:rsid w:val="001C0F0F"/>
    <w:rsid w:val="001C123F"/>
    <w:rsid w:val="001C1DA5"/>
    <w:rsid w:val="001C1E8B"/>
    <w:rsid w:val="001C2461"/>
    <w:rsid w:val="001C2761"/>
    <w:rsid w:val="001C2790"/>
    <w:rsid w:val="001C2CA7"/>
    <w:rsid w:val="001C339C"/>
    <w:rsid w:val="001C354E"/>
    <w:rsid w:val="001C3782"/>
    <w:rsid w:val="001C39C4"/>
    <w:rsid w:val="001C3BEB"/>
    <w:rsid w:val="001C3C07"/>
    <w:rsid w:val="001C3DE4"/>
    <w:rsid w:val="001C3F3F"/>
    <w:rsid w:val="001C4207"/>
    <w:rsid w:val="001C44FC"/>
    <w:rsid w:val="001C47A5"/>
    <w:rsid w:val="001C5644"/>
    <w:rsid w:val="001C5A9D"/>
    <w:rsid w:val="001C5C7E"/>
    <w:rsid w:val="001C5E83"/>
    <w:rsid w:val="001C63DA"/>
    <w:rsid w:val="001C6605"/>
    <w:rsid w:val="001C664D"/>
    <w:rsid w:val="001C694E"/>
    <w:rsid w:val="001C6C84"/>
    <w:rsid w:val="001C6DE2"/>
    <w:rsid w:val="001C733B"/>
    <w:rsid w:val="001C733E"/>
    <w:rsid w:val="001C73A4"/>
    <w:rsid w:val="001C741C"/>
    <w:rsid w:val="001C7A2F"/>
    <w:rsid w:val="001C7C76"/>
    <w:rsid w:val="001C7D73"/>
    <w:rsid w:val="001C7D87"/>
    <w:rsid w:val="001D0042"/>
    <w:rsid w:val="001D025D"/>
    <w:rsid w:val="001D08FA"/>
    <w:rsid w:val="001D11A5"/>
    <w:rsid w:val="001D1816"/>
    <w:rsid w:val="001D1A54"/>
    <w:rsid w:val="001D1D0C"/>
    <w:rsid w:val="001D269D"/>
    <w:rsid w:val="001D3371"/>
    <w:rsid w:val="001D3468"/>
    <w:rsid w:val="001D35B7"/>
    <w:rsid w:val="001D3E68"/>
    <w:rsid w:val="001D40E0"/>
    <w:rsid w:val="001D4373"/>
    <w:rsid w:val="001D4405"/>
    <w:rsid w:val="001D4545"/>
    <w:rsid w:val="001D4A31"/>
    <w:rsid w:val="001D554E"/>
    <w:rsid w:val="001D5910"/>
    <w:rsid w:val="001D63C7"/>
    <w:rsid w:val="001D6449"/>
    <w:rsid w:val="001D6AEB"/>
    <w:rsid w:val="001D6B80"/>
    <w:rsid w:val="001D6F24"/>
    <w:rsid w:val="001D702E"/>
    <w:rsid w:val="001D7071"/>
    <w:rsid w:val="001D70AC"/>
    <w:rsid w:val="001D726C"/>
    <w:rsid w:val="001D72B5"/>
    <w:rsid w:val="001D739F"/>
    <w:rsid w:val="001D75DC"/>
    <w:rsid w:val="001E0528"/>
    <w:rsid w:val="001E20F3"/>
    <w:rsid w:val="001E23D4"/>
    <w:rsid w:val="001E2887"/>
    <w:rsid w:val="001E2C36"/>
    <w:rsid w:val="001E3419"/>
    <w:rsid w:val="001E352B"/>
    <w:rsid w:val="001E3892"/>
    <w:rsid w:val="001E4225"/>
    <w:rsid w:val="001E440D"/>
    <w:rsid w:val="001E4966"/>
    <w:rsid w:val="001E5090"/>
    <w:rsid w:val="001E5302"/>
    <w:rsid w:val="001E5535"/>
    <w:rsid w:val="001E559D"/>
    <w:rsid w:val="001E5822"/>
    <w:rsid w:val="001E5847"/>
    <w:rsid w:val="001E5873"/>
    <w:rsid w:val="001E5894"/>
    <w:rsid w:val="001E5ACA"/>
    <w:rsid w:val="001E60DF"/>
    <w:rsid w:val="001E640D"/>
    <w:rsid w:val="001E67EB"/>
    <w:rsid w:val="001E6841"/>
    <w:rsid w:val="001E714C"/>
    <w:rsid w:val="001E75DC"/>
    <w:rsid w:val="001E7841"/>
    <w:rsid w:val="001E7926"/>
    <w:rsid w:val="001E7BCC"/>
    <w:rsid w:val="001E7FE8"/>
    <w:rsid w:val="001F020D"/>
    <w:rsid w:val="001F0240"/>
    <w:rsid w:val="001F04AE"/>
    <w:rsid w:val="001F0870"/>
    <w:rsid w:val="001F0B88"/>
    <w:rsid w:val="001F0E3E"/>
    <w:rsid w:val="001F0F4C"/>
    <w:rsid w:val="001F15A8"/>
    <w:rsid w:val="001F1EF4"/>
    <w:rsid w:val="001F26B8"/>
    <w:rsid w:val="001F2C0F"/>
    <w:rsid w:val="001F2EDD"/>
    <w:rsid w:val="001F2FA0"/>
    <w:rsid w:val="001F310E"/>
    <w:rsid w:val="001F31E6"/>
    <w:rsid w:val="001F3BCF"/>
    <w:rsid w:val="001F3E07"/>
    <w:rsid w:val="001F3F70"/>
    <w:rsid w:val="001F3F8F"/>
    <w:rsid w:val="001F45D2"/>
    <w:rsid w:val="001F4AFF"/>
    <w:rsid w:val="001F4B5D"/>
    <w:rsid w:val="001F508B"/>
    <w:rsid w:val="001F5BDD"/>
    <w:rsid w:val="001F5D25"/>
    <w:rsid w:val="001F5DB4"/>
    <w:rsid w:val="001F640B"/>
    <w:rsid w:val="001F697D"/>
    <w:rsid w:val="001F6A75"/>
    <w:rsid w:val="001F6AB6"/>
    <w:rsid w:val="001F6C2A"/>
    <w:rsid w:val="001F6F4E"/>
    <w:rsid w:val="001F7409"/>
    <w:rsid w:val="001F75A6"/>
    <w:rsid w:val="001F79F2"/>
    <w:rsid w:val="001F7A55"/>
    <w:rsid w:val="001F7AB3"/>
    <w:rsid w:val="001F7C63"/>
    <w:rsid w:val="00200350"/>
    <w:rsid w:val="002005BC"/>
    <w:rsid w:val="00200E71"/>
    <w:rsid w:val="00201306"/>
    <w:rsid w:val="00201D52"/>
    <w:rsid w:val="00201F60"/>
    <w:rsid w:val="002021A9"/>
    <w:rsid w:val="002022E8"/>
    <w:rsid w:val="00202381"/>
    <w:rsid w:val="002025C4"/>
    <w:rsid w:val="002028DC"/>
    <w:rsid w:val="00202A8C"/>
    <w:rsid w:val="002030D7"/>
    <w:rsid w:val="0020316E"/>
    <w:rsid w:val="0020326D"/>
    <w:rsid w:val="002033C4"/>
    <w:rsid w:val="002040AE"/>
    <w:rsid w:val="0020428A"/>
    <w:rsid w:val="00204401"/>
    <w:rsid w:val="002046E1"/>
    <w:rsid w:val="002046E4"/>
    <w:rsid w:val="0020475D"/>
    <w:rsid w:val="00204D8B"/>
    <w:rsid w:val="00205096"/>
    <w:rsid w:val="0020525A"/>
    <w:rsid w:val="0020555A"/>
    <w:rsid w:val="00205970"/>
    <w:rsid w:val="00205D09"/>
    <w:rsid w:val="00205F5F"/>
    <w:rsid w:val="002061EA"/>
    <w:rsid w:val="0020621E"/>
    <w:rsid w:val="00206614"/>
    <w:rsid w:val="00206BAB"/>
    <w:rsid w:val="00206F9C"/>
    <w:rsid w:val="002076B5"/>
    <w:rsid w:val="00210045"/>
    <w:rsid w:val="0021046E"/>
    <w:rsid w:val="00210AB6"/>
    <w:rsid w:val="00210AF6"/>
    <w:rsid w:val="00210B78"/>
    <w:rsid w:val="00210CDE"/>
    <w:rsid w:val="00211315"/>
    <w:rsid w:val="00211506"/>
    <w:rsid w:val="00211727"/>
    <w:rsid w:val="002118A8"/>
    <w:rsid w:val="00211E90"/>
    <w:rsid w:val="002120AF"/>
    <w:rsid w:val="0021255E"/>
    <w:rsid w:val="002125D2"/>
    <w:rsid w:val="0021344B"/>
    <w:rsid w:val="002135F9"/>
    <w:rsid w:val="00213749"/>
    <w:rsid w:val="00214073"/>
    <w:rsid w:val="00214950"/>
    <w:rsid w:val="00214FE0"/>
    <w:rsid w:val="002153A8"/>
    <w:rsid w:val="002154A9"/>
    <w:rsid w:val="0021566F"/>
    <w:rsid w:val="0021575D"/>
    <w:rsid w:val="002159AC"/>
    <w:rsid w:val="0021631A"/>
    <w:rsid w:val="00216431"/>
    <w:rsid w:val="00216542"/>
    <w:rsid w:val="00216991"/>
    <w:rsid w:val="002169F5"/>
    <w:rsid w:val="00216A72"/>
    <w:rsid w:val="00216DEA"/>
    <w:rsid w:val="0021722E"/>
    <w:rsid w:val="0021736E"/>
    <w:rsid w:val="00220017"/>
    <w:rsid w:val="002201F1"/>
    <w:rsid w:val="00220C20"/>
    <w:rsid w:val="00221334"/>
    <w:rsid w:val="002215AA"/>
    <w:rsid w:val="00221C8F"/>
    <w:rsid w:val="00221CB0"/>
    <w:rsid w:val="00222AE8"/>
    <w:rsid w:val="00222CFA"/>
    <w:rsid w:val="00222F92"/>
    <w:rsid w:val="002238CC"/>
    <w:rsid w:val="00223F48"/>
    <w:rsid w:val="00224B00"/>
    <w:rsid w:val="00224C35"/>
    <w:rsid w:val="00224D54"/>
    <w:rsid w:val="00224DCB"/>
    <w:rsid w:val="00224EE1"/>
    <w:rsid w:val="00225084"/>
    <w:rsid w:val="00225677"/>
    <w:rsid w:val="002259EA"/>
    <w:rsid w:val="0022601D"/>
    <w:rsid w:val="002262A0"/>
    <w:rsid w:val="0022699B"/>
    <w:rsid w:val="00226D7F"/>
    <w:rsid w:val="00227369"/>
    <w:rsid w:val="00230266"/>
    <w:rsid w:val="002302A0"/>
    <w:rsid w:val="00230C6F"/>
    <w:rsid w:val="00231099"/>
    <w:rsid w:val="002312D7"/>
    <w:rsid w:val="0023166A"/>
    <w:rsid w:val="002317B0"/>
    <w:rsid w:val="0023341F"/>
    <w:rsid w:val="0023361B"/>
    <w:rsid w:val="0023377C"/>
    <w:rsid w:val="00233B70"/>
    <w:rsid w:val="002343B6"/>
    <w:rsid w:val="0023472C"/>
    <w:rsid w:val="00235694"/>
    <w:rsid w:val="00236540"/>
    <w:rsid w:val="00237202"/>
    <w:rsid w:val="002376E2"/>
    <w:rsid w:val="00237C9A"/>
    <w:rsid w:val="00240CE3"/>
    <w:rsid w:val="00240E00"/>
    <w:rsid w:val="00240F9A"/>
    <w:rsid w:val="002410A1"/>
    <w:rsid w:val="00241561"/>
    <w:rsid w:val="002416DC"/>
    <w:rsid w:val="0024214D"/>
    <w:rsid w:val="0024256C"/>
    <w:rsid w:val="00242B37"/>
    <w:rsid w:val="002430C8"/>
    <w:rsid w:val="00243462"/>
    <w:rsid w:val="002435BB"/>
    <w:rsid w:val="00244183"/>
    <w:rsid w:val="002445B7"/>
    <w:rsid w:val="00244930"/>
    <w:rsid w:val="002451BA"/>
    <w:rsid w:val="002454D1"/>
    <w:rsid w:val="00245680"/>
    <w:rsid w:val="002456FB"/>
    <w:rsid w:val="002462A6"/>
    <w:rsid w:val="0024679D"/>
    <w:rsid w:val="0024682F"/>
    <w:rsid w:val="0024699B"/>
    <w:rsid w:val="002474C8"/>
    <w:rsid w:val="0024751B"/>
    <w:rsid w:val="0024769F"/>
    <w:rsid w:val="00247E1B"/>
    <w:rsid w:val="00247FC5"/>
    <w:rsid w:val="0025010B"/>
    <w:rsid w:val="002502BB"/>
    <w:rsid w:val="002503D2"/>
    <w:rsid w:val="0025061B"/>
    <w:rsid w:val="00250BE3"/>
    <w:rsid w:val="00250DD9"/>
    <w:rsid w:val="00250DE2"/>
    <w:rsid w:val="00250F66"/>
    <w:rsid w:val="00250FC7"/>
    <w:rsid w:val="00251232"/>
    <w:rsid w:val="00251D29"/>
    <w:rsid w:val="00251F56"/>
    <w:rsid w:val="00252121"/>
    <w:rsid w:val="002523C7"/>
    <w:rsid w:val="002524EB"/>
    <w:rsid w:val="00252EB0"/>
    <w:rsid w:val="0025409B"/>
    <w:rsid w:val="002540FC"/>
    <w:rsid w:val="00254279"/>
    <w:rsid w:val="0025444B"/>
    <w:rsid w:val="002544B8"/>
    <w:rsid w:val="002553AC"/>
    <w:rsid w:val="00255AAB"/>
    <w:rsid w:val="00255AED"/>
    <w:rsid w:val="00255EEA"/>
    <w:rsid w:val="002563EA"/>
    <w:rsid w:val="0025685A"/>
    <w:rsid w:val="002568EB"/>
    <w:rsid w:val="00256AB7"/>
    <w:rsid w:val="00256FBF"/>
    <w:rsid w:val="0025711C"/>
    <w:rsid w:val="00257A3D"/>
    <w:rsid w:val="00257BA9"/>
    <w:rsid w:val="00257C3C"/>
    <w:rsid w:val="002604DE"/>
    <w:rsid w:val="00260605"/>
    <w:rsid w:val="00260D57"/>
    <w:rsid w:val="00261906"/>
    <w:rsid w:val="00262B8D"/>
    <w:rsid w:val="00263023"/>
    <w:rsid w:val="00263220"/>
    <w:rsid w:val="0026353C"/>
    <w:rsid w:val="00263A78"/>
    <w:rsid w:val="00263C4A"/>
    <w:rsid w:val="00263D78"/>
    <w:rsid w:val="0026410A"/>
    <w:rsid w:val="002642B7"/>
    <w:rsid w:val="00264B01"/>
    <w:rsid w:val="002653F4"/>
    <w:rsid w:val="00265855"/>
    <w:rsid w:val="00265C98"/>
    <w:rsid w:val="00265F9D"/>
    <w:rsid w:val="002660E7"/>
    <w:rsid w:val="0026610C"/>
    <w:rsid w:val="00266156"/>
    <w:rsid w:val="002663F9"/>
    <w:rsid w:val="002667F9"/>
    <w:rsid w:val="0026689F"/>
    <w:rsid w:val="002668A8"/>
    <w:rsid w:val="002669BA"/>
    <w:rsid w:val="002671E9"/>
    <w:rsid w:val="002671F9"/>
    <w:rsid w:val="002673EF"/>
    <w:rsid w:val="00267514"/>
    <w:rsid w:val="002677A9"/>
    <w:rsid w:val="00270168"/>
    <w:rsid w:val="002705EB"/>
    <w:rsid w:val="00270B69"/>
    <w:rsid w:val="00270C88"/>
    <w:rsid w:val="00270D2E"/>
    <w:rsid w:val="002713BA"/>
    <w:rsid w:val="002714DA"/>
    <w:rsid w:val="002716F0"/>
    <w:rsid w:val="00271F22"/>
    <w:rsid w:val="00271FA0"/>
    <w:rsid w:val="002721BC"/>
    <w:rsid w:val="002725CF"/>
    <w:rsid w:val="00272620"/>
    <w:rsid w:val="00272C39"/>
    <w:rsid w:val="002733E8"/>
    <w:rsid w:val="0027393D"/>
    <w:rsid w:val="00273E7D"/>
    <w:rsid w:val="0027465F"/>
    <w:rsid w:val="00274ACA"/>
    <w:rsid w:val="00274B36"/>
    <w:rsid w:val="0027502D"/>
    <w:rsid w:val="002750C0"/>
    <w:rsid w:val="00275179"/>
    <w:rsid w:val="002751E9"/>
    <w:rsid w:val="00275223"/>
    <w:rsid w:val="0027550D"/>
    <w:rsid w:val="00275DF2"/>
    <w:rsid w:val="002763F8"/>
    <w:rsid w:val="002763FB"/>
    <w:rsid w:val="00277A10"/>
    <w:rsid w:val="00277E23"/>
    <w:rsid w:val="00280068"/>
    <w:rsid w:val="002801B7"/>
    <w:rsid w:val="002803A3"/>
    <w:rsid w:val="0028068C"/>
    <w:rsid w:val="00280807"/>
    <w:rsid w:val="002809EA"/>
    <w:rsid w:val="00280A3F"/>
    <w:rsid w:val="0028157C"/>
    <w:rsid w:val="0028192B"/>
    <w:rsid w:val="00281C57"/>
    <w:rsid w:val="002820E4"/>
    <w:rsid w:val="0028215E"/>
    <w:rsid w:val="00282AA5"/>
    <w:rsid w:val="00282DC7"/>
    <w:rsid w:val="00282F6B"/>
    <w:rsid w:val="00282F98"/>
    <w:rsid w:val="00283291"/>
    <w:rsid w:val="002832C2"/>
    <w:rsid w:val="00283411"/>
    <w:rsid w:val="002838A5"/>
    <w:rsid w:val="00283C9D"/>
    <w:rsid w:val="00283D3C"/>
    <w:rsid w:val="002843CA"/>
    <w:rsid w:val="00284719"/>
    <w:rsid w:val="00284969"/>
    <w:rsid w:val="002849E4"/>
    <w:rsid w:val="00284FEF"/>
    <w:rsid w:val="0028510E"/>
    <w:rsid w:val="00285689"/>
    <w:rsid w:val="0028594D"/>
    <w:rsid w:val="00285F3C"/>
    <w:rsid w:val="00285FAD"/>
    <w:rsid w:val="0028618F"/>
    <w:rsid w:val="002864C0"/>
    <w:rsid w:val="00286747"/>
    <w:rsid w:val="00286774"/>
    <w:rsid w:val="00287461"/>
    <w:rsid w:val="002875F6"/>
    <w:rsid w:val="0028764F"/>
    <w:rsid w:val="002877BF"/>
    <w:rsid w:val="00287804"/>
    <w:rsid w:val="00287C86"/>
    <w:rsid w:val="00290928"/>
    <w:rsid w:val="00290A93"/>
    <w:rsid w:val="00291029"/>
    <w:rsid w:val="002911DE"/>
    <w:rsid w:val="002912E3"/>
    <w:rsid w:val="00291452"/>
    <w:rsid w:val="002929FA"/>
    <w:rsid w:val="00292A46"/>
    <w:rsid w:val="00292B23"/>
    <w:rsid w:val="00292B4A"/>
    <w:rsid w:val="0029320B"/>
    <w:rsid w:val="00293262"/>
    <w:rsid w:val="00293622"/>
    <w:rsid w:val="00293F5D"/>
    <w:rsid w:val="00294024"/>
    <w:rsid w:val="00294180"/>
    <w:rsid w:val="002947D2"/>
    <w:rsid w:val="00294D5C"/>
    <w:rsid w:val="00294E2D"/>
    <w:rsid w:val="00295355"/>
    <w:rsid w:val="00295DA7"/>
    <w:rsid w:val="00296578"/>
    <w:rsid w:val="00296EE1"/>
    <w:rsid w:val="00297323"/>
    <w:rsid w:val="002977A2"/>
    <w:rsid w:val="00297A4F"/>
    <w:rsid w:val="00297AC0"/>
    <w:rsid w:val="00297C65"/>
    <w:rsid w:val="00297CA4"/>
    <w:rsid w:val="002A0A70"/>
    <w:rsid w:val="002A103C"/>
    <w:rsid w:val="002A127B"/>
    <w:rsid w:val="002A165D"/>
    <w:rsid w:val="002A199E"/>
    <w:rsid w:val="002A1BE7"/>
    <w:rsid w:val="002A1CC6"/>
    <w:rsid w:val="002A216F"/>
    <w:rsid w:val="002A239A"/>
    <w:rsid w:val="002A2BF5"/>
    <w:rsid w:val="002A355F"/>
    <w:rsid w:val="002A386B"/>
    <w:rsid w:val="002A3CB7"/>
    <w:rsid w:val="002A451B"/>
    <w:rsid w:val="002A4982"/>
    <w:rsid w:val="002A4A3B"/>
    <w:rsid w:val="002A4BB8"/>
    <w:rsid w:val="002A5051"/>
    <w:rsid w:val="002A5063"/>
    <w:rsid w:val="002A5220"/>
    <w:rsid w:val="002A524F"/>
    <w:rsid w:val="002A53C1"/>
    <w:rsid w:val="002A57DD"/>
    <w:rsid w:val="002A596D"/>
    <w:rsid w:val="002A6078"/>
    <w:rsid w:val="002A64BE"/>
    <w:rsid w:val="002A6B34"/>
    <w:rsid w:val="002A6E40"/>
    <w:rsid w:val="002A7136"/>
    <w:rsid w:val="002A7442"/>
    <w:rsid w:val="002A7639"/>
    <w:rsid w:val="002A7944"/>
    <w:rsid w:val="002A7A2A"/>
    <w:rsid w:val="002A7C22"/>
    <w:rsid w:val="002A7D44"/>
    <w:rsid w:val="002B0ED2"/>
    <w:rsid w:val="002B1032"/>
    <w:rsid w:val="002B15BA"/>
    <w:rsid w:val="002B1F63"/>
    <w:rsid w:val="002B26C2"/>
    <w:rsid w:val="002B26ED"/>
    <w:rsid w:val="002B2AC2"/>
    <w:rsid w:val="002B335D"/>
    <w:rsid w:val="002B3370"/>
    <w:rsid w:val="002B3C0A"/>
    <w:rsid w:val="002B3C40"/>
    <w:rsid w:val="002B3C5D"/>
    <w:rsid w:val="002B3EB6"/>
    <w:rsid w:val="002B3EF6"/>
    <w:rsid w:val="002B3FE8"/>
    <w:rsid w:val="002B430C"/>
    <w:rsid w:val="002B4503"/>
    <w:rsid w:val="002B484D"/>
    <w:rsid w:val="002B4D19"/>
    <w:rsid w:val="002B510E"/>
    <w:rsid w:val="002B578B"/>
    <w:rsid w:val="002B59D7"/>
    <w:rsid w:val="002B5C4D"/>
    <w:rsid w:val="002B6047"/>
    <w:rsid w:val="002B6AA1"/>
    <w:rsid w:val="002B6F7C"/>
    <w:rsid w:val="002B6FC5"/>
    <w:rsid w:val="002B73F2"/>
    <w:rsid w:val="002B75DE"/>
    <w:rsid w:val="002B7EE3"/>
    <w:rsid w:val="002C0103"/>
    <w:rsid w:val="002C034D"/>
    <w:rsid w:val="002C0587"/>
    <w:rsid w:val="002C0592"/>
    <w:rsid w:val="002C106B"/>
    <w:rsid w:val="002C1350"/>
    <w:rsid w:val="002C146C"/>
    <w:rsid w:val="002C23E9"/>
    <w:rsid w:val="002C2564"/>
    <w:rsid w:val="002C2B06"/>
    <w:rsid w:val="002C2E34"/>
    <w:rsid w:val="002C2F87"/>
    <w:rsid w:val="002C3231"/>
    <w:rsid w:val="002C3501"/>
    <w:rsid w:val="002C35B2"/>
    <w:rsid w:val="002C35CD"/>
    <w:rsid w:val="002C37CB"/>
    <w:rsid w:val="002C38E5"/>
    <w:rsid w:val="002C39F6"/>
    <w:rsid w:val="002C3C8B"/>
    <w:rsid w:val="002C3EAF"/>
    <w:rsid w:val="002C40FF"/>
    <w:rsid w:val="002C475D"/>
    <w:rsid w:val="002C4B0C"/>
    <w:rsid w:val="002C4C09"/>
    <w:rsid w:val="002C546C"/>
    <w:rsid w:val="002C5681"/>
    <w:rsid w:val="002C5AAB"/>
    <w:rsid w:val="002C5BBC"/>
    <w:rsid w:val="002C5BF8"/>
    <w:rsid w:val="002C68E9"/>
    <w:rsid w:val="002C6B54"/>
    <w:rsid w:val="002C6ECF"/>
    <w:rsid w:val="002C6F83"/>
    <w:rsid w:val="002C7637"/>
    <w:rsid w:val="002C7B07"/>
    <w:rsid w:val="002C7B8D"/>
    <w:rsid w:val="002C7D6E"/>
    <w:rsid w:val="002C7F96"/>
    <w:rsid w:val="002C7FD5"/>
    <w:rsid w:val="002D012E"/>
    <w:rsid w:val="002D084F"/>
    <w:rsid w:val="002D0A31"/>
    <w:rsid w:val="002D0B20"/>
    <w:rsid w:val="002D0D30"/>
    <w:rsid w:val="002D1306"/>
    <w:rsid w:val="002D15D8"/>
    <w:rsid w:val="002D16AE"/>
    <w:rsid w:val="002D1CA2"/>
    <w:rsid w:val="002D24F9"/>
    <w:rsid w:val="002D2B24"/>
    <w:rsid w:val="002D2CDF"/>
    <w:rsid w:val="002D36A7"/>
    <w:rsid w:val="002D3804"/>
    <w:rsid w:val="002D3C08"/>
    <w:rsid w:val="002D3DB2"/>
    <w:rsid w:val="002D3F5C"/>
    <w:rsid w:val="002D429D"/>
    <w:rsid w:val="002D45D3"/>
    <w:rsid w:val="002D46CE"/>
    <w:rsid w:val="002D476A"/>
    <w:rsid w:val="002D497D"/>
    <w:rsid w:val="002D4ACC"/>
    <w:rsid w:val="002D5011"/>
    <w:rsid w:val="002D533C"/>
    <w:rsid w:val="002D543D"/>
    <w:rsid w:val="002D5506"/>
    <w:rsid w:val="002D5631"/>
    <w:rsid w:val="002D56D8"/>
    <w:rsid w:val="002D5B86"/>
    <w:rsid w:val="002D6510"/>
    <w:rsid w:val="002D67B6"/>
    <w:rsid w:val="002D6D02"/>
    <w:rsid w:val="002D74CE"/>
    <w:rsid w:val="002D750E"/>
    <w:rsid w:val="002D7F7F"/>
    <w:rsid w:val="002E00DD"/>
    <w:rsid w:val="002E01C4"/>
    <w:rsid w:val="002E0937"/>
    <w:rsid w:val="002E0C26"/>
    <w:rsid w:val="002E16F9"/>
    <w:rsid w:val="002E1F54"/>
    <w:rsid w:val="002E211C"/>
    <w:rsid w:val="002E2193"/>
    <w:rsid w:val="002E2877"/>
    <w:rsid w:val="002E2E28"/>
    <w:rsid w:val="002E338B"/>
    <w:rsid w:val="002E398F"/>
    <w:rsid w:val="002E3AA6"/>
    <w:rsid w:val="002E4461"/>
    <w:rsid w:val="002E4C07"/>
    <w:rsid w:val="002E52BC"/>
    <w:rsid w:val="002E580E"/>
    <w:rsid w:val="002E627D"/>
    <w:rsid w:val="002E6388"/>
    <w:rsid w:val="002E67D8"/>
    <w:rsid w:val="002E7585"/>
    <w:rsid w:val="002E7587"/>
    <w:rsid w:val="002E7B9E"/>
    <w:rsid w:val="002E7CB8"/>
    <w:rsid w:val="002F011C"/>
    <w:rsid w:val="002F0289"/>
    <w:rsid w:val="002F0557"/>
    <w:rsid w:val="002F0ACE"/>
    <w:rsid w:val="002F0CD8"/>
    <w:rsid w:val="002F0F41"/>
    <w:rsid w:val="002F144A"/>
    <w:rsid w:val="002F17E6"/>
    <w:rsid w:val="002F1C51"/>
    <w:rsid w:val="002F1F56"/>
    <w:rsid w:val="002F22AE"/>
    <w:rsid w:val="002F2E5C"/>
    <w:rsid w:val="002F3197"/>
    <w:rsid w:val="002F3909"/>
    <w:rsid w:val="002F3D4B"/>
    <w:rsid w:val="002F401E"/>
    <w:rsid w:val="002F49CF"/>
    <w:rsid w:val="002F4E2C"/>
    <w:rsid w:val="002F5185"/>
    <w:rsid w:val="002F59BE"/>
    <w:rsid w:val="002F5B13"/>
    <w:rsid w:val="002F5C76"/>
    <w:rsid w:val="002F6242"/>
    <w:rsid w:val="002F667C"/>
    <w:rsid w:val="002F6FC1"/>
    <w:rsid w:val="002F75CB"/>
    <w:rsid w:val="002F7880"/>
    <w:rsid w:val="003004E4"/>
    <w:rsid w:val="00300D69"/>
    <w:rsid w:val="00300FC5"/>
    <w:rsid w:val="003013B3"/>
    <w:rsid w:val="00301522"/>
    <w:rsid w:val="00301557"/>
    <w:rsid w:val="003016AA"/>
    <w:rsid w:val="00301BF5"/>
    <w:rsid w:val="00302114"/>
    <w:rsid w:val="003026C5"/>
    <w:rsid w:val="00302B23"/>
    <w:rsid w:val="00302BA1"/>
    <w:rsid w:val="00302C20"/>
    <w:rsid w:val="00302D59"/>
    <w:rsid w:val="003032ED"/>
    <w:rsid w:val="00303A72"/>
    <w:rsid w:val="00304034"/>
    <w:rsid w:val="0030429B"/>
    <w:rsid w:val="00304514"/>
    <w:rsid w:val="00304554"/>
    <w:rsid w:val="003050B8"/>
    <w:rsid w:val="003053D1"/>
    <w:rsid w:val="003055FA"/>
    <w:rsid w:val="00305C71"/>
    <w:rsid w:val="00305D11"/>
    <w:rsid w:val="00306464"/>
    <w:rsid w:val="00306767"/>
    <w:rsid w:val="00306A7B"/>
    <w:rsid w:val="00306B92"/>
    <w:rsid w:val="00306FB6"/>
    <w:rsid w:val="003074B2"/>
    <w:rsid w:val="003074FD"/>
    <w:rsid w:val="003077C3"/>
    <w:rsid w:val="0030786A"/>
    <w:rsid w:val="00307A53"/>
    <w:rsid w:val="00307CDA"/>
    <w:rsid w:val="00307E7A"/>
    <w:rsid w:val="00307F02"/>
    <w:rsid w:val="00307F2B"/>
    <w:rsid w:val="00307F7A"/>
    <w:rsid w:val="0031013E"/>
    <w:rsid w:val="00310BF6"/>
    <w:rsid w:val="00310E56"/>
    <w:rsid w:val="0031106F"/>
    <w:rsid w:val="0031108E"/>
    <w:rsid w:val="003112FC"/>
    <w:rsid w:val="003115A7"/>
    <w:rsid w:val="00311D73"/>
    <w:rsid w:val="00311DCE"/>
    <w:rsid w:val="0031252E"/>
    <w:rsid w:val="003125A4"/>
    <w:rsid w:val="0031274A"/>
    <w:rsid w:val="003127FE"/>
    <w:rsid w:val="00313561"/>
    <w:rsid w:val="003136B5"/>
    <w:rsid w:val="00313806"/>
    <w:rsid w:val="003138E0"/>
    <w:rsid w:val="00313B12"/>
    <w:rsid w:val="00313BB4"/>
    <w:rsid w:val="00313FBC"/>
    <w:rsid w:val="00314100"/>
    <w:rsid w:val="00314536"/>
    <w:rsid w:val="00314616"/>
    <w:rsid w:val="0031494C"/>
    <w:rsid w:val="00314C53"/>
    <w:rsid w:val="00314C88"/>
    <w:rsid w:val="00314C97"/>
    <w:rsid w:val="00314CBF"/>
    <w:rsid w:val="00315D2B"/>
    <w:rsid w:val="00316478"/>
    <w:rsid w:val="003164FE"/>
    <w:rsid w:val="0031667E"/>
    <w:rsid w:val="00316B80"/>
    <w:rsid w:val="003171F9"/>
    <w:rsid w:val="0031742D"/>
    <w:rsid w:val="0031767C"/>
    <w:rsid w:val="00317787"/>
    <w:rsid w:val="00317E5A"/>
    <w:rsid w:val="00320178"/>
    <w:rsid w:val="003201BE"/>
    <w:rsid w:val="003201CE"/>
    <w:rsid w:val="0032063A"/>
    <w:rsid w:val="0032093A"/>
    <w:rsid w:val="00320B7F"/>
    <w:rsid w:val="00321893"/>
    <w:rsid w:val="003226B8"/>
    <w:rsid w:val="0032298B"/>
    <w:rsid w:val="00322C03"/>
    <w:rsid w:val="00323492"/>
    <w:rsid w:val="00323F67"/>
    <w:rsid w:val="00323F96"/>
    <w:rsid w:val="003243C9"/>
    <w:rsid w:val="00324815"/>
    <w:rsid w:val="003248BE"/>
    <w:rsid w:val="00324BB6"/>
    <w:rsid w:val="003251A1"/>
    <w:rsid w:val="00325B89"/>
    <w:rsid w:val="00325E89"/>
    <w:rsid w:val="00326364"/>
    <w:rsid w:val="00326431"/>
    <w:rsid w:val="00326585"/>
    <w:rsid w:val="00326893"/>
    <w:rsid w:val="00326BAC"/>
    <w:rsid w:val="00327294"/>
    <w:rsid w:val="003272A5"/>
    <w:rsid w:val="0032779E"/>
    <w:rsid w:val="003308B3"/>
    <w:rsid w:val="00330EBE"/>
    <w:rsid w:val="00331132"/>
    <w:rsid w:val="003316EF"/>
    <w:rsid w:val="00331983"/>
    <w:rsid w:val="0033218C"/>
    <w:rsid w:val="00333910"/>
    <w:rsid w:val="00333A91"/>
    <w:rsid w:val="00333D06"/>
    <w:rsid w:val="00334268"/>
    <w:rsid w:val="003347CD"/>
    <w:rsid w:val="00335057"/>
    <w:rsid w:val="00335D25"/>
    <w:rsid w:val="00335F54"/>
    <w:rsid w:val="00336334"/>
    <w:rsid w:val="003363C3"/>
    <w:rsid w:val="003364CE"/>
    <w:rsid w:val="0033654E"/>
    <w:rsid w:val="003365FF"/>
    <w:rsid w:val="003368F1"/>
    <w:rsid w:val="003369C2"/>
    <w:rsid w:val="00336B94"/>
    <w:rsid w:val="00336CBA"/>
    <w:rsid w:val="003370CF"/>
    <w:rsid w:val="0033738F"/>
    <w:rsid w:val="003375B1"/>
    <w:rsid w:val="003379F0"/>
    <w:rsid w:val="00337B77"/>
    <w:rsid w:val="00337DDE"/>
    <w:rsid w:val="00340043"/>
    <w:rsid w:val="00340257"/>
    <w:rsid w:val="00340650"/>
    <w:rsid w:val="003406B3"/>
    <w:rsid w:val="003409B1"/>
    <w:rsid w:val="00340EEC"/>
    <w:rsid w:val="00340F75"/>
    <w:rsid w:val="0034143F"/>
    <w:rsid w:val="003416A7"/>
    <w:rsid w:val="00341B7B"/>
    <w:rsid w:val="00341DAE"/>
    <w:rsid w:val="0034242D"/>
    <w:rsid w:val="003428FB"/>
    <w:rsid w:val="00342C95"/>
    <w:rsid w:val="00342D2B"/>
    <w:rsid w:val="00343308"/>
    <w:rsid w:val="00343352"/>
    <w:rsid w:val="003435C3"/>
    <w:rsid w:val="00343985"/>
    <w:rsid w:val="00343999"/>
    <w:rsid w:val="00343E32"/>
    <w:rsid w:val="00343F76"/>
    <w:rsid w:val="003442EF"/>
    <w:rsid w:val="00344AC4"/>
    <w:rsid w:val="003453C7"/>
    <w:rsid w:val="00345862"/>
    <w:rsid w:val="00346B08"/>
    <w:rsid w:val="00346BB7"/>
    <w:rsid w:val="00346EB9"/>
    <w:rsid w:val="0034733A"/>
    <w:rsid w:val="003473F5"/>
    <w:rsid w:val="0034752E"/>
    <w:rsid w:val="003478B2"/>
    <w:rsid w:val="00347BBA"/>
    <w:rsid w:val="00347D35"/>
    <w:rsid w:val="0035011B"/>
    <w:rsid w:val="00350313"/>
    <w:rsid w:val="003503F7"/>
    <w:rsid w:val="00350407"/>
    <w:rsid w:val="0035042F"/>
    <w:rsid w:val="003504AB"/>
    <w:rsid w:val="00350C23"/>
    <w:rsid w:val="00350F3D"/>
    <w:rsid w:val="003512A2"/>
    <w:rsid w:val="00351321"/>
    <w:rsid w:val="00351DBE"/>
    <w:rsid w:val="00351E4D"/>
    <w:rsid w:val="00351E81"/>
    <w:rsid w:val="00352306"/>
    <w:rsid w:val="003525B9"/>
    <w:rsid w:val="00352856"/>
    <w:rsid w:val="00352E77"/>
    <w:rsid w:val="003530E9"/>
    <w:rsid w:val="00353543"/>
    <w:rsid w:val="003538FC"/>
    <w:rsid w:val="00353DD3"/>
    <w:rsid w:val="00353DED"/>
    <w:rsid w:val="00353F41"/>
    <w:rsid w:val="00353F6D"/>
    <w:rsid w:val="00354094"/>
    <w:rsid w:val="00354517"/>
    <w:rsid w:val="003545D7"/>
    <w:rsid w:val="003547F4"/>
    <w:rsid w:val="00354914"/>
    <w:rsid w:val="00354973"/>
    <w:rsid w:val="00354A47"/>
    <w:rsid w:val="00354FA7"/>
    <w:rsid w:val="003559C9"/>
    <w:rsid w:val="00355D83"/>
    <w:rsid w:val="00355E0D"/>
    <w:rsid w:val="003562F5"/>
    <w:rsid w:val="00356479"/>
    <w:rsid w:val="00356C84"/>
    <w:rsid w:val="003576DD"/>
    <w:rsid w:val="00357C82"/>
    <w:rsid w:val="00357F82"/>
    <w:rsid w:val="00360118"/>
    <w:rsid w:val="003601C5"/>
    <w:rsid w:val="0036066E"/>
    <w:rsid w:val="00360EB9"/>
    <w:rsid w:val="003611B0"/>
    <w:rsid w:val="00361239"/>
    <w:rsid w:val="003613F5"/>
    <w:rsid w:val="00361804"/>
    <w:rsid w:val="00361D07"/>
    <w:rsid w:val="00361D3C"/>
    <w:rsid w:val="0036227E"/>
    <w:rsid w:val="00362296"/>
    <w:rsid w:val="003625C0"/>
    <w:rsid w:val="00362897"/>
    <w:rsid w:val="00362CB8"/>
    <w:rsid w:val="00362E53"/>
    <w:rsid w:val="00363235"/>
    <w:rsid w:val="00363463"/>
    <w:rsid w:val="00363E33"/>
    <w:rsid w:val="00363E37"/>
    <w:rsid w:val="00363F27"/>
    <w:rsid w:val="003642DE"/>
    <w:rsid w:val="003647A8"/>
    <w:rsid w:val="00364BE3"/>
    <w:rsid w:val="00364C34"/>
    <w:rsid w:val="00365420"/>
    <w:rsid w:val="0036544F"/>
    <w:rsid w:val="003655E7"/>
    <w:rsid w:val="00365839"/>
    <w:rsid w:val="00365D02"/>
    <w:rsid w:val="00365EE6"/>
    <w:rsid w:val="00366078"/>
    <w:rsid w:val="00366681"/>
    <w:rsid w:val="003668C0"/>
    <w:rsid w:val="00367255"/>
    <w:rsid w:val="00367294"/>
    <w:rsid w:val="003673D5"/>
    <w:rsid w:val="003673E3"/>
    <w:rsid w:val="003706EC"/>
    <w:rsid w:val="00370FF6"/>
    <w:rsid w:val="0037180B"/>
    <w:rsid w:val="00371D56"/>
    <w:rsid w:val="00371F36"/>
    <w:rsid w:val="00371F65"/>
    <w:rsid w:val="00372033"/>
    <w:rsid w:val="0037203F"/>
    <w:rsid w:val="0037232A"/>
    <w:rsid w:val="00372BCF"/>
    <w:rsid w:val="00372F7E"/>
    <w:rsid w:val="003731A4"/>
    <w:rsid w:val="003738C4"/>
    <w:rsid w:val="00373B86"/>
    <w:rsid w:val="0037401A"/>
    <w:rsid w:val="003743F7"/>
    <w:rsid w:val="003747AB"/>
    <w:rsid w:val="0037563E"/>
    <w:rsid w:val="00375AAA"/>
    <w:rsid w:val="0037631F"/>
    <w:rsid w:val="00376467"/>
    <w:rsid w:val="003766BD"/>
    <w:rsid w:val="00376757"/>
    <w:rsid w:val="00376D9F"/>
    <w:rsid w:val="003772E8"/>
    <w:rsid w:val="0037757C"/>
    <w:rsid w:val="003804B0"/>
    <w:rsid w:val="00380E30"/>
    <w:rsid w:val="00380F94"/>
    <w:rsid w:val="0038135B"/>
    <w:rsid w:val="00381CE5"/>
    <w:rsid w:val="0038242F"/>
    <w:rsid w:val="003827E8"/>
    <w:rsid w:val="0038334A"/>
    <w:rsid w:val="003833B0"/>
    <w:rsid w:val="0038340A"/>
    <w:rsid w:val="00383772"/>
    <w:rsid w:val="00383B66"/>
    <w:rsid w:val="00383CDA"/>
    <w:rsid w:val="00383DC0"/>
    <w:rsid w:val="00383DFD"/>
    <w:rsid w:val="00383E4C"/>
    <w:rsid w:val="003848E3"/>
    <w:rsid w:val="00384A76"/>
    <w:rsid w:val="00384B5C"/>
    <w:rsid w:val="0038514B"/>
    <w:rsid w:val="00385AC7"/>
    <w:rsid w:val="00385DC3"/>
    <w:rsid w:val="00386219"/>
    <w:rsid w:val="00386334"/>
    <w:rsid w:val="003864A9"/>
    <w:rsid w:val="00386769"/>
    <w:rsid w:val="00386B71"/>
    <w:rsid w:val="00387179"/>
    <w:rsid w:val="0038774E"/>
    <w:rsid w:val="00387A0D"/>
    <w:rsid w:val="00387D2A"/>
    <w:rsid w:val="00387EE0"/>
    <w:rsid w:val="00390429"/>
    <w:rsid w:val="0039082B"/>
    <w:rsid w:val="00390B0E"/>
    <w:rsid w:val="00390BE5"/>
    <w:rsid w:val="00391032"/>
    <w:rsid w:val="003911E9"/>
    <w:rsid w:val="0039146F"/>
    <w:rsid w:val="003915AF"/>
    <w:rsid w:val="003915CC"/>
    <w:rsid w:val="003918D1"/>
    <w:rsid w:val="00391BD1"/>
    <w:rsid w:val="00391CA8"/>
    <w:rsid w:val="00392453"/>
    <w:rsid w:val="003926A3"/>
    <w:rsid w:val="003926B6"/>
    <w:rsid w:val="003926BB"/>
    <w:rsid w:val="003927B8"/>
    <w:rsid w:val="00392938"/>
    <w:rsid w:val="00392B0D"/>
    <w:rsid w:val="00392D73"/>
    <w:rsid w:val="00392D85"/>
    <w:rsid w:val="00393532"/>
    <w:rsid w:val="0039360F"/>
    <w:rsid w:val="003939EE"/>
    <w:rsid w:val="003940D3"/>
    <w:rsid w:val="0039428A"/>
    <w:rsid w:val="0039452E"/>
    <w:rsid w:val="0039484D"/>
    <w:rsid w:val="00394C21"/>
    <w:rsid w:val="00394D19"/>
    <w:rsid w:val="00394E26"/>
    <w:rsid w:val="003953A5"/>
    <w:rsid w:val="0039552B"/>
    <w:rsid w:val="00395565"/>
    <w:rsid w:val="003962FC"/>
    <w:rsid w:val="00396467"/>
    <w:rsid w:val="00396886"/>
    <w:rsid w:val="003969B5"/>
    <w:rsid w:val="00396C17"/>
    <w:rsid w:val="00396D90"/>
    <w:rsid w:val="00396EA5"/>
    <w:rsid w:val="00396EB0"/>
    <w:rsid w:val="00396F6D"/>
    <w:rsid w:val="003976A6"/>
    <w:rsid w:val="0039773A"/>
    <w:rsid w:val="003977EC"/>
    <w:rsid w:val="00397BEA"/>
    <w:rsid w:val="00397CC7"/>
    <w:rsid w:val="00397EE2"/>
    <w:rsid w:val="003A02B5"/>
    <w:rsid w:val="003A040B"/>
    <w:rsid w:val="003A08F5"/>
    <w:rsid w:val="003A0DDA"/>
    <w:rsid w:val="003A0DEE"/>
    <w:rsid w:val="003A1675"/>
    <w:rsid w:val="003A172F"/>
    <w:rsid w:val="003A19EF"/>
    <w:rsid w:val="003A1D46"/>
    <w:rsid w:val="003A2089"/>
    <w:rsid w:val="003A2324"/>
    <w:rsid w:val="003A263B"/>
    <w:rsid w:val="003A26F1"/>
    <w:rsid w:val="003A3AB1"/>
    <w:rsid w:val="003A3C1F"/>
    <w:rsid w:val="003A4FD7"/>
    <w:rsid w:val="003A510D"/>
    <w:rsid w:val="003A5304"/>
    <w:rsid w:val="003A552A"/>
    <w:rsid w:val="003A578E"/>
    <w:rsid w:val="003A57BA"/>
    <w:rsid w:val="003A5CF1"/>
    <w:rsid w:val="003A5EC4"/>
    <w:rsid w:val="003A65C8"/>
    <w:rsid w:val="003A674F"/>
    <w:rsid w:val="003A6BA8"/>
    <w:rsid w:val="003A6CEF"/>
    <w:rsid w:val="003A6FCA"/>
    <w:rsid w:val="003A792E"/>
    <w:rsid w:val="003A79B8"/>
    <w:rsid w:val="003A7CD6"/>
    <w:rsid w:val="003B0406"/>
    <w:rsid w:val="003B0A45"/>
    <w:rsid w:val="003B0A71"/>
    <w:rsid w:val="003B0DAF"/>
    <w:rsid w:val="003B13A8"/>
    <w:rsid w:val="003B1822"/>
    <w:rsid w:val="003B1A93"/>
    <w:rsid w:val="003B1DF4"/>
    <w:rsid w:val="003B1E44"/>
    <w:rsid w:val="003B227F"/>
    <w:rsid w:val="003B299B"/>
    <w:rsid w:val="003B32E8"/>
    <w:rsid w:val="003B36F9"/>
    <w:rsid w:val="003B3B0C"/>
    <w:rsid w:val="003B4152"/>
    <w:rsid w:val="003B4178"/>
    <w:rsid w:val="003B4236"/>
    <w:rsid w:val="003B44D7"/>
    <w:rsid w:val="003B49BF"/>
    <w:rsid w:val="003B54E1"/>
    <w:rsid w:val="003B5A20"/>
    <w:rsid w:val="003B5B5C"/>
    <w:rsid w:val="003B5D45"/>
    <w:rsid w:val="003B5DEE"/>
    <w:rsid w:val="003B630C"/>
    <w:rsid w:val="003B6552"/>
    <w:rsid w:val="003B6DF7"/>
    <w:rsid w:val="003B778C"/>
    <w:rsid w:val="003B7801"/>
    <w:rsid w:val="003B7824"/>
    <w:rsid w:val="003B78CA"/>
    <w:rsid w:val="003B7D26"/>
    <w:rsid w:val="003C0EC8"/>
    <w:rsid w:val="003C1038"/>
    <w:rsid w:val="003C1622"/>
    <w:rsid w:val="003C1A9B"/>
    <w:rsid w:val="003C1D97"/>
    <w:rsid w:val="003C213E"/>
    <w:rsid w:val="003C2267"/>
    <w:rsid w:val="003C2BB0"/>
    <w:rsid w:val="003C31DD"/>
    <w:rsid w:val="003C3991"/>
    <w:rsid w:val="003C3A5C"/>
    <w:rsid w:val="003C3B3D"/>
    <w:rsid w:val="003C3E51"/>
    <w:rsid w:val="003C41FD"/>
    <w:rsid w:val="003C433C"/>
    <w:rsid w:val="003C48DD"/>
    <w:rsid w:val="003C49EA"/>
    <w:rsid w:val="003C54E7"/>
    <w:rsid w:val="003C57AF"/>
    <w:rsid w:val="003C61FC"/>
    <w:rsid w:val="003C6C08"/>
    <w:rsid w:val="003C6DED"/>
    <w:rsid w:val="003C7206"/>
    <w:rsid w:val="003C722B"/>
    <w:rsid w:val="003C7B07"/>
    <w:rsid w:val="003C7B1C"/>
    <w:rsid w:val="003C7C84"/>
    <w:rsid w:val="003C7D48"/>
    <w:rsid w:val="003C7D66"/>
    <w:rsid w:val="003D03EF"/>
    <w:rsid w:val="003D0573"/>
    <w:rsid w:val="003D0FBE"/>
    <w:rsid w:val="003D118D"/>
    <w:rsid w:val="003D120B"/>
    <w:rsid w:val="003D1320"/>
    <w:rsid w:val="003D132A"/>
    <w:rsid w:val="003D15A9"/>
    <w:rsid w:val="003D17E2"/>
    <w:rsid w:val="003D19AE"/>
    <w:rsid w:val="003D25FF"/>
    <w:rsid w:val="003D2662"/>
    <w:rsid w:val="003D3078"/>
    <w:rsid w:val="003D318C"/>
    <w:rsid w:val="003D3879"/>
    <w:rsid w:val="003D388D"/>
    <w:rsid w:val="003D38E4"/>
    <w:rsid w:val="003D3BB4"/>
    <w:rsid w:val="003D3E55"/>
    <w:rsid w:val="003D44C4"/>
    <w:rsid w:val="003D4556"/>
    <w:rsid w:val="003D462C"/>
    <w:rsid w:val="003D4A00"/>
    <w:rsid w:val="003D554B"/>
    <w:rsid w:val="003D566B"/>
    <w:rsid w:val="003D5870"/>
    <w:rsid w:val="003D5B49"/>
    <w:rsid w:val="003D63D1"/>
    <w:rsid w:val="003D6834"/>
    <w:rsid w:val="003D6BC5"/>
    <w:rsid w:val="003D6C02"/>
    <w:rsid w:val="003D71D5"/>
    <w:rsid w:val="003D7549"/>
    <w:rsid w:val="003D7B04"/>
    <w:rsid w:val="003E0069"/>
    <w:rsid w:val="003E037E"/>
    <w:rsid w:val="003E048A"/>
    <w:rsid w:val="003E0EB4"/>
    <w:rsid w:val="003E12BC"/>
    <w:rsid w:val="003E12FF"/>
    <w:rsid w:val="003E1519"/>
    <w:rsid w:val="003E15D9"/>
    <w:rsid w:val="003E1838"/>
    <w:rsid w:val="003E1981"/>
    <w:rsid w:val="003E1AB8"/>
    <w:rsid w:val="003E2363"/>
    <w:rsid w:val="003E2627"/>
    <w:rsid w:val="003E2CED"/>
    <w:rsid w:val="003E2D17"/>
    <w:rsid w:val="003E3383"/>
    <w:rsid w:val="003E3670"/>
    <w:rsid w:val="003E3864"/>
    <w:rsid w:val="003E388E"/>
    <w:rsid w:val="003E3B70"/>
    <w:rsid w:val="003E3DFF"/>
    <w:rsid w:val="003E414F"/>
    <w:rsid w:val="003E4A9D"/>
    <w:rsid w:val="003E5024"/>
    <w:rsid w:val="003E51BB"/>
    <w:rsid w:val="003E5B95"/>
    <w:rsid w:val="003E614E"/>
    <w:rsid w:val="003E677D"/>
    <w:rsid w:val="003E6CB0"/>
    <w:rsid w:val="003E6D33"/>
    <w:rsid w:val="003E6F31"/>
    <w:rsid w:val="003E6F38"/>
    <w:rsid w:val="003E73A2"/>
    <w:rsid w:val="003E73EC"/>
    <w:rsid w:val="003E74F7"/>
    <w:rsid w:val="003E7C01"/>
    <w:rsid w:val="003E7C09"/>
    <w:rsid w:val="003E7D45"/>
    <w:rsid w:val="003E7F04"/>
    <w:rsid w:val="003F0154"/>
    <w:rsid w:val="003F0728"/>
    <w:rsid w:val="003F09CA"/>
    <w:rsid w:val="003F0B23"/>
    <w:rsid w:val="003F12AF"/>
    <w:rsid w:val="003F1853"/>
    <w:rsid w:val="003F193E"/>
    <w:rsid w:val="003F232B"/>
    <w:rsid w:val="003F2518"/>
    <w:rsid w:val="003F2E2A"/>
    <w:rsid w:val="003F2E8C"/>
    <w:rsid w:val="003F3012"/>
    <w:rsid w:val="003F3244"/>
    <w:rsid w:val="003F3E64"/>
    <w:rsid w:val="003F3EEA"/>
    <w:rsid w:val="003F3F6A"/>
    <w:rsid w:val="003F4274"/>
    <w:rsid w:val="003F4353"/>
    <w:rsid w:val="003F449A"/>
    <w:rsid w:val="003F44AF"/>
    <w:rsid w:val="003F4BBE"/>
    <w:rsid w:val="003F4D2E"/>
    <w:rsid w:val="003F5833"/>
    <w:rsid w:val="003F5B74"/>
    <w:rsid w:val="003F6146"/>
    <w:rsid w:val="003F623B"/>
    <w:rsid w:val="003F6AD1"/>
    <w:rsid w:val="003F6D8D"/>
    <w:rsid w:val="003F7D12"/>
    <w:rsid w:val="003F7F39"/>
    <w:rsid w:val="00400329"/>
    <w:rsid w:val="00400A4D"/>
    <w:rsid w:val="00401B03"/>
    <w:rsid w:val="00401C1A"/>
    <w:rsid w:val="00401C26"/>
    <w:rsid w:val="00401E43"/>
    <w:rsid w:val="00401EE2"/>
    <w:rsid w:val="0040249F"/>
    <w:rsid w:val="0040266F"/>
    <w:rsid w:val="00402BDB"/>
    <w:rsid w:val="00402EB0"/>
    <w:rsid w:val="00402FFB"/>
    <w:rsid w:val="004039B5"/>
    <w:rsid w:val="00403FD6"/>
    <w:rsid w:val="0040443E"/>
    <w:rsid w:val="00404601"/>
    <w:rsid w:val="00404717"/>
    <w:rsid w:val="004049B8"/>
    <w:rsid w:val="00404ED3"/>
    <w:rsid w:val="00405098"/>
    <w:rsid w:val="004051D1"/>
    <w:rsid w:val="00405360"/>
    <w:rsid w:val="004053FB"/>
    <w:rsid w:val="00405572"/>
    <w:rsid w:val="00406440"/>
    <w:rsid w:val="00406CEA"/>
    <w:rsid w:val="00406E9C"/>
    <w:rsid w:val="00407529"/>
    <w:rsid w:val="0040785C"/>
    <w:rsid w:val="00407B63"/>
    <w:rsid w:val="00410127"/>
    <w:rsid w:val="0041023F"/>
    <w:rsid w:val="00410494"/>
    <w:rsid w:val="00410774"/>
    <w:rsid w:val="00410EDE"/>
    <w:rsid w:val="00411136"/>
    <w:rsid w:val="00411912"/>
    <w:rsid w:val="00411B88"/>
    <w:rsid w:val="00411F9C"/>
    <w:rsid w:val="0041292F"/>
    <w:rsid w:val="00412FF4"/>
    <w:rsid w:val="004130DA"/>
    <w:rsid w:val="00413174"/>
    <w:rsid w:val="004136F4"/>
    <w:rsid w:val="00413B4D"/>
    <w:rsid w:val="00413F66"/>
    <w:rsid w:val="00414399"/>
    <w:rsid w:val="004144C1"/>
    <w:rsid w:val="004146B5"/>
    <w:rsid w:val="0041482F"/>
    <w:rsid w:val="00414AD9"/>
    <w:rsid w:val="00414DEF"/>
    <w:rsid w:val="00414F34"/>
    <w:rsid w:val="00415A1C"/>
    <w:rsid w:val="00415AEA"/>
    <w:rsid w:val="0041604D"/>
    <w:rsid w:val="00416640"/>
    <w:rsid w:val="004179AC"/>
    <w:rsid w:val="00417E92"/>
    <w:rsid w:val="00417EE6"/>
    <w:rsid w:val="004200B0"/>
    <w:rsid w:val="004207AE"/>
    <w:rsid w:val="00420A4E"/>
    <w:rsid w:val="00420A78"/>
    <w:rsid w:val="00420AE5"/>
    <w:rsid w:val="00420BCB"/>
    <w:rsid w:val="00420C91"/>
    <w:rsid w:val="00421662"/>
    <w:rsid w:val="00421736"/>
    <w:rsid w:val="00421C71"/>
    <w:rsid w:val="00421DBB"/>
    <w:rsid w:val="00423BD2"/>
    <w:rsid w:val="00424016"/>
    <w:rsid w:val="00424141"/>
    <w:rsid w:val="00424487"/>
    <w:rsid w:val="0042450A"/>
    <w:rsid w:val="00424528"/>
    <w:rsid w:val="00424965"/>
    <w:rsid w:val="004249B9"/>
    <w:rsid w:val="00424A07"/>
    <w:rsid w:val="004258EF"/>
    <w:rsid w:val="00425D3F"/>
    <w:rsid w:val="0042616C"/>
    <w:rsid w:val="00426416"/>
    <w:rsid w:val="00426F64"/>
    <w:rsid w:val="0042754E"/>
    <w:rsid w:val="00427B8D"/>
    <w:rsid w:val="00427B9D"/>
    <w:rsid w:val="00430183"/>
    <w:rsid w:val="0043076D"/>
    <w:rsid w:val="00430CFE"/>
    <w:rsid w:val="00430D9F"/>
    <w:rsid w:val="00430DD0"/>
    <w:rsid w:val="00431184"/>
    <w:rsid w:val="004318C9"/>
    <w:rsid w:val="00431AAD"/>
    <w:rsid w:val="00431B7E"/>
    <w:rsid w:val="00431E62"/>
    <w:rsid w:val="00432880"/>
    <w:rsid w:val="00432D2D"/>
    <w:rsid w:val="00433D37"/>
    <w:rsid w:val="004347F7"/>
    <w:rsid w:val="00434863"/>
    <w:rsid w:val="00434971"/>
    <w:rsid w:val="00434B44"/>
    <w:rsid w:val="00434C61"/>
    <w:rsid w:val="00434D48"/>
    <w:rsid w:val="00434E8D"/>
    <w:rsid w:val="00435024"/>
    <w:rsid w:val="004356E2"/>
    <w:rsid w:val="004356F0"/>
    <w:rsid w:val="004357E1"/>
    <w:rsid w:val="00435C7C"/>
    <w:rsid w:val="00435E60"/>
    <w:rsid w:val="0043604F"/>
    <w:rsid w:val="00436663"/>
    <w:rsid w:val="00436671"/>
    <w:rsid w:val="00436690"/>
    <w:rsid w:val="0043673A"/>
    <w:rsid w:val="004367A6"/>
    <w:rsid w:val="00436CE7"/>
    <w:rsid w:val="00437990"/>
    <w:rsid w:val="004379FA"/>
    <w:rsid w:val="00437E74"/>
    <w:rsid w:val="00440127"/>
    <w:rsid w:val="00440165"/>
    <w:rsid w:val="00440200"/>
    <w:rsid w:val="004407D5"/>
    <w:rsid w:val="00440FA4"/>
    <w:rsid w:val="00441154"/>
    <w:rsid w:val="00441289"/>
    <w:rsid w:val="0044167F"/>
    <w:rsid w:val="004419A4"/>
    <w:rsid w:val="00441B39"/>
    <w:rsid w:val="00442291"/>
    <w:rsid w:val="0044264E"/>
    <w:rsid w:val="0044284D"/>
    <w:rsid w:val="00442D00"/>
    <w:rsid w:val="00442F7C"/>
    <w:rsid w:val="00442FD1"/>
    <w:rsid w:val="004439EB"/>
    <w:rsid w:val="00443B8D"/>
    <w:rsid w:val="00443C0C"/>
    <w:rsid w:val="0044408F"/>
    <w:rsid w:val="004441E1"/>
    <w:rsid w:val="00444288"/>
    <w:rsid w:val="00444B33"/>
    <w:rsid w:val="00444C83"/>
    <w:rsid w:val="00445329"/>
    <w:rsid w:val="00445A71"/>
    <w:rsid w:val="00445E86"/>
    <w:rsid w:val="00445FA5"/>
    <w:rsid w:val="00446150"/>
    <w:rsid w:val="004463D7"/>
    <w:rsid w:val="00446BD0"/>
    <w:rsid w:val="00446EA7"/>
    <w:rsid w:val="0044736D"/>
    <w:rsid w:val="00447617"/>
    <w:rsid w:val="00447C87"/>
    <w:rsid w:val="00447F7F"/>
    <w:rsid w:val="0045030C"/>
    <w:rsid w:val="004503AA"/>
    <w:rsid w:val="0045046E"/>
    <w:rsid w:val="00450491"/>
    <w:rsid w:val="004504BA"/>
    <w:rsid w:val="004505A7"/>
    <w:rsid w:val="004506A8"/>
    <w:rsid w:val="00451013"/>
    <w:rsid w:val="0045106A"/>
    <w:rsid w:val="00451E41"/>
    <w:rsid w:val="004523D6"/>
    <w:rsid w:val="004527FA"/>
    <w:rsid w:val="00452884"/>
    <w:rsid w:val="00452905"/>
    <w:rsid w:val="00452947"/>
    <w:rsid w:val="00452A7D"/>
    <w:rsid w:val="00452D79"/>
    <w:rsid w:val="00453171"/>
    <w:rsid w:val="00453472"/>
    <w:rsid w:val="004535BD"/>
    <w:rsid w:val="004538E4"/>
    <w:rsid w:val="00453AB0"/>
    <w:rsid w:val="004541A5"/>
    <w:rsid w:val="00455B8F"/>
    <w:rsid w:val="00455DCB"/>
    <w:rsid w:val="00455DDC"/>
    <w:rsid w:val="00455F1D"/>
    <w:rsid w:val="00456308"/>
    <w:rsid w:val="004563C2"/>
    <w:rsid w:val="00456535"/>
    <w:rsid w:val="00456540"/>
    <w:rsid w:val="00456B90"/>
    <w:rsid w:val="004570B6"/>
    <w:rsid w:val="004573CC"/>
    <w:rsid w:val="0045754E"/>
    <w:rsid w:val="00460164"/>
    <w:rsid w:val="00460857"/>
    <w:rsid w:val="00460A04"/>
    <w:rsid w:val="00460A1F"/>
    <w:rsid w:val="00460C00"/>
    <w:rsid w:val="004615DE"/>
    <w:rsid w:val="00461851"/>
    <w:rsid w:val="00461922"/>
    <w:rsid w:val="00461B9A"/>
    <w:rsid w:val="00461EF1"/>
    <w:rsid w:val="00462482"/>
    <w:rsid w:val="00462844"/>
    <w:rsid w:val="00462A22"/>
    <w:rsid w:val="00462EC8"/>
    <w:rsid w:val="00463754"/>
    <w:rsid w:val="00463790"/>
    <w:rsid w:val="004638B3"/>
    <w:rsid w:val="0046431F"/>
    <w:rsid w:val="0046458F"/>
    <w:rsid w:val="004645A0"/>
    <w:rsid w:val="0046536F"/>
    <w:rsid w:val="004653FD"/>
    <w:rsid w:val="0046542A"/>
    <w:rsid w:val="00465683"/>
    <w:rsid w:val="00465770"/>
    <w:rsid w:val="00465789"/>
    <w:rsid w:val="00465CF9"/>
    <w:rsid w:val="00466046"/>
    <w:rsid w:val="00466A3E"/>
    <w:rsid w:val="00466B34"/>
    <w:rsid w:val="0046704C"/>
    <w:rsid w:val="004675A7"/>
    <w:rsid w:val="00467893"/>
    <w:rsid w:val="004678F9"/>
    <w:rsid w:val="00467E2E"/>
    <w:rsid w:val="00470356"/>
    <w:rsid w:val="0047035F"/>
    <w:rsid w:val="004705BD"/>
    <w:rsid w:val="004709FF"/>
    <w:rsid w:val="00470AE6"/>
    <w:rsid w:val="00471346"/>
    <w:rsid w:val="00471A91"/>
    <w:rsid w:val="00471E25"/>
    <w:rsid w:val="00472713"/>
    <w:rsid w:val="0047275D"/>
    <w:rsid w:val="00472B7E"/>
    <w:rsid w:val="00472E57"/>
    <w:rsid w:val="004732CF"/>
    <w:rsid w:val="00473406"/>
    <w:rsid w:val="0047396B"/>
    <w:rsid w:val="00473CB9"/>
    <w:rsid w:val="00473E27"/>
    <w:rsid w:val="00474521"/>
    <w:rsid w:val="004745D7"/>
    <w:rsid w:val="0047468C"/>
    <w:rsid w:val="00474BF3"/>
    <w:rsid w:val="00474CB6"/>
    <w:rsid w:val="00474FEA"/>
    <w:rsid w:val="004756F5"/>
    <w:rsid w:val="004757B0"/>
    <w:rsid w:val="00475FA9"/>
    <w:rsid w:val="00475FCD"/>
    <w:rsid w:val="0047636B"/>
    <w:rsid w:val="00476459"/>
    <w:rsid w:val="004766DB"/>
    <w:rsid w:val="00476BCD"/>
    <w:rsid w:val="00476ED6"/>
    <w:rsid w:val="00476ED8"/>
    <w:rsid w:val="00476F61"/>
    <w:rsid w:val="00477234"/>
    <w:rsid w:val="00477267"/>
    <w:rsid w:val="00477B7B"/>
    <w:rsid w:val="00477CAD"/>
    <w:rsid w:val="00480239"/>
    <w:rsid w:val="0048035A"/>
    <w:rsid w:val="004806F6"/>
    <w:rsid w:val="00480721"/>
    <w:rsid w:val="00480962"/>
    <w:rsid w:val="00480A06"/>
    <w:rsid w:val="00480B0D"/>
    <w:rsid w:val="00480C43"/>
    <w:rsid w:val="004810EC"/>
    <w:rsid w:val="0048194A"/>
    <w:rsid w:val="00481C69"/>
    <w:rsid w:val="004824BE"/>
    <w:rsid w:val="004826EA"/>
    <w:rsid w:val="00482CA2"/>
    <w:rsid w:val="00482EAC"/>
    <w:rsid w:val="00482F8F"/>
    <w:rsid w:val="00483057"/>
    <w:rsid w:val="004830CF"/>
    <w:rsid w:val="00483304"/>
    <w:rsid w:val="00483530"/>
    <w:rsid w:val="0048389C"/>
    <w:rsid w:val="00483B66"/>
    <w:rsid w:val="00483DC7"/>
    <w:rsid w:val="00483DE7"/>
    <w:rsid w:val="00483E2D"/>
    <w:rsid w:val="004840E1"/>
    <w:rsid w:val="004842AC"/>
    <w:rsid w:val="0048459D"/>
    <w:rsid w:val="0048463B"/>
    <w:rsid w:val="004846AF"/>
    <w:rsid w:val="004849C1"/>
    <w:rsid w:val="004850D6"/>
    <w:rsid w:val="0048550E"/>
    <w:rsid w:val="004859B7"/>
    <w:rsid w:val="00485D3F"/>
    <w:rsid w:val="0048652F"/>
    <w:rsid w:val="0048688B"/>
    <w:rsid w:val="00486C42"/>
    <w:rsid w:val="00486DC4"/>
    <w:rsid w:val="00487672"/>
    <w:rsid w:val="00487693"/>
    <w:rsid w:val="004877B5"/>
    <w:rsid w:val="00490210"/>
    <w:rsid w:val="004903BD"/>
    <w:rsid w:val="00490DCA"/>
    <w:rsid w:val="00490E10"/>
    <w:rsid w:val="004917FA"/>
    <w:rsid w:val="0049198A"/>
    <w:rsid w:val="00491BB3"/>
    <w:rsid w:val="00492444"/>
    <w:rsid w:val="0049280E"/>
    <w:rsid w:val="004929E7"/>
    <w:rsid w:val="004936BD"/>
    <w:rsid w:val="00493BEC"/>
    <w:rsid w:val="00493D32"/>
    <w:rsid w:val="0049449B"/>
    <w:rsid w:val="00494814"/>
    <w:rsid w:val="00494885"/>
    <w:rsid w:val="0049489C"/>
    <w:rsid w:val="00494D68"/>
    <w:rsid w:val="00494DEA"/>
    <w:rsid w:val="0049510A"/>
    <w:rsid w:val="00495756"/>
    <w:rsid w:val="0049591E"/>
    <w:rsid w:val="00495A1F"/>
    <w:rsid w:val="00495B62"/>
    <w:rsid w:val="00495CE2"/>
    <w:rsid w:val="00495E0C"/>
    <w:rsid w:val="0049677F"/>
    <w:rsid w:val="00496835"/>
    <w:rsid w:val="00496C81"/>
    <w:rsid w:val="00496F64"/>
    <w:rsid w:val="00496FF0"/>
    <w:rsid w:val="00497992"/>
    <w:rsid w:val="00497E89"/>
    <w:rsid w:val="00497FC5"/>
    <w:rsid w:val="004A02EE"/>
    <w:rsid w:val="004A0D6D"/>
    <w:rsid w:val="004A0E66"/>
    <w:rsid w:val="004A0FCD"/>
    <w:rsid w:val="004A1260"/>
    <w:rsid w:val="004A1757"/>
    <w:rsid w:val="004A1AFA"/>
    <w:rsid w:val="004A20A1"/>
    <w:rsid w:val="004A2399"/>
    <w:rsid w:val="004A28EE"/>
    <w:rsid w:val="004A2DE0"/>
    <w:rsid w:val="004A2F37"/>
    <w:rsid w:val="004A2FB6"/>
    <w:rsid w:val="004A3298"/>
    <w:rsid w:val="004A32EF"/>
    <w:rsid w:val="004A38B1"/>
    <w:rsid w:val="004A3B54"/>
    <w:rsid w:val="004A3F31"/>
    <w:rsid w:val="004A438D"/>
    <w:rsid w:val="004A449E"/>
    <w:rsid w:val="004A459E"/>
    <w:rsid w:val="004A462C"/>
    <w:rsid w:val="004A4A92"/>
    <w:rsid w:val="004A4C28"/>
    <w:rsid w:val="004A5641"/>
    <w:rsid w:val="004A5975"/>
    <w:rsid w:val="004A5AF5"/>
    <w:rsid w:val="004A5C11"/>
    <w:rsid w:val="004A5CDC"/>
    <w:rsid w:val="004A5F2C"/>
    <w:rsid w:val="004A6037"/>
    <w:rsid w:val="004A6768"/>
    <w:rsid w:val="004A67C7"/>
    <w:rsid w:val="004A68CB"/>
    <w:rsid w:val="004A7193"/>
    <w:rsid w:val="004B0577"/>
    <w:rsid w:val="004B0A5C"/>
    <w:rsid w:val="004B0D92"/>
    <w:rsid w:val="004B0E13"/>
    <w:rsid w:val="004B0E4D"/>
    <w:rsid w:val="004B149A"/>
    <w:rsid w:val="004B176A"/>
    <w:rsid w:val="004B17DA"/>
    <w:rsid w:val="004B1933"/>
    <w:rsid w:val="004B2091"/>
    <w:rsid w:val="004B21B2"/>
    <w:rsid w:val="004B28E5"/>
    <w:rsid w:val="004B2967"/>
    <w:rsid w:val="004B2990"/>
    <w:rsid w:val="004B3249"/>
    <w:rsid w:val="004B39DE"/>
    <w:rsid w:val="004B3A03"/>
    <w:rsid w:val="004B41A9"/>
    <w:rsid w:val="004B4234"/>
    <w:rsid w:val="004B460B"/>
    <w:rsid w:val="004B4D0A"/>
    <w:rsid w:val="004B5241"/>
    <w:rsid w:val="004B52A9"/>
    <w:rsid w:val="004B553B"/>
    <w:rsid w:val="004B5716"/>
    <w:rsid w:val="004B7350"/>
    <w:rsid w:val="004B791E"/>
    <w:rsid w:val="004B7926"/>
    <w:rsid w:val="004B7BC8"/>
    <w:rsid w:val="004B7CC2"/>
    <w:rsid w:val="004B7FC4"/>
    <w:rsid w:val="004C0189"/>
    <w:rsid w:val="004C0D7D"/>
    <w:rsid w:val="004C0E61"/>
    <w:rsid w:val="004C12F7"/>
    <w:rsid w:val="004C1406"/>
    <w:rsid w:val="004C144A"/>
    <w:rsid w:val="004C1966"/>
    <w:rsid w:val="004C1E31"/>
    <w:rsid w:val="004C1F4F"/>
    <w:rsid w:val="004C225C"/>
    <w:rsid w:val="004C289E"/>
    <w:rsid w:val="004C2E15"/>
    <w:rsid w:val="004C2E39"/>
    <w:rsid w:val="004C2FFE"/>
    <w:rsid w:val="004C34FA"/>
    <w:rsid w:val="004C3555"/>
    <w:rsid w:val="004C36DA"/>
    <w:rsid w:val="004C3A67"/>
    <w:rsid w:val="004C3F5B"/>
    <w:rsid w:val="004C4127"/>
    <w:rsid w:val="004C439B"/>
    <w:rsid w:val="004C4B5F"/>
    <w:rsid w:val="004C5435"/>
    <w:rsid w:val="004C54EC"/>
    <w:rsid w:val="004C5737"/>
    <w:rsid w:val="004C6455"/>
    <w:rsid w:val="004C67DC"/>
    <w:rsid w:val="004C6C51"/>
    <w:rsid w:val="004C6FC2"/>
    <w:rsid w:val="004C7028"/>
    <w:rsid w:val="004C714F"/>
    <w:rsid w:val="004C71D0"/>
    <w:rsid w:val="004C7473"/>
    <w:rsid w:val="004C75E8"/>
    <w:rsid w:val="004D018B"/>
    <w:rsid w:val="004D04FA"/>
    <w:rsid w:val="004D0A9E"/>
    <w:rsid w:val="004D155E"/>
    <w:rsid w:val="004D19CA"/>
    <w:rsid w:val="004D1BC1"/>
    <w:rsid w:val="004D1E30"/>
    <w:rsid w:val="004D2110"/>
    <w:rsid w:val="004D2465"/>
    <w:rsid w:val="004D24FE"/>
    <w:rsid w:val="004D30FD"/>
    <w:rsid w:val="004D32B1"/>
    <w:rsid w:val="004D389C"/>
    <w:rsid w:val="004D3C93"/>
    <w:rsid w:val="004D41B1"/>
    <w:rsid w:val="004D4222"/>
    <w:rsid w:val="004D451A"/>
    <w:rsid w:val="004D4B32"/>
    <w:rsid w:val="004D4C36"/>
    <w:rsid w:val="004D4E10"/>
    <w:rsid w:val="004D4EC0"/>
    <w:rsid w:val="004D506B"/>
    <w:rsid w:val="004D526B"/>
    <w:rsid w:val="004D5625"/>
    <w:rsid w:val="004D5719"/>
    <w:rsid w:val="004D5A13"/>
    <w:rsid w:val="004D5B29"/>
    <w:rsid w:val="004D5CCD"/>
    <w:rsid w:val="004D5E3A"/>
    <w:rsid w:val="004D6299"/>
    <w:rsid w:val="004D62BA"/>
    <w:rsid w:val="004D6A06"/>
    <w:rsid w:val="004D6E73"/>
    <w:rsid w:val="004D7179"/>
    <w:rsid w:val="004D73FF"/>
    <w:rsid w:val="004D7423"/>
    <w:rsid w:val="004D742D"/>
    <w:rsid w:val="004D74D2"/>
    <w:rsid w:val="004D7F18"/>
    <w:rsid w:val="004D7F96"/>
    <w:rsid w:val="004E03DA"/>
    <w:rsid w:val="004E068C"/>
    <w:rsid w:val="004E07F8"/>
    <w:rsid w:val="004E0BD1"/>
    <w:rsid w:val="004E1344"/>
    <w:rsid w:val="004E14C3"/>
    <w:rsid w:val="004E14DF"/>
    <w:rsid w:val="004E17D9"/>
    <w:rsid w:val="004E19FF"/>
    <w:rsid w:val="004E1B6A"/>
    <w:rsid w:val="004E1E84"/>
    <w:rsid w:val="004E2780"/>
    <w:rsid w:val="004E2892"/>
    <w:rsid w:val="004E2A60"/>
    <w:rsid w:val="004E31F8"/>
    <w:rsid w:val="004E346E"/>
    <w:rsid w:val="004E3A40"/>
    <w:rsid w:val="004E4422"/>
    <w:rsid w:val="004E474B"/>
    <w:rsid w:val="004E544F"/>
    <w:rsid w:val="004E550E"/>
    <w:rsid w:val="004E55D4"/>
    <w:rsid w:val="004E58E8"/>
    <w:rsid w:val="004E5AF3"/>
    <w:rsid w:val="004E620B"/>
    <w:rsid w:val="004E6638"/>
    <w:rsid w:val="004E692F"/>
    <w:rsid w:val="004E6DCB"/>
    <w:rsid w:val="004E7293"/>
    <w:rsid w:val="004E73A4"/>
    <w:rsid w:val="004E7931"/>
    <w:rsid w:val="004E799D"/>
    <w:rsid w:val="004E7F1E"/>
    <w:rsid w:val="004F0249"/>
    <w:rsid w:val="004F0ABC"/>
    <w:rsid w:val="004F0D09"/>
    <w:rsid w:val="004F130C"/>
    <w:rsid w:val="004F1429"/>
    <w:rsid w:val="004F15C3"/>
    <w:rsid w:val="004F209B"/>
    <w:rsid w:val="004F291A"/>
    <w:rsid w:val="004F2954"/>
    <w:rsid w:val="004F29B0"/>
    <w:rsid w:val="004F3622"/>
    <w:rsid w:val="004F39BE"/>
    <w:rsid w:val="004F4A81"/>
    <w:rsid w:val="004F5264"/>
    <w:rsid w:val="004F540F"/>
    <w:rsid w:val="004F56B3"/>
    <w:rsid w:val="004F573E"/>
    <w:rsid w:val="004F61DB"/>
    <w:rsid w:val="004F63E7"/>
    <w:rsid w:val="004F6605"/>
    <w:rsid w:val="004F6A62"/>
    <w:rsid w:val="004F6B73"/>
    <w:rsid w:val="004F70E0"/>
    <w:rsid w:val="004F764F"/>
    <w:rsid w:val="004F7751"/>
    <w:rsid w:val="004F7DC3"/>
    <w:rsid w:val="004F7FEF"/>
    <w:rsid w:val="005000C3"/>
    <w:rsid w:val="0050013E"/>
    <w:rsid w:val="00500678"/>
    <w:rsid w:val="00500830"/>
    <w:rsid w:val="00500D7C"/>
    <w:rsid w:val="00500D9A"/>
    <w:rsid w:val="0050126A"/>
    <w:rsid w:val="00501386"/>
    <w:rsid w:val="005013CD"/>
    <w:rsid w:val="0050170C"/>
    <w:rsid w:val="00501CE6"/>
    <w:rsid w:val="00501F8D"/>
    <w:rsid w:val="00502782"/>
    <w:rsid w:val="00502961"/>
    <w:rsid w:val="00502F6A"/>
    <w:rsid w:val="00502FEA"/>
    <w:rsid w:val="0050304C"/>
    <w:rsid w:val="00503081"/>
    <w:rsid w:val="00503112"/>
    <w:rsid w:val="005033F8"/>
    <w:rsid w:val="005034FB"/>
    <w:rsid w:val="0050356E"/>
    <w:rsid w:val="00503A56"/>
    <w:rsid w:val="00503AF6"/>
    <w:rsid w:val="00503CE6"/>
    <w:rsid w:val="0050440A"/>
    <w:rsid w:val="00505048"/>
    <w:rsid w:val="00505322"/>
    <w:rsid w:val="00505C9B"/>
    <w:rsid w:val="00505CCC"/>
    <w:rsid w:val="00506663"/>
    <w:rsid w:val="00506ABF"/>
    <w:rsid w:val="00507714"/>
    <w:rsid w:val="0050773F"/>
    <w:rsid w:val="005079C8"/>
    <w:rsid w:val="00507A9A"/>
    <w:rsid w:val="00507CE7"/>
    <w:rsid w:val="00507EA6"/>
    <w:rsid w:val="00507EEA"/>
    <w:rsid w:val="00510392"/>
    <w:rsid w:val="0051053E"/>
    <w:rsid w:val="005105EA"/>
    <w:rsid w:val="005106C5"/>
    <w:rsid w:val="00510C0D"/>
    <w:rsid w:val="00511362"/>
    <w:rsid w:val="005113B5"/>
    <w:rsid w:val="00511908"/>
    <w:rsid w:val="00511FBE"/>
    <w:rsid w:val="005127C3"/>
    <w:rsid w:val="00512998"/>
    <w:rsid w:val="00512BBE"/>
    <w:rsid w:val="00513016"/>
    <w:rsid w:val="0051312B"/>
    <w:rsid w:val="00513188"/>
    <w:rsid w:val="0051350C"/>
    <w:rsid w:val="00513C9F"/>
    <w:rsid w:val="00513E1E"/>
    <w:rsid w:val="00514391"/>
    <w:rsid w:val="00514971"/>
    <w:rsid w:val="00514B6F"/>
    <w:rsid w:val="00514D4C"/>
    <w:rsid w:val="00514EAC"/>
    <w:rsid w:val="00515150"/>
    <w:rsid w:val="00515499"/>
    <w:rsid w:val="005155C9"/>
    <w:rsid w:val="0051594E"/>
    <w:rsid w:val="00515AE2"/>
    <w:rsid w:val="00515B93"/>
    <w:rsid w:val="00515BB2"/>
    <w:rsid w:val="00515CDF"/>
    <w:rsid w:val="00515D0B"/>
    <w:rsid w:val="005166EF"/>
    <w:rsid w:val="00516F75"/>
    <w:rsid w:val="00517083"/>
    <w:rsid w:val="0051739B"/>
    <w:rsid w:val="0051765A"/>
    <w:rsid w:val="00517A7D"/>
    <w:rsid w:val="00517B28"/>
    <w:rsid w:val="0052002A"/>
    <w:rsid w:val="00520056"/>
    <w:rsid w:val="0052006E"/>
    <w:rsid w:val="00520329"/>
    <w:rsid w:val="0052160E"/>
    <w:rsid w:val="00521B3B"/>
    <w:rsid w:val="00521F5A"/>
    <w:rsid w:val="00522085"/>
    <w:rsid w:val="00522362"/>
    <w:rsid w:val="00522A88"/>
    <w:rsid w:val="00522FF4"/>
    <w:rsid w:val="005237B6"/>
    <w:rsid w:val="00523C07"/>
    <w:rsid w:val="00523D78"/>
    <w:rsid w:val="00523F84"/>
    <w:rsid w:val="0052467D"/>
    <w:rsid w:val="00524840"/>
    <w:rsid w:val="00524F6B"/>
    <w:rsid w:val="00524FA5"/>
    <w:rsid w:val="005251AC"/>
    <w:rsid w:val="00525704"/>
    <w:rsid w:val="00525859"/>
    <w:rsid w:val="00525BD0"/>
    <w:rsid w:val="00525E22"/>
    <w:rsid w:val="00526C84"/>
    <w:rsid w:val="005277AF"/>
    <w:rsid w:val="0053013F"/>
    <w:rsid w:val="0053096C"/>
    <w:rsid w:val="00530AAF"/>
    <w:rsid w:val="0053114D"/>
    <w:rsid w:val="005315C6"/>
    <w:rsid w:val="00531789"/>
    <w:rsid w:val="00531D30"/>
    <w:rsid w:val="00531E0D"/>
    <w:rsid w:val="00531EDC"/>
    <w:rsid w:val="00532042"/>
    <w:rsid w:val="005320CB"/>
    <w:rsid w:val="0053216F"/>
    <w:rsid w:val="005329B4"/>
    <w:rsid w:val="00532BBD"/>
    <w:rsid w:val="00532CA7"/>
    <w:rsid w:val="005338B6"/>
    <w:rsid w:val="00533A81"/>
    <w:rsid w:val="00533EE6"/>
    <w:rsid w:val="0053410B"/>
    <w:rsid w:val="0053420A"/>
    <w:rsid w:val="005344B1"/>
    <w:rsid w:val="00534662"/>
    <w:rsid w:val="0053468D"/>
    <w:rsid w:val="005347BF"/>
    <w:rsid w:val="00534FBF"/>
    <w:rsid w:val="005355A0"/>
    <w:rsid w:val="005358D9"/>
    <w:rsid w:val="00535C00"/>
    <w:rsid w:val="00536055"/>
    <w:rsid w:val="00536435"/>
    <w:rsid w:val="00536989"/>
    <w:rsid w:val="00536BC8"/>
    <w:rsid w:val="00537121"/>
    <w:rsid w:val="0053781E"/>
    <w:rsid w:val="00540421"/>
    <w:rsid w:val="005404FA"/>
    <w:rsid w:val="00540560"/>
    <w:rsid w:val="005405EE"/>
    <w:rsid w:val="005411FD"/>
    <w:rsid w:val="0054175D"/>
    <w:rsid w:val="005421FA"/>
    <w:rsid w:val="005425B7"/>
    <w:rsid w:val="00542605"/>
    <w:rsid w:val="005427B4"/>
    <w:rsid w:val="00542D67"/>
    <w:rsid w:val="00542FDA"/>
    <w:rsid w:val="005434C4"/>
    <w:rsid w:val="0054350F"/>
    <w:rsid w:val="00543AF3"/>
    <w:rsid w:val="00543E6D"/>
    <w:rsid w:val="00543F13"/>
    <w:rsid w:val="00543F30"/>
    <w:rsid w:val="00544527"/>
    <w:rsid w:val="00544D1C"/>
    <w:rsid w:val="00545055"/>
    <w:rsid w:val="00545515"/>
    <w:rsid w:val="00545812"/>
    <w:rsid w:val="00545AE8"/>
    <w:rsid w:val="00545CAE"/>
    <w:rsid w:val="00545DC7"/>
    <w:rsid w:val="00545FA4"/>
    <w:rsid w:val="00546593"/>
    <w:rsid w:val="005466A1"/>
    <w:rsid w:val="00546ABA"/>
    <w:rsid w:val="00546C60"/>
    <w:rsid w:val="00546CD7"/>
    <w:rsid w:val="00546DDF"/>
    <w:rsid w:val="00547195"/>
    <w:rsid w:val="005478D4"/>
    <w:rsid w:val="005479E0"/>
    <w:rsid w:val="00547DD8"/>
    <w:rsid w:val="00547EA1"/>
    <w:rsid w:val="005502EC"/>
    <w:rsid w:val="005505B1"/>
    <w:rsid w:val="00550653"/>
    <w:rsid w:val="00550828"/>
    <w:rsid w:val="00550A30"/>
    <w:rsid w:val="00550B55"/>
    <w:rsid w:val="00550FE8"/>
    <w:rsid w:val="00550FFF"/>
    <w:rsid w:val="0055124E"/>
    <w:rsid w:val="00551327"/>
    <w:rsid w:val="00551BD3"/>
    <w:rsid w:val="00551C8D"/>
    <w:rsid w:val="00551E08"/>
    <w:rsid w:val="0055289C"/>
    <w:rsid w:val="005528FF"/>
    <w:rsid w:val="00552C47"/>
    <w:rsid w:val="00552CE7"/>
    <w:rsid w:val="00552DC6"/>
    <w:rsid w:val="00552FE3"/>
    <w:rsid w:val="005530F1"/>
    <w:rsid w:val="0055423A"/>
    <w:rsid w:val="005546F6"/>
    <w:rsid w:val="00554A35"/>
    <w:rsid w:val="005555BA"/>
    <w:rsid w:val="00555837"/>
    <w:rsid w:val="00555BA9"/>
    <w:rsid w:val="005567B1"/>
    <w:rsid w:val="00556845"/>
    <w:rsid w:val="00556C94"/>
    <w:rsid w:val="005574E1"/>
    <w:rsid w:val="00557769"/>
    <w:rsid w:val="005577A6"/>
    <w:rsid w:val="0055788A"/>
    <w:rsid w:val="00557B1A"/>
    <w:rsid w:val="00557BFE"/>
    <w:rsid w:val="00560153"/>
    <w:rsid w:val="00560A10"/>
    <w:rsid w:val="00560F4D"/>
    <w:rsid w:val="00560F7A"/>
    <w:rsid w:val="0056179E"/>
    <w:rsid w:val="005617F8"/>
    <w:rsid w:val="00561DC7"/>
    <w:rsid w:val="00561E0A"/>
    <w:rsid w:val="0056209B"/>
    <w:rsid w:val="0056213E"/>
    <w:rsid w:val="00562216"/>
    <w:rsid w:val="0056234C"/>
    <w:rsid w:val="005623F8"/>
    <w:rsid w:val="00562943"/>
    <w:rsid w:val="00562A42"/>
    <w:rsid w:val="00562B34"/>
    <w:rsid w:val="00562F61"/>
    <w:rsid w:val="00563515"/>
    <w:rsid w:val="00563D36"/>
    <w:rsid w:val="00563F9A"/>
    <w:rsid w:val="005644E6"/>
    <w:rsid w:val="00564916"/>
    <w:rsid w:val="00564DC0"/>
    <w:rsid w:val="0056504D"/>
    <w:rsid w:val="005656F9"/>
    <w:rsid w:val="00565C37"/>
    <w:rsid w:val="00565D29"/>
    <w:rsid w:val="0056619E"/>
    <w:rsid w:val="0056637C"/>
    <w:rsid w:val="005665D2"/>
    <w:rsid w:val="00566A27"/>
    <w:rsid w:val="00566B41"/>
    <w:rsid w:val="00566E80"/>
    <w:rsid w:val="00566F4D"/>
    <w:rsid w:val="0056703F"/>
    <w:rsid w:val="00567ADA"/>
    <w:rsid w:val="00567BB5"/>
    <w:rsid w:val="00567D26"/>
    <w:rsid w:val="00570146"/>
    <w:rsid w:val="005704CE"/>
    <w:rsid w:val="005708F3"/>
    <w:rsid w:val="00570952"/>
    <w:rsid w:val="00570AB3"/>
    <w:rsid w:val="00570FEF"/>
    <w:rsid w:val="00571652"/>
    <w:rsid w:val="00571996"/>
    <w:rsid w:val="005723F5"/>
    <w:rsid w:val="0057241E"/>
    <w:rsid w:val="0057260C"/>
    <w:rsid w:val="00572673"/>
    <w:rsid w:val="005726AD"/>
    <w:rsid w:val="0057273D"/>
    <w:rsid w:val="005727ED"/>
    <w:rsid w:val="00572B9E"/>
    <w:rsid w:val="00573B06"/>
    <w:rsid w:val="00574992"/>
    <w:rsid w:val="005750DD"/>
    <w:rsid w:val="00575560"/>
    <w:rsid w:val="005756DC"/>
    <w:rsid w:val="00575913"/>
    <w:rsid w:val="00575933"/>
    <w:rsid w:val="005762B3"/>
    <w:rsid w:val="005762E1"/>
    <w:rsid w:val="005769FE"/>
    <w:rsid w:val="00576A2C"/>
    <w:rsid w:val="00577026"/>
    <w:rsid w:val="00577255"/>
    <w:rsid w:val="00577798"/>
    <w:rsid w:val="00577835"/>
    <w:rsid w:val="00580038"/>
    <w:rsid w:val="00580387"/>
    <w:rsid w:val="00580496"/>
    <w:rsid w:val="005809CD"/>
    <w:rsid w:val="00580D42"/>
    <w:rsid w:val="00581041"/>
    <w:rsid w:val="0058148F"/>
    <w:rsid w:val="0058166A"/>
    <w:rsid w:val="005816E6"/>
    <w:rsid w:val="00581837"/>
    <w:rsid w:val="0058238C"/>
    <w:rsid w:val="00582795"/>
    <w:rsid w:val="005829B8"/>
    <w:rsid w:val="00582A03"/>
    <w:rsid w:val="00582C0E"/>
    <w:rsid w:val="00584349"/>
    <w:rsid w:val="00584583"/>
    <w:rsid w:val="00584839"/>
    <w:rsid w:val="0058519E"/>
    <w:rsid w:val="00585A49"/>
    <w:rsid w:val="00585A68"/>
    <w:rsid w:val="00585EF4"/>
    <w:rsid w:val="00586370"/>
    <w:rsid w:val="00586455"/>
    <w:rsid w:val="00586570"/>
    <w:rsid w:val="0058679A"/>
    <w:rsid w:val="00586B55"/>
    <w:rsid w:val="00586B7C"/>
    <w:rsid w:val="00586EDB"/>
    <w:rsid w:val="00586EFE"/>
    <w:rsid w:val="00586F50"/>
    <w:rsid w:val="005878AA"/>
    <w:rsid w:val="00587A1E"/>
    <w:rsid w:val="00587D54"/>
    <w:rsid w:val="00590005"/>
    <w:rsid w:val="005907B7"/>
    <w:rsid w:val="005908BA"/>
    <w:rsid w:val="00591657"/>
    <w:rsid w:val="00591BDF"/>
    <w:rsid w:val="00591DC4"/>
    <w:rsid w:val="0059224F"/>
    <w:rsid w:val="005924E5"/>
    <w:rsid w:val="00593443"/>
    <w:rsid w:val="0059360A"/>
    <w:rsid w:val="00593B76"/>
    <w:rsid w:val="00594104"/>
    <w:rsid w:val="0059438E"/>
    <w:rsid w:val="005943C0"/>
    <w:rsid w:val="00594691"/>
    <w:rsid w:val="00594792"/>
    <w:rsid w:val="00594C83"/>
    <w:rsid w:val="00595475"/>
    <w:rsid w:val="0059580B"/>
    <w:rsid w:val="00595DCC"/>
    <w:rsid w:val="00595E54"/>
    <w:rsid w:val="00595EAA"/>
    <w:rsid w:val="005962CC"/>
    <w:rsid w:val="0059657F"/>
    <w:rsid w:val="005966CE"/>
    <w:rsid w:val="00596794"/>
    <w:rsid w:val="005969B2"/>
    <w:rsid w:val="00596A2F"/>
    <w:rsid w:val="00596A5E"/>
    <w:rsid w:val="00596B01"/>
    <w:rsid w:val="00596EF9"/>
    <w:rsid w:val="005978AD"/>
    <w:rsid w:val="00597C47"/>
    <w:rsid w:val="00597F9B"/>
    <w:rsid w:val="005A00E3"/>
    <w:rsid w:val="005A029D"/>
    <w:rsid w:val="005A0B40"/>
    <w:rsid w:val="005A0CAA"/>
    <w:rsid w:val="005A0E3A"/>
    <w:rsid w:val="005A0E46"/>
    <w:rsid w:val="005A0E73"/>
    <w:rsid w:val="005A0F06"/>
    <w:rsid w:val="005A0FC6"/>
    <w:rsid w:val="005A12F6"/>
    <w:rsid w:val="005A148C"/>
    <w:rsid w:val="005A1BB8"/>
    <w:rsid w:val="005A242E"/>
    <w:rsid w:val="005A2599"/>
    <w:rsid w:val="005A271A"/>
    <w:rsid w:val="005A2A90"/>
    <w:rsid w:val="005A3398"/>
    <w:rsid w:val="005A3693"/>
    <w:rsid w:val="005A389C"/>
    <w:rsid w:val="005A3A9A"/>
    <w:rsid w:val="005A475F"/>
    <w:rsid w:val="005A4862"/>
    <w:rsid w:val="005A4937"/>
    <w:rsid w:val="005A4DAB"/>
    <w:rsid w:val="005A4DE9"/>
    <w:rsid w:val="005A52F0"/>
    <w:rsid w:val="005A552A"/>
    <w:rsid w:val="005A5D36"/>
    <w:rsid w:val="005A630C"/>
    <w:rsid w:val="005A6658"/>
    <w:rsid w:val="005A6A46"/>
    <w:rsid w:val="005A6B2D"/>
    <w:rsid w:val="005A6B60"/>
    <w:rsid w:val="005A78B3"/>
    <w:rsid w:val="005A7F6D"/>
    <w:rsid w:val="005B01B3"/>
    <w:rsid w:val="005B02EB"/>
    <w:rsid w:val="005B06BD"/>
    <w:rsid w:val="005B08F5"/>
    <w:rsid w:val="005B0933"/>
    <w:rsid w:val="005B1002"/>
    <w:rsid w:val="005B183C"/>
    <w:rsid w:val="005B1C94"/>
    <w:rsid w:val="005B2272"/>
    <w:rsid w:val="005B24C7"/>
    <w:rsid w:val="005B260A"/>
    <w:rsid w:val="005B2815"/>
    <w:rsid w:val="005B28BC"/>
    <w:rsid w:val="005B301F"/>
    <w:rsid w:val="005B39B3"/>
    <w:rsid w:val="005B3A4F"/>
    <w:rsid w:val="005B3E7A"/>
    <w:rsid w:val="005B3E8C"/>
    <w:rsid w:val="005B3EEE"/>
    <w:rsid w:val="005B413A"/>
    <w:rsid w:val="005B4A41"/>
    <w:rsid w:val="005B4E0D"/>
    <w:rsid w:val="005B4E6D"/>
    <w:rsid w:val="005B51A2"/>
    <w:rsid w:val="005B5375"/>
    <w:rsid w:val="005B5477"/>
    <w:rsid w:val="005B574B"/>
    <w:rsid w:val="005B5830"/>
    <w:rsid w:val="005B5C35"/>
    <w:rsid w:val="005B5CAF"/>
    <w:rsid w:val="005B5E37"/>
    <w:rsid w:val="005B6395"/>
    <w:rsid w:val="005B65E5"/>
    <w:rsid w:val="005B733F"/>
    <w:rsid w:val="005B75B7"/>
    <w:rsid w:val="005B7983"/>
    <w:rsid w:val="005B7BE3"/>
    <w:rsid w:val="005C0308"/>
    <w:rsid w:val="005C1444"/>
    <w:rsid w:val="005C1763"/>
    <w:rsid w:val="005C17FA"/>
    <w:rsid w:val="005C1DD9"/>
    <w:rsid w:val="005C2192"/>
    <w:rsid w:val="005C2F7B"/>
    <w:rsid w:val="005C33A4"/>
    <w:rsid w:val="005C3414"/>
    <w:rsid w:val="005C3424"/>
    <w:rsid w:val="005C3B15"/>
    <w:rsid w:val="005C3B68"/>
    <w:rsid w:val="005C3D2E"/>
    <w:rsid w:val="005C3DB7"/>
    <w:rsid w:val="005C3F3F"/>
    <w:rsid w:val="005C40BC"/>
    <w:rsid w:val="005C42C8"/>
    <w:rsid w:val="005C4BC5"/>
    <w:rsid w:val="005C4FDE"/>
    <w:rsid w:val="005C5F12"/>
    <w:rsid w:val="005C637D"/>
    <w:rsid w:val="005C644B"/>
    <w:rsid w:val="005C69B0"/>
    <w:rsid w:val="005C6A3A"/>
    <w:rsid w:val="005C6D8E"/>
    <w:rsid w:val="005C6FDD"/>
    <w:rsid w:val="005C7078"/>
    <w:rsid w:val="005C7B12"/>
    <w:rsid w:val="005C7F69"/>
    <w:rsid w:val="005D001D"/>
    <w:rsid w:val="005D0217"/>
    <w:rsid w:val="005D0225"/>
    <w:rsid w:val="005D0285"/>
    <w:rsid w:val="005D0642"/>
    <w:rsid w:val="005D17C7"/>
    <w:rsid w:val="005D1C0A"/>
    <w:rsid w:val="005D1D1A"/>
    <w:rsid w:val="005D1E5E"/>
    <w:rsid w:val="005D21B6"/>
    <w:rsid w:val="005D21CC"/>
    <w:rsid w:val="005D23CF"/>
    <w:rsid w:val="005D249B"/>
    <w:rsid w:val="005D2938"/>
    <w:rsid w:val="005D2FCD"/>
    <w:rsid w:val="005D3104"/>
    <w:rsid w:val="005D31E3"/>
    <w:rsid w:val="005D35EA"/>
    <w:rsid w:val="005D38D3"/>
    <w:rsid w:val="005D3B88"/>
    <w:rsid w:val="005D4268"/>
    <w:rsid w:val="005D4273"/>
    <w:rsid w:val="005D4755"/>
    <w:rsid w:val="005D48C9"/>
    <w:rsid w:val="005D4983"/>
    <w:rsid w:val="005D4A95"/>
    <w:rsid w:val="005D4F86"/>
    <w:rsid w:val="005D5142"/>
    <w:rsid w:val="005D5871"/>
    <w:rsid w:val="005D5A3C"/>
    <w:rsid w:val="005D6445"/>
    <w:rsid w:val="005D6F44"/>
    <w:rsid w:val="005D7077"/>
    <w:rsid w:val="005D7206"/>
    <w:rsid w:val="005D73D1"/>
    <w:rsid w:val="005D78D5"/>
    <w:rsid w:val="005D7CDE"/>
    <w:rsid w:val="005E02D8"/>
    <w:rsid w:val="005E034F"/>
    <w:rsid w:val="005E05A0"/>
    <w:rsid w:val="005E07C5"/>
    <w:rsid w:val="005E09AA"/>
    <w:rsid w:val="005E0E0C"/>
    <w:rsid w:val="005E0E30"/>
    <w:rsid w:val="005E0FEF"/>
    <w:rsid w:val="005E1408"/>
    <w:rsid w:val="005E1670"/>
    <w:rsid w:val="005E171D"/>
    <w:rsid w:val="005E1A1C"/>
    <w:rsid w:val="005E1AD6"/>
    <w:rsid w:val="005E1F61"/>
    <w:rsid w:val="005E2BFF"/>
    <w:rsid w:val="005E30B3"/>
    <w:rsid w:val="005E33AA"/>
    <w:rsid w:val="005E37C5"/>
    <w:rsid w:val="005E3BFF"/>
    <w:rsid w:val="005E40DF"/>
    <w:rsid w:val="005E4327"/>
    <w:rsid w:val="005E4B0C"/>
    <w:rsid w:val="005E4DDD"/>
    <w:rsid w:val="005E4E96"/>
    <w:rsid w:val="005E4F5D"/>
    <w:rsid w:val="005E4FA4"/>
    <w:rsid w:val="005E5492"/>
    <w:rsid w:val="005E55F9"/>
    <w:rsid w:val="005E5692"/>
    <w:rsid w:val="005E57A4"/>
    <w:rsid w:val="005E595E"/>
    <w:rsid w:val="005E5987"/>
    <w:rsid w:val="005E5B19"/>
    <w:rsid w:val="005E5B7E"/>
    <w:rsid w:val="005E5BE1"/>
    <w:rsid w:val="005E6205"/>
    <w:rsid w:val="005E63FF"/>
    <w:rsid w:val="005E64F1"/>
    <w:rsid w:val="005E674D"/>
    <w:rsid w:val="005E6CC7"/>
    <w:rsid w:val="005E6ED7"/>
    <w:rsid w:val="005E7287"/>
    <w:rsid w:val="005E742C"/>
    <w:rsid w:val="005E7673"/>
    <w:rsid w:val="005E7753"/>
    <w:rsid w:val="005E7A17"/>
    <w:rsid w:val="005E7C76"/>
    <w:rsid w:val="005E7DA5"/>
    <w:rsid w:val="005E7E81"/>
    <w:rsid w:val="005F03D6"/>
    <w:rsid w:val="005F0708"/>
    <w:rsid w:val="005F08E2"/>
    <w:rsid w:val="005F0B0D"/>
    <w:rsid w:val="005F0B53"/>
    <w:rsid w:val="005F0C79"/>
    <w:rsid w:val="005F0D34"/>
    <w:rsid w:val="005F1422"/>
    <w:rsid w:val="005F1B91"/>
    <w:rsid w:val="005F2568"/>
    <w:rsid w:val="005F2600"/>
    <w:rsid w:val="005F2A04"/>
    <w:rsid w:val="005F2AC5"/>
    <w:rsid w:val="005F2FC1"/>
    <w:rsid w:val="005F35FC"/>
    <w:rsid w:val="005F3A72"/>
    <w:rsid w:val="005F3D77"/>
    <w:rsid w:val="005F427D"/>
    <w:rsid w:val="005F4706"/>
    <w:rsid w:val="005F4BCC"/>
    <w:rsid w:val="005F4D32"/>
    <w:rsid w:val="005F4E32"/>
    <w:rsid w:val="005F4FB3"/>
    <w:rsid w:val="005F503A"/>
    <w:rsid w:val="005F53FD"/>
    <w:rsid w:val="005F5573"/>
    <w:rsid w:val="005F6372"/>
    <w:rsid w:val="005F6F9A"/>
    <w:rsid w:val="005F7174"/>
    <w:rsid w:val="005F73F8"/>
    <w:rsid w:val="005F74CE"/>
    <w:rsid w:val="005F778E"/>
    <w:rsid w:val="005F791B"/>
    <w:rsid w:val="005F7D44"/>
    <w:rsid w:val="005F7D91"/>
    <w:rsid w:val="0060010E"/>
    <w:rsid w:val="0060024E"/>
    <w:rsid w:val="006009DA"/>
    <w:rsid w:val="00600C91"/>
    <w:rsid w:val="006016DE"/>
    <w:rsid w:val="00601C8A"/>
    <w:rsid w:val="00601EEA"/>
    <w:rsid w:val="00601F51"/>
    <w:rsid w:val="006021CB"/>
    <w:rsid w:val="00602701"/>
    <w:rsid w:val="00602DA1"/>
    <w:rsid w:val="00603561"/>
    <w:rsid w:val="00603A98"/>
    <w:rsid w:val="00603AE7"/>
    <w:rsid w:val="00604319"/>
    <w:rsid w:val="006044D1"/>
    <w:rsid w:val="0060472B"/>
    <w:rsid w:val="0060477F"/>
    <w:rsid w:val="006048E6"/>
    <w:rsid w:val="00604D2B"/>
    <w:rsid w:val="006053BB"/>
    <w:rsid w:val="006054B0"/>
    <w:rsid w:val="006058A1"/>
    <w:rsid w:val="00605D57"/>
    <w:rsid w:val="0060611B"/>
    <w:rsid w:val="00606E4D"/>
    <w:rsid w:val="006073E0"/>
    <w:rsid w:val="0060747F"/>
    <w:rsid w:val="0060748D"/>
    <w:rsid w:val="00607C17"/>
    <w:rsid w:val="00607F3D"/>
    <w:rsid w:val="0061017E"/>
    <w:rsid w:val="006106F6"/>
    <w:rsid w:val="006107E8"/>
    <w:rsid w:val="00610A4F"/>
    <w:rsid w:val="00610ABC"/>
    <w:rsid w:val="00611262"/>
    <w:rsid w:val="00611D29"/>
    <w:rsid w:val="0061222E"/>
    <w:rsid w:val="00612483"/>
    <w:rsid w:val="006125EB"/>
    <w:rsid w:val="00612A10"/>
    <w:rsid w:val="00612F7D"/>
    <w:rsid w:val="00613415"/>
    <w:rsid w:val="006135D8"/>
    <w:rsid w:val="006135FB"/>
    <w:rsid w:val="0061384D"/>
    <w:rsid w:val="00613A21"/>
    <w:rsid w:val="00613F53"/>
    <w:rsid w:val="0061421A"/>
    <w:rsid w:val="0061486C"/>
    <w:rsid w:val="00614A95"/>
    <w:rsid w:val="00615506"/>
    <w:rsid w:val="006161DD"/>
    <w:rsid w:val="006164B8"/>
    <w:rsid w:val="00616D4D"/>
    <w:rsid w:val="00616E50"/>
    <w:rsid w:val="00617322"/>
    <w:rsid w:val="006173B2"/>
    <w:rsid w:val="00617914"/>
    <w:rsid w:val="00617C72"/>
    <w:rsid w:val="00617EDA"/>
    <w:rsid w:val="006201D9"/>
    <w:rsid w:val="00620310"/>
    <w:rsid w:val="0062039F"/>
    <w:rsid w:val="006209B3"/>
    <w:rsid w:val="00620A02"/>
    <w:rsid w:val="0062114E"/>
    <w:rsid w:val="0062120C"/>
    <w:rsid w:val="006212E7"/>
    <w:rsid w:val="00621324"/>
    <w:rsid w:val="00621649"/>
    <w:rsid w:val="00621791"/>
    <w:rsid w:val="006217B5"/>
    <w:rsid w:val="006219A9"/>
    <w:rsid w:val="006222C5"/>
    <w:rsid w:val="00622526"/>
    <w:rsid w:val="006225BE"/>
    <w:rsid w:val="00622C02"/>
    <w:rsid w:val="00622CF6"/>
    <w:rsid w:val="0062315F"/>
    <w:rsid w:val="00623723"/>
    <w:rsid w:val="006239F5"/>
    <w:rsid w:val="006241A9"/>
    <w:rsid w:val="00624419"/>
    <w:rsid w:val="00624531"/>
    <w:rsid w:val="0062471C"/>
    <w:rsid w:val="00624A09"/>
    <w:rsid w:val="00624A95"/>
    <w:rsid w:val="00625732"/>
    <w:rsid w:val="006257DC"/>
    <w:rsid w:val="00625832"/>
    <w:rsid w:val="006259A0"/>
    <w:rsid w:val="006261A6"/>
    <w:rsid w:val="00626255"/>
    <w:rsid w:val="0062659C"/>
    <w:rsid w:val="00626654"/>
    <w:rsid w:val="00626914"/>
    <w:rsid w:val="006269C8"/>
    <w:rsid w:val="00626F5F"/>
    <w:rsid w:val="00627CF9"/>
    <w:rsid w:val="00627ECD"/>
    <w:rsid w:val="00631189"/>
    <w:rsid w:val="006315C2"/>
    <w:rsid w:val="0063190C"/>
    <w:rsid w:val="00631D25"/>
    <w:rsid w:val="00631FFC"/>
    <w:rsid w:val="00632090"/>
    <w:rsid w:val="0063242A"/>
    <w:rsid w:val="00632F0D"/>
    <w:rsid w:val="00632FF6"/>
    <w:rsid w:val="006339CB"/>
    <w:rsid w:val="00633E7D"/>
    <w:rsid w:val="006340CE"/>
    <w:rsid w:val="0063428A"/>
    <w:rsid w:val="006349D1"/>
    <w:rsid w:val="00634D1D"/>
    <w:rsid w:val="00634E3B"/>
    <w:rsid w:val="00634F71"/>
    <w:rsid w:val="00635061"/>
    <w:rsid w:val="00635161"/>
    <w:rsid w:val="00635C47"/>
    <w:rsid w:val="00635D21"/>
    <w:rsid w:val="006361B3"/>
    <w:rsid w:val="006363D8"/>
    <w:rsid w:val="00636591"/>
    <w:rsid w:val="00636659"/>
    <w:rsid w:val="006372BC"/>
    <w:rsid w:val="00637307"/>
    <w:rsid w:val="0063792C"/>
    <w:rsid w:val="00637A05"/>
    <w:rsid w:val="00640551"/>
    <w:rsid w:val="0064084D"/>
    <w:rsid w:val="00640D78"/>
    <w:rsid w:val="00640FFC"/>
    <w:rsid w:val="006413B7"/>
    <w:rsid w:val="006415BB"/>
    <w:rsid w:val="00641715"/>
    <w:rsid w:val="006419E5"/>
    <w:rsid w:val="00641EBC"/>
    <w:rsid w:val="006420C5"/>
    <w:rsid w:val="006421DE"/>
    <w:rsid w:val="00642647"/>
    <w:rsid w:val="006426B3"/>
    <w:rsid w:val="0064294B"/>
    <w:rsid w:val="00642DC2"/>
    <w:rsid w:val="00642F77"/>
    <w:rsid w:val="006431F9"/>
    <w:rsid w:val="006432D5"/>
    <w:rsid w:val="00643524"/>
    <w:rsid w:val="00643B42"/>
    <w:rsid w:val="00644209"/>
    <w:rsid w:val="00644211"/>
    <w:rsid w:val="0064423A"/>
    <w:rsid w:val="00644B39"/>
    <w:rsid w:val="00644B89"/>
    <w:rsid w:val="00644EBE"/>
    <w:rsid w:val="00644F26"/>
    <w:rsid w:val="00645458"/>
    <w:rsid w:val="00645796"/>
    <w:rsid w:val="00645A9C"/>
    <w:rsid w:val="006461C7"/>
    <w:rsid w:val="00646343"/>
    <w:rsid w:val="00646689"/>
    <w:rsid w:val="006466D0"/>
    <w:rsid w:val="00646BE9"/>
    <w:rsid w:val="00647892"/>
    <w:rsid w:val="00647A36"/>
    <w:rsid w:val="00647A7E"/>
    <w:rsid w:val="006501D0"/>
    <w:rsid w:val="00650273"/>
    <w:rsid w:val="0065101A"/>
    <w:rsid w:val="006510BB"/>
    <w:rsid w:val="00651EE8"/>
    <w:rsid w:val="0065248E"/>
    <w:rsid w:val="00652D0B"/>
    <w:rsid w:val="00653022"/>
    <w:rsid w:val="006530AF"/>
    <w:rsid w:val="006531AB"/>
    <w:rsid w:val="006531C2"/>
    <w:rsid w:val="006531D5"/>
    <w:rsid w:val="006537EA"/>
    <w:rsid w:val="0065383D"/>
    <w:rsid w:val="006538A3"/>
    <w:rsid w:val="00653D32"/>
    <w:rsid w:val="00653D55"/>
    <w:rsid w:val="00653F26"/>
    <w:rsid w:val="006545C2"/>
    <w:rsid w:val="00654A8B"/>
    <w:rsid w:val="00654B17"/>
    <w:rsid w:val="00654CBD"/>
    <w:rsid w:val="00655139"/>
    <w:rsid w:val="0065520D"/>
    <w:rsid w:val="00655B32"/>
    <w:rsid w:val="00655C7A"/>
    <w:rsid w:val="00655E95"/>
    <w:rsid w:val="0065610E"/>
    <w:rsid w:val="006570AE"/>
    <w:rsid w:val="006573F6"/>
    <w:rsid w:val="006575E4"/>
    <w:rsid w:val="00657AED"/>
    <w:rsid w:val="006601B7"/>
    <w:rsid w:val="0066144F"/>
    <w:rsid w:val="006618E8"/>
    <w:rsid w:val="00661991"/>
    <w:rsid w:val="00661B5A"/>
    <w:rsid w:val="00661ECF"/>
    <w:rsid w:val="0066258A"/>
    <w:rsid w:val="006628A3"/>
    <w:rsid w:val="00662AFD"/>
    <w:rsid w:val="00662C6E"/>
    <w:rsid w:val="00662D16"/>
    <w:rsid w:val="00662D5E"/>
    <w:rsid w:val="00662F40"/>
    <w:rsid w:val="0066309F"/>
    <w:rsid w:val="00663408"/>
    <w:rsid w:val="00663511"/>
    <w:rsid w:val="00663623"/>
    <w:rsid w:val="0066477A"/>
    <w:rsid w:val="00664A3C"/>
    <w:rsid w:val="00665130"/>
    <w:rsid w:val="00665230"/>
    <w:rsid w:val="006654D9"/>
    <w:rsid w:val="00665596"/>
    <w:rsid w:val="006655F5"/>
    <w:rsid w:val="00665772"/>
    <w:rsid w:val="00665D98"/>
    <w:rsid w:val="00666213"/>
    <w:rsid w:val="00666802"/>
    <w:rsid w:val="0066703B"/>
    <w:rsid w:val="0066714E"/>
    <w:rsid w:val="0066780F"/>
    <w:rsid w:val="00667B84"/>
    <w:rsid w:val="00667C3A"/>
    <w:rsid w:val="00667ED3"/>
    <w:rsid w:val="00670040"/>
    <w:rsid w:val="006704B9"/>
    <w:rsid w:val="00670721"/>
    <w:rsid w:val="00670A2B"/>
    <w:rsid w:val="00670A79"/>
    <w:rsid w:val="00670BD5"/>
    <w:rsid w:val="0067153B"/>
    <w:rsid w:val="006718C7"/>
    <w:rsid w:val="006725E6"/>
    <w:rsid w:val="00672650"/>
    <w:rsid w:val="006729A8"/>
    <w:rsid w:val="00672B74"/>
    <w:rsid w:val="00672E65"/>
    <w:rsid w:val="00672F20"/>
    <w:rsid w:val="0067300D"/>
    <w:rsid w:val="00673596"/>
    <w:rsid w:val="00673735"/>
    <w:rsid w:val="0067391A"/>
    <w:rsid w:val="0067396F"/>
    <w:rsid w:val="00673D00"/>
    <w:rsid w:val="006741BA"/>
    <w:rsid w:val="00674429"/>
    <w:rsid w:val="00675114"/>
    <w:rsid w:val="0067514B"/>
    <w:rsid w:val="00675955"/>
    <w:rsid w:val="00675F4A"/>
    <w:rsid w:val="00676251"/>
    <w:rsid w:val="0067641C"/>
    <w:rsid w:val="006767FA"/>
    <w:rsid w:val="00676873"/>
    <w:rsid w:val="00676DCF"/>
    <w:rsid w:val="0067720F"/>
    <w:rsid w:val="00677226"/>
    <w:rsid w:val="0067737E"/>
    <w:rsid w:val="00677CE8"/>
    <w:rsid w:val="00677F18"/>
    <w:rsid w:val="00680523"/>
    <w:rsid w:val="00680D84"/>
    <w:rsid w:val="00681EA9"/>
    <w:rsid w:val="00681EED"/>
    <w:rsid w:val="0068240F"/>
    <w:rsid w:val="0068284F"/>
    <w:rsid w:val="00682CED"/>
    <w:rsid w:val="00683B68"/>
    <w:rsid w:val="006840F1"/>
    <w:rsid w:val="00684877"/>
    <w:rsid w:val="00684952"/>
    <w:rsid w:val="00684DFF"/>
    <w:rsid w:val="00684FA3"/>
    <w:rsid w:val="0068530B"/>
    <w:rsid w:val="0068546D"/>
    <w:rsid w:val="00685F38"/>
    <w:rsid w:val="006861F0"/>
    <w:rsid w:val="006864BE"/>
    <w:rsid w:val="00686E7B"/>
    <w:rsid w:val="00687BFE"/>
    <w:rsid w:val="006900B5"/>
    <w:rsid w:val="006904DC"/>
    <w:rsid w:val="006904EA"/>
    <w:rsid w:val="00690811"/>
    <w:rsid w:val="00690DF8"/>
    <w:rsid w:val="00691236"/>
    <w:rsid w:val="006917D2"/>
    <w:rsid w:val="006918E5"/>
    <w:rsid w:val="00691998"/>
    <w:rsid w:val="00691B25"/>
    <w:rsid w:val="00692091"/>
    <w:rsid w:val="006920C2"/>
    <w:rsid w:val="00692134"/>
    <w:rsid w:val="0069232C"/>
    <w:rsid w:val="0069232F"/>
    <w:rsid w:val="00692520"/>
    <w:rsid w:val="006927DB"/>
    <w:rsid w:val="00693B60"/>
    <w:rsid w:val="00693C7C"/>
    <w:rsid w:val="00693D12"/>
    <w:rsid w:val="006940FC"/>
    <w:rsid w:val="006943CB"/>
    <w:rsid w:val="006946F9"/>
    <w:rsid w:val="0069482F"/>
    <w:rsid w:val="00694A91"/>
    <w:rsid w:val="00695380"/>
    <w:rsid w:val="006957D9"/>
    <w:rsid w:val="0069592C"/>
    <w:rsid w:val="00695C2A"/>
    <w:rsid w:val="00695C4C"/>
    <w:rsid w:val="00695C83"/>
    <w:rsid w:val="00695CDA"/>
    <w:rsid w:val="00695DB6"/>
    <w:rsid w:val="0069693B"/>
    <w:rsid w:val="00696991"/>
    <w:rsid w:val="00696BD9"/>
    <w:rsid w:val="00696D0C"/>
    <w:rsid w:val="00696E1C"/>
    <w:rsid w:val="006A01D0"/>
    <w:rsid w:val="006A068A"/>
    <w:rsid w:val="006A0B25"/>
    <w:rsid w:val="006A0BFF"/>
    <w:rsid w:val="006A144D"/>
    <w:rsid w:val="006A168F"/>
    <w:rsid w:val="006A1772"/>
    <w:rsid w:val="006A2148"/>
    <w:rsid w:val="006A23B3"/>
    <w:rsid w:val="006A255E"/>
    <w:rsid w:val="006A280B"/>
    <w:rsid w:val="006A2E67"/>
    <w:rsid w:val="006A2F1E"/>
    <w:rsid w:val="006A2F50"/>
    <w:rsid w:val="006A334C"/>
    <w:rsid w:val="006A33A5"/>
    <w:rsid w:val="006A47AF"/>
    <w:rsid w:val="006A48A9"/>
    <w:rsid w:val="006A49A2"/>
    <w:rsid w:val="006A4B9C"/>
    <w:rsid w:val="006A4C99"/>
    <w:rsid w:val="006A4F1C"/>
    <w:rsid w:val="006A5067"/>
    <w:rsid w:val="006A5087"/>
    <w:rsid w:val="006A534A"/>
    <w:rsid w:val="006A53BB"/>
    <w:rsid w:val="006A56E6"/>
    <w:rsid w:val="006A57BF"/>
    <w:rsid w:val="006A588A"/>
    <w:rsid w:val="006A598B"/>
    <w:rsid w:val="006A60C5"/>
    <w:rsid w:val="006A62EF"/>
    <w:rsid w:val="006A64D8"/>
    <w:rsid w:val="006A6916"/>
    <w:rsid w:val="006A6A29"/>
    <w:rsid w:val="006A6F52"/>
    <w:rsid w:val="006A6FBC"/>
    <w:rsid w:val="006A724D"/>
    <w:rsid w:val="006A75BB"/>
    <w:rsid w:val="006B02E9"/>
    <w:rsid w:val="006B0780"/>
    <w:rsid w:val="006B15B9"/>
    <w:rsid w:val="006B16A6"/>
    <w:rsid w:val="006B19A1"/>
    <w:rsid w:val="006B1C6D"/>
    <w:rsid w:val="006B1CA9"/>
    <w:rsid w:val="006B1EE0"/>
    <w:rsid w:val="006B204A"/>
    <w:rsid w:val="006B2819"/>
    <w:rsid w:val="006B2AFB"/>
    <w:rsid w:val="006B2F62"/>
    <w:rsid w:val="006B3021"/>
    <w:rsid w:val="006B3180"/>
    <w:rsid w:val="006B3380"/>
    <w:rsid w:val="006B364F"/>
    <w:rsid w:val="006B371B"/>
    <w:rsid w:val="006B3AAD"/>
    <w:rsid w:val="006B3C51"/>
    <w:rsid w:val="006B4685"/>
    <w:rsid w:val="006B4C8A"/>
    <w:rsid w:val="006B5988"/>
    <w:rsid w:val="006B5CBB"/>
    <w:rsid w:val="006B604B"/>
    <w:rsid w:val="006B61BE"/>
    <w:rsid w:val="006B674D"/>
    <w:rsid w:val="006B679B"/>
    <w:rsid w:val="006B6A3F"/>
    <w:rsid w:val="006B6ACF"/>
    <w:rsid w:val="006B6DF0"/>
    <w:rsid w:val="006B6F34"/>
    <w:rsid w:val="006B7219"/>
    <w:rsid w:val="006B7524"/>
    <w:rsid w:val="006B7635"/>
    <w:rsid w:val="006C081E"/>
    <w:rsid w:val="006C090A"/>
    <w:rsid w:val="006C0D09"/>
    <w:rsid w:val="006C0F3A"/>
    <w:rsid w:val="006C116F"/>
    <w:rsid w:val="006C1900"/>
    <w:rsid w:val="006C1EB3"/>
    <w:rsid w:val="006C22DE"/>
    <w:rsid w:val="006C264C"/>
    <w:rsid w:val="006C2D53"/>
    <w:rsid w:val="006C34F2"/>
    <w:rsid w:val="006C3521"/>
    <w:rsid w:val="006C40F3"/>
    <w:rsid w:val="006C4690"/>
    <w:rsid w:val="006C4797"/>
    <w:rsid w:val="006C4BA7"/>
    <w:rsid w:val="006C4D4C"/>
    <w:rsid w:val="006C4FF5"/>
    <w:rsid w:val="006C5541"/>
    <w:rsid w:val="006C57A5"/>
    <w:rsid w:val="006C59B2"/>
    <w:rsid w:val="006C5BEF"/>
    <w:rsid w:val="006C6188"/>
    <w:rsid w:val="006C61E6"/>
    <w:rsid w:val="006C673B"/>
    <w:rsid w:val="006C69C2"/>
    <w:rsid w:val="006C734D"/>
    <w:rsid w:val="006C7426"/>
    <w:rsid w:val="006C78BF"/>
    <w:rsid w:val="006C7E2F"/>
    <w:rsid w:val="006D02E6"/>
    <w:rsid w:val="006D02E8"/>
    <w:rsid w:val="006D032B"/>
    <w:rsid w:val="006D039D"/>
    <w:rsid w:val="006D147E"/>
    <w:rsid w:val="006D1D0B"/>
    <w:rsid w:val="006D20EB"/>
    <w:rsid w:val="006D218E"/>
    <w:rsid w:val="006D232F"/>
    <w:rsid w:val="006D237A"/>
    <w:rsid w:val="006D24DB"/>
    <w:rsid w:val="006D2AC4"/>
    <w:rsid w:val="006D2B69"/>
    <w:rsid w:val="006D2F8E"/>
    <w:rsid w:val="006D3114"/>
    <w:rsid w:val="006D32EE"/>
    <w:rsid w:val="006D34F2"/>
    <w:rsid w:val="006D3A2D"/>
    <w:rsid w:val="006D3B18"/>
    <w:rsid w:val="006D3DC1"/>
    <w:rsid w:val="006D3EF7"/>
    <w:rsid w:val="006D4230"/>
    <w:rsid w:val="006D433C"/>
    <w:rsid w:val="006D4359"/>
    <w:rsid w:val="006D4397"/>
    <w:rsid w:val="006D471B"/>
    <w:rsid w:val="006D4B5D"/>
    <w:rsid w:val="006D52BD"/>
    <w:rsid w:val="006D5539"/>
    <w:rsid w:val="006D5E42"/>
    <w:rsid w:val="006D6116"/>
    <w:rsid w:val="006D63B2"/>
    <w:rsid w:val="006D6A4F"/>
    <w:rsid w:val="006D767D"/>
    <w:rsid w:val="006D7A44"/>
    <w:rsid w:val="006E0064"/>
    <w:rsid w:val="006E00E8"/>
    <w:rsid w:val="006E0551"/>
    <w:rsid w:val="006E0834"/>
    <w:rsid w:val="006E09DA"/>
    <w:rsid w:val="006E0D9C"/>
    <w:rsid w:val="006E1342"/>
    <w:rsid w:val="006E19C0"/>
    <w:rsid w:val="006E1AE2"/>
    <w:rsid w:val="006E1EB1"/>
    <w:rsid w:val="006E28F7"/>
    <w:rsid w:val="006E2B4E"/>
    <w:rsid w:val="006E2F2D"/>
    <w:rsid w:val="006E2FAC"/>
    <w:rsid w:val="006E32E1"/>
    <w:rsid w:val="006E3897"/>
    <w:rsid w:val="006E38EC"/>
    <w:rsid w:val="006E3C1B"/>
    <w:rsid w:val="006E3DA4"/>
    <w:rsid w:val="006E3FB2"/>
    <w:rsid w:val="006E4209"/>
    <w:rsid w:val="006E47C6"/>
    <w:rsid w:val="006E51E7"/>
    <w:rsid w:val="006E5427"/>
    <w:rsid w:val="006E555F"/>
    <w:rsid w:val="006E56C3"/>
    <w:rsid w:val="006E5A07"/>
    <w:rsid w:val="006E5A10"/>
    <w:rsid w:val="006E5CCF"/>
    <w:rsid w:val="006E5E0E"/>
    <w:rsid w:val="006E5F88"/>
    <w:rsid w:val="006E601D"/>
    <w:rsid w:val="006E6500"/>
    <w:rsid w:val="006E7400"/>
    <w:rsid w:val="006E778A"/>
    <w:rsid w:val="006E77A7"/>
    <w:rsid w:val="006E795F"/>
    <w:rsid w:val="006E7AC5"/>
    <w:rsid w:val="006E7D1C"/>
    <w:rsid w:val="006F0028"/>
    <w:rsid w:val="006F05E1"/>
    <w:rsid w:val="006F0635"/>
    <w:rsid w:val="006F0F13"/>
    <w:rsid w:val="006F1409"/>
    <w:rsid w:val="006F192E"/>
    <w:rsid w:val="006F2467"/>
    <w:rsid w:val="006F3939"/>
    <w:rsid w:val="006F3A57"/>
    <w:rsid w:val="006F45CD"/>
    <w:rsid w:val="006F49E9"/>
    <w:rsid w:val="006F4B2E"/>
    <w:rsid w:val="006F5191"/>
    <w:rsid w:val="006F54E9"/>
    <w:rsid w:val="006F551A"/>
    <w:rsid w:val="006F5850"/>
    <w:rsid w:val="006F5A09"/>
    <w:rsid w:val="006F5AFF"/>
    <w:rsid w:val="006F5B04"/>
    <w:rsid w:val="006F5CBF"/>
    <w:rsid w:val="006F62E3"/>
    <w:rsid w:val="006F70AA"/>
    <w:rsid w:val="006F7522"/>
    <w:rsid w:val="006F760D"/>
    <w:rsid w:val="006F7705"/>
    <w:rsid w:val="006F7A19"/>
    <w:rsid w:val="006F7F0F"/>
    <w:rsid w:val="00700556"/>
    <w:rsid w:val="007006ED"/>
    <w:rsid w:val="0070092F"/>
    <w:rsid w:val="00700B81"/>
    <w:rsid w:val="00700FD2"/>
    <w:rsid w:val="00701981"/>
    <w:rsid w:val="00701C23"/>
    <w:rsid w:val="00701CD0"/>
    <w:rsid w:val="00701D2D"/>
    <w:rsid w:val="00701F77"/>
    <w:rsid w:val="007029FB"/>
    <w:rsid w:val="00702A58"/>
    <w:rsid w:val="00702A90"/>
    <w:rsid w:val="00702D0B"/>
    <w:rsid w:val="00702EC0"/>
    <w:rsid w:val="0070301D"/>
    <w:rsid w:val="0070383F"/>
    <w:rsid w:val="00703A02"/>
    <w:rsid w:val="00703B7B"/>
    <w:rsid w:val="00703BFB"/>
    <w:rsid w:val="007045AC"/>
    <w:rsid w:val="00704BEC"/>
    <w:rsid w:val="00704C5D"/>
    <w:rsid w:val="00704DF0"/>
    <w:rsid w:val="00704F91"/>
    <w:rsid w:val="00705525"/>
    <w:rsid w:val="00705564"/>
    <w:rsid w:val="0070653C"/>
    <w:rsid w:val="007067EC"/>
    <w:rsid w:val="00706EC2"/>
    <w:rsid w:val="00707173"/>
    <w:rsid w:val="007075D7"/>
    <w:rsid w:val="00707726"/>
    <w:rsid w:val="0070786E"/>
    <w:rsid w:val="00710129"/>
    <w:rsid w:val="007106F8"/>
    <w:rsid w:val="007107B9"/>
    <w:rsid w:val="00710A61"/>
    <w:rsid w:val="007112E3"/>
    <w:rsid w:val="007114E4"/>
    <w:rsid w:val="0071188D"/>
    <w:rsid w:val="00711B74"/>
    <w:rsid w:val="00711BBE"/>
    <w:rsid w:val="007125BF"/>
    <w:rsid w:val="0071286E"/>
    <w:rsid w:val="00712884"/>
    <w:rsid w:val="00712A26"/>
    <w:rsid w:val="00712D2D"/>
    <w:rsid w:val="00713308"/>
    <w:rsid w:val="00713311"/>
    <w:rsid w:val="00713500"/>
    <w:rsid w:val="00713895"/>
    <w:rsid w:val="007138D6"/>
    <w:rsid w:val="00713B77"/>
    <w:rsid w:val="00713D41"/>
    <w:rsid w:val="007140C7"/>
    <w:rsid w:val="007141F2"/>
    <w:rsid w:val="00714223"/>
    <w:rsid w:val="00714A55"/>
    <w:rsid w:val="00715DA8"/>
    <w:rsid w:val="007163EA"/>
    <w:rsid w:val="0071644D"/>
    <w:rsid w:val="007167E1"/>
    <w:rsid w:val="00716EBC"/>
    <w:rsid w:val="00717048"/>
    <w:rsid w:val="0071732D"/>
    <w:rsid w:val="00720159"/>
    <w:rsid w:val="00720337"/>
    <w:rsid w:val="007205F2"/>
    <w:rsid w:val="0072084E"/>
    <w:rsid w:val="00720B03"/>
    <w:rsid w:val="00721380"/>
    <w:rsid w:val="0072145C"/>
    <w:rsid w:val="007218DB"/>
    <w:rsid w:val="0072192E"/>
    <w:rsid w:val="00721B24"/>
    <w:rsid w:val="0072222F"/>
    <w:rsid w:val="00722459"/>
    <w:rsid w:val="00722EEA"/>
    <w:rsid w:val="0072312F"/>
    <w:rsid w:val="00723149"/>
    <w:rsid w:val="007236DD"/>
    <w:rsid w:val="007245B0"/>
    <w:rsid w:val="00724763"/>
    <w:rsid w:val="0072477F"/>
    <w:rsid w:val="00724A10"/>
    <w:rsid w:val="00724C10"/>
    <w:rsid w:val="00724FD1"/>
    <w:rsid w:val="007250DA"/>
    <w:rsid w:val="0072526D"/>
    <w:rsid w:val="007252D1"/>
    <w:rsid w:val="0072579E"/>
    <w:rsid w:val="00726073"/>
    <w:rsid w:val="00726483"/>
    <w:rsid w:val="007273BA"/>
    <w:rsid w:val="0072793D"/>
    <w:rsid w:val="0073010C"/>
    <w:rsid w:val="007302D9"/>
    <w:rsid w:val="00730757"/>
    <w:rsid w:val="007308F1"/>
    <w:rsid w:val="00730922"/>
    <w:rsid w:val="00730E27"/>
    <w:rsid w:val="007310A9"/>
    <w:rsid w:val="007313EA"/>
    <w:rsid w:val="0073182D"/>
    <w:rsid w:val="0073190D"/>
    <w:rsid w:val="00731969"/>
    <w:rsid w:val="00731A3B"/>
    <w:rsid w:val="00732678"/>
    <w:rsid w:val="007326DC"/>
    <w:rsid w:val="00732823"/>
    <w:rsid w:val="00732E45"/>
    <w:rsid w:val="00733362"/>
    <w:rsid w:val="007334D1"/>
    <w:rsid w:val="00733F03"/>
    <w:rsid w:val="00733FCB"/>
    <w:rsid w:val="00733FEE"/>
    <w:rsid w:val="0073440F"/>
    <w:rsid w:val="0073525F"/>
    <w:rsid w:val="00735EE4"/>
    <w:rsid w:val="0073609C"/>
    <w:rsid w:val="007366B0"/>
    <w:rsid w:val="0073724C"/>
    <w:rsid w:val="007374C6"/>
    <w:rsid w:val="0074000B"/>
    <w:rsid w:val="007401CA"/>
    <w:rsid w:val="00740D29"/>
    <w:rsid w:val="00740D3A"/>
    <w:rsid w:val="007410DF"/>
    <w:rsid w:val="0074173C"/>
    <w:rsid w:val="00741AF8"/>
    <w:rsid w:val="00742191"/>
    <w:rsid w:val="00742416"/>
    <w:rsid w:val="00742713"/>
    <w:rsid w:val="00742A19"/>
    <w:rsid w:val="00742A6E"/>
    <w:rsid w:val="00742D83"/>
    <w:rsid w:val="00742E4E"/>
    <w:rsid w:val="00742EC5"/>
    <w:rsid w:val="00742EE4"/>
    <w:rsid w:val="0074329B"/>
    <w:rsid w:val="007432A8"/>
    <w:rsid w:val="0074378F"/>
    <w:rsid w:val="0074381B"/>
    <w:rsid w:val="00743EAF"/>
    <w:rsid w:val="00744172"/>
    <w:rsid w:val="007442D5"/>
    <w:rsid w:val="00744412"/>
    <w:rsid w:val="007447E7"/>
    <w:rsid w:val="007448B1"/>
    <w:rsid w:val="00744D0C"/>
    <w:rsid w:val="00744EBE"/>
    <w:rsid w:val="007452F6"/>
    <w:rsid w:val="00745672"/>
    <w:rsid w:val="00745BEB"/>
    <w:rsid w:val="00745F7F"/>
    <w:rsid w:val="0074663A"/>
    <w:rsid w:val="00746694"/>
    <w:rsid w:val="00746AA1"/>
    <w:rsid w:val="00747252"/>
    <w:rsid w:val="00747280"/>
    <w:rsid w:val="00747297"/>
    <w:rsid w:val="0074782B"/>
    <w:rsid w:val="007478D4"/>
    <w:rsid w:val="00747999"/>
    <w:rsid w:val="00747D57"/>
    <w:rsid w:val="007500B8"/>
    <w:rsid w:val="007501A3"/>
    <w:rsid w:val="0075088F"/>
    <w:rsid w:val="007508A8"/>
    <w:rsid w:val="00750D54"/>
    <w:rsid w:val="00751A58"/>
    <w:rsid w:val="00751BAC"/>
    <w:rsid w:val="00751F58"/>
    <w:rsid w:val="007520EA"/>
    <w:rsid w:val="007526A1"/>
    <w:rsid w:val="007527D8"/>
    <w:rsid w:val="00752999"/>
    <w:rsid w:val="00752B3C"/>
    <w:rsid w:val="00752B90"/>
    <w:rsid w:val="0075339F"/>
    <w:rsid w:val="00753545"/>
    <w:rsid w:val="007536C0"/>
    <w:rsid w:val="007537AE"/>
    <w:rsid w:val="00753EBA"/>
    <w:rsid w:val="0075410D"/>
    <w:rsid w:val="00754676"/>
    <w:rsid w:val="007546F7"/>
    <w:rsid w:val="00754812"/>
    <w:rsid w:val="0075499D"/>
    <w:rsid w:val="00754DC6"/>
    <w:rsid w:val="00754DE2"/>
    <w:rsid w:val="00754E7D"/>
    <w:rsid w:val="00755569"/>
    <w:rsid w:val="007555D8"/>
    <w:rsid w:val="00755E55"/>
    <w:rsid w:val="00756C0A"/>
    <w:rsid w:val="007570B8"/>
    <w:rsid w:val="0075738C"/>
    <w:rsid w:val="007573D8"/>
    <w:rsid w:val="0075781C"/>
    <w:rsid w:val="0075781E"/>
    <w:rsid w:val="00760096"/>
    <w:rsid w:val="00760559"/>
    <w:rsid w:val="0076078F"/>
    <w:rsid w:val="007608D2"/>
    <w:rsid w:val="00760BAD"/>
    <w:rsid w:val="00760C50"/>
    <w:rsid w:val="00761001"/>
    <w:rsid w:val="0076171D"/>
    <w:rsid w:val="007617CE"/>
    <w:rsid w:val="00761A62"/>
    <w:rsid w:val="00761C80"/>
    <w:rsid w:val="007620AD"/>
    <w:rsid w:val="00762212"/>
    <w:rsid w:val="00762448"/>
    <w:rsid w:val="0076245E"/>
    <w:rsid w:val="00762476"/>
    <w:rsid w:val="00762D20"/>
    <w:rsid w:val="007630E7"/>
    <w:rsid w:val="00764175"/>
    <w:rsid w:val="0076456B"/>
    <w:rsid w:val="00764BD0"/>
    <w:rsid w:val="00765735"/>
    <w:rsid w:val="00765765"/>
    <w:rsid w:val="00765A3F"/>
    <w:rsid w:val="00765E8B"/>
    <w:rsid w:val="00765EBB"/>
    <w:rsid w:val="007660CF"/>
    <w:rsid w:val="007667E3"/>
    <w:rsid w:val="00766C89"/>
    <w:rsid w:val="0076711D"/>
    <w:rsid w:val="007671DA"/>
    <w:rsid w:val="007674BE"/>
    <w:rsid w:val="007674D4"/>
    <w:rsid w:val="00767741"/>
    <w:rsid w:val="00767982"/>
    <w:rsid w:val="0077015A"/>
    <w:rsid w:val="00771557"/>
    <w:rsid w:val="007715B3"/>
    <w:rsid w:val="0077162C"/>
    <w:rsid w:val="00771840"/>
    <w:rsid w:val="0077198D"/>
    <w:rsid w:val="00771CCF"/>
    <w:rsid w:val="00772181"/>
    <w:rsid w:val="0077241D"/>
    <w:rsid w:val="00772485"/>
    <w:rsid w:val="00772619"/>
    <w:rsid w:val="0077294A"/>
    <w:rsid w:val="00772AB0"/>
    <w:rsid w:val="007731F9"/>
    <w:rsid w:val="00773302"/>
    <w:rsid w:val="00773E1F"/>
    <w:rsid w:val="007750AD"/>
    <w:rsid w:val="007751E9"/>
    <w:rsid w:val="007754E9"/>
    <w:rsid w:val="007758F8"/>
    <w:rsid w:val="00775F3E"/>
    <w:rsid w:val="0077602C"/>
    <w:rsid w:val="0077603F"/>
    <w:rsid w:val="007764DA"/>
    <w:rsid w:val="007769B4"/>
    <w:rsid w:val="00776AB6"/>
    <w:rsid w:val="00776C81"/>
    <w:rsid w:val="00776C8D"/>
    <w:rsid w:val="00777D9F"/>
    <w:rsid w:val="00780586"/>
    <w:rsid w:val="007805A1"/>
    <w:rsid w:val="007808D7"/>
    <w:rsid w:val="007808E3"/>
    <w:rsid w:val="00780991"/>
    <w:rsid w:val="00780B2B"/>
    <w:rsid w:val="00780CEE"/>
    <w:rsid w:val="0078110C"/>
    <w:rsid w:val="007814F5"/>
    <w:rsid w:val="007816DB"/>
    <w:rsid w:val="0078197C"/>
    <w:rsid w:val="00781BDD"/>
    <w:rsid w:val="007824F2"/>
    <w:rsid w:val="007828F3"/>
    <w:rsid w:val="00782C72"/>
    <w:rsid w:val="007839EE"/>
    <w:rsid w:val="00783BF7"/>
    <w:rsid w:val="00783C98"/>
    <w:rsid w:val="00784599"/>
    <w:rsid w:val="007846CB"/>
    <w:rsid w:val="00784737"/>
    <w:rsid w:val="00784BA0"/>
    <w:rsid w:val="00784C69"/>
    <w:rsid w:val="00784DB7"/>
    <w:rsid w:val="00784FE4"/>
    <w:rsid w:val="00785203"/>
    <w:rsid w:val="00785614"/>
    <w:rsid w:val="00786A66"/>
    <w:rsid w:val="007873D3"/>
    <w:rsid w:val="007901AD"/>
    <w:rsid w:val="007901BC"/>
    <w:rsid w:val="0079032A"/>
    <w:rsid w:val="007905C3"/>
    <w:rsid w:val="00790695"/>
    <w:rsid w:val="007906CD"/>
    <w:rsid w:val="007907D9"/>
    <w:rsid w:val="0079089B"/>
    <w:rsid w:val="00790C8F"/>
    <w:rsid w:val="00790DF4"/>
    <w:rsid w:val="00791075"/>
    <w:rsid w:val="007910F9"/>
    <w:rsid w:val="00791236"/>
    <w:rsid w:val="00791382"/>
    <w:rsid w:val="00791813"/>
    <w:rsid w:val="0079199F"/>
    <w:rsid w:val="00791A5B"/>
    <w:rsid w:val="00791EE4"/>
    <w:rsid w:val="007922A0"/>
    <w:rsid w:val="007928DD"/>
    <w:rsid w:val="00792BE8"/>
    <w:rsid w:val="00792DE8"/>
    <w:rsid w:val="00793141"/>
    <w:rsid w:val="007937A8"/>
    <w:rsid w:val="007937F8"/>
    <w:rsid w:val="00793E2A"/>
    <w:rsid w:val="0079411C"/>
    <w:rsid w:val="00794503"/>
    <w:rsid w:val="00794B18"/>
    <w:rsid w:val="00794F65"/>
    <w:rsid w:val="007951BD"/>
    <w:rsid w:val="00795644"/>
    <w:rsid w:val="0079568D"/>
    <w:rsid w:val="00795EA8"/>
    <w:rsid w:val="00796569"/>
    <w:rsid w:val="00796860"/>
    <w:rsid w:val="0079691B"/>
    <w:rsid w:val="00796A82"/>
    <w:rsid w:val="00796CFF"/>
    <w:rsid w:val="007971D0"/>
    <w:rsid w:val="007972F1"/>
    <w:rsid w:val="00797653"/>
    <w:rsid w:val="0079768D"/>
    <w:rsid w:val="007979EE"/>
    <w:rsid w:val="007979FA"/>
    <w:rsid w:val="00797A6A"/>
    <w:rsid w:val="007A002F"/>
    <w:rsid w:val="007A044E"/>
    <w:rsid w:val="007A0CD3"/>
    <w:rsid w:val="007A0F07"/>
    <w:rsid w:val="007A1A2B"/>
    <w:rsid w:val="007A1E22"/>
    <w:rsid w:val="007A2268"/>
    <w:rsid w:val="007A23E8"/>
    <w:rsid w:val="007A2981"/>
    <w:rsid w:val="007A305A"/>
    <w:rsid w:val="007A31E0"/>
    <w:rsid w:val="007A3674"/>
    <w:rsid w:val="007A377C"/>
    <w:rsid w:val="007A3974"/>
    <w:rsid w:val="007A39DA"/>
    <w:rsid w:val="007A4D36"/>
    <w:rsid w:val="007A4F05"/>
    <w:rsid w:val="007A571D"/>
    <w:rsid w:val="007A6132"/>
    <w:rsid w:val="007A6477"/>
    <w:rsid w:val="007A6616"/>
    <w:rsid w:val="007A6779"/>
    <w:rsid w:val="007A67F5"/>
    <w:rsid w:val="007A6B79"/>
    <w:rsid w:val="007A6DAC"/>
    <w:rsid w:val="007A7368"/>
    <w:rsid w:val="007A79E7"/>
    <w:rsid w:val="007B02BD"/>
    <w:rsid w:val="007B04C1"/>
    <w:rsid w:val="007B058C"/>
    <w:rsid w:val="007B0DC6"/>
    <w:rsid w:val="007B173E"/>
    <w:rsid w:val="007B1746"/>
    <w:rsid w:val="007B1A47"/>
    <w:rsid w:val="007B1A91"/>
    <w:rsid w:val="007B1EBA"/>
    <w:rsid w:val="007B215A"/>
    <w:rsid w:val="007B244F"/>
    <w:rsid w:val="007B2A03"/>
    <w:rsid w:val="007B2AB5"/>
    <w:rsid w:val="007B3651"/>
    <w:rsid w:val="007B368F"/>
    <w:rsid w:val="007B3910"/>
    <w:rsid w:val="007B47E6"/>
    <w:rsid w:val="007B4916"/>
    <w:rsid w:val="007B5732"/>
    <w:rsid w:val="007B5A74"/>
    <w:rsid w:val="007B5BBF"/>
    <w:rsid w:val="007B646D"/>
    <w:rsid w:val="007B654D"/>
    <w:rsid w:val="007B65C4"/>
    <w:rsid w:val="007B691F"/>
    <w:rsid w:val="007B6E31"/>
    <w:rsid w:val="007B71AF"/>
    <w:rsid w:val="007B722B"/>
    <w:rsid w:val="007B7473"/>
    <w:rsid w:val="007B7500"/>
    <w:rsid w:val="007B76E8"/>
    <w:rsid w:val="007C0281"/>
    <w:rsid w:val="007C072C"/>
    <w:rsid w:val="007C077A"/>
    <w:rsid w:val="007C0861"/>
    <w:rsid w:val="007C137C"/>
    <w:rsid w:val="007C168C"/>
    <w:rsid w:val="007C19E3"/>
    <w:rsid w:val="007C1F35"/>
    <w:rsid w:val="007C21FB"/>
    <w:rsid w:val="007C2336"/>
    <w:rsid w:val="007C2729"/>
    <w:rsid w:val="007C29F7"/>
    <w:rsid w:val="007C3250"/>
    <w:rsid w:val="007C3BD0"/>
    <w:rsid w:val="007C3FB9"/>
    <w:rsid w:val="007C41B2"/>
    <w:rsid w:val="007C42E2"/>
    <w:rsid w:val="007C448D"/>
    <w:rsid w:val="007C4E7E"/>
    <w:rsid w:val="007C4F2B"/>
    <w:rsid w:val="007C5047"/>
    <w:rsid w:val="007C5069"/>
    <w:rsid w:val="007C51A7"/>
    <w:rsid w:val="007C602E"/>
    <w:rsid w:val="007C6D64"/>
    <w:rsid w:val="007C76FC"/>
    <w:rsid w:val="007C7B14"/>
    <w:rsid w:val="007C7DBD"/>
    <w:rsid w:val="007C7F1C"/>
    <w:rsid w:val="007D0180"/>
    <w:rsid w:val="007D023E"/>
    <w:rsid w:val="007D0836"/>
    <w:rsid w:val="007D090D"/>
    <w:rsid w:val="007D0B69"/>
    <w:rsid w:val="007D0D26"/>
    <w:rsid w:val="007D0EA8"/>
    <w:rsid w:val="007D0FD7"/>
    <w:rsid w:val="007D12C8"/>
    <w:rsid w:val="007D14E1"/>
    <w:rsid w:val="007D1625"/>
    <w:rsid w:val="007D24BE"/>
    <w:rsid w:val="007D2BCF"/>
    <w:rsid w:val="007D30D4"/>
    <w:rsid w:val="007D43B4"/>
    <w:rsid w:val="007D4412"/>
    <w:rsid w:val="007D4D77"/>
    <w:rsid w:val="007D4DB1"/>
    <w:rsid w:val="007D5011"/>
    <w:rsid w:val="007D52A9"/>
    <w:rsid w:val="007D54ED"/>
    <w:rsid w:val="007D5B69"/>
    <w:rsid w:val="007D60BD"/>
    <w:rsid w:val="007D6A78"/>
    <w:rsid w:val="007D6E65"/>
    <w:rsid w:val="007D6FE7"/>
    <w:rsid w:val="007D7230"/>
    <w:rsid w:val="007D79F3"/>
    <w:rsid w:val="007D7A53"/>
    <w:rsid w:val="007D7CAF"/>
    <w:rsid w:val="007E0642"/>
    <w:rsid w:val="007E0709"/>
    <w:rsid w:val="007E09B2"/>
    <w:rsid w:val="007E0AD7"/>
    <w:rsid w:val="007E0E9F"/>
    <w:rsid w:val="007E123C"/>
    <w:rsid w:val="007E1607"/>
    <w:rsid w:val="007E1664"/>
    <w:rsid w:val="007E184F"/>
    <w:rsid w:val="007E1A14"/>
    <w:rsid w:val="007E1CE1"/>
    <w:rsid w:val="007E1DAD"/>
    <w:rsid w:val="007E209D"/>
    <w:rsid w:val="007E211F"/>
    <w:rsid w:val="007E2407"/>
    <w:rsid w:val="007E2D30"/>
    <w:rsid w:val="007E2EF5"/>
    <w:rsid w:val="007E312E"/>
    <w:rsid w:val="007E34FB"/>
    <w:rsid w:val="007E383E"/>
    <w:rsid w:val="007E3858"/>
    <w:rsid w:val="007E3862"/>
    <w:rsid w:val="007E3A3B"/>
    <w:rsid w:val="007E3AED"/>
    <w:rsid w:val="007E3C31"/>
    <w:rsid w:val="007E40E0"/>
    <w:rsid w:val="007E419A"/>
    <w:rsid w:val="007E48EF"/>
    <w:rsid w:val="007E6792"/>
    <w:rsid w:val="007E67A1"/>
    <w:rsid w:val="007E6BA9"/>
    <w:rsid w:val="007E6DFC"/>
    <w:rsid w:val="007E6F83"/>
    <w:rsid w:val="007E7033"/>
    <w:rsid w:val="007E706A"/>
    <w:rsid w:val="007E72A2"/>
    <w:rsid w:val="007E7538"/>
    <w:rsid w:val="007E7D7F"/>
    <w:rsid w:val="007E7E58"/>
    <w:rsid w:val="007F0608"/>
    <w:rsid w:val="007F07C3"/>
    <w:rsid w:val="007F0A3E"/>
    <w:rsid w:val="007F0E2A"/>
    <w:rsid w:val="007F1324"/>
    <w:rsid w:val="007F146F"/>
    <w:rsid w:val="007F14BF"/>
    <w:rsid w:val="007F14ED"/>
    <w:rsid w:val="007F1A53"/>
    <w:rsid w:val="007F1BBC"/>
    <w:rsid w:val="007F1C39"/>
    <w:rsid w:val="007F20A7"/>
    <w:rsid w:val="007F2879"/>
    <w:rsid w:val="007F2A94"/>
    <w:rsid w:val="007F30A1"/>
    <w:rsid w:val="007F34E1"/>
    <w:rsid w:val="007F437C"/>
    <w:rsid w:val="007F439E"/>
    <w:rsid w:val="007F4531"/>
    <w:rsid w:val="007F455B"/>
    <w:rsid w:val="007F48BE"/>
    <w:rsid w:val="007F49F6"/>
    <w:rsid w:val="007F5429"/>
    <w:rsid w:val="007F54A4"/>
    <w:rsid w:val="007F55AC"/>
    <w:rsid w:val="007F5A68"/>
    <w:rsid w:val="007F5ABA"/>
    <w:rsid w:val="007F61DA"/>
    <w:rsid w:val="007F6824"/>
    <w:rsid w:val="007F695A"/>
    <w:rsid w:val="007F6CA1"/>
    <w:rsid w:val="007F6E6A"/>
    <w:rsid w:val="007F73B7"/>
    <w:rsid w:val="007F761C"/>
    <w:rsid w:val="007F76CE"/>
    <w:rsid w:val="007F7999"/>
    <w:rsid w:val="007F7A6F"/>
    <w:rsid w:val="007F7CC1"/>
    <w:rsid w:val="0080023F"/>
    <w:rsid w:val="0080026D"/>
    <w:rsid w:val="00800713"/>
    <w:rsid w:val="00800C73"/>
    <w:rsid w:val="00800D78"/>
    <w:rsid w:val="008016DA"/>
    <w:rsid w:val="00801747"/>
    <w:rsid w:val="00801F8A"/>
    <w:rsid w:val="008020CB"/>
    <w:rsid w:val="008028D1"/>
    <w:rsid w:val="00802938"/>
    <w:rsid w:val="00802BBB"/>
    <w:rsid w:val="00802DF9"/>
    <w:rsid w:val="0080352F"/>
    <w:rsid w:val="00803764"/>
    <w:rsid w:val="00803E2D"/>
    <w:rsid w:val="008042AE"/>
    <w:rsid w:val="008042EE"/>
    <w:rsid w:val="00804AB1"/>
    <w:rsid w:val="00804B04"/>
    <w:rsid w:val="00804D82"/>
    <w:rsid w:val="00804E1F"/>
    <w:rsid w:val="00805376"/>
    <w:rsid w:val="008053B4"/>
    <w:rsid w:val="008059C2"/>
    <w:rsid w:val="008060F1"/>
    <w:rsid w:val="00806142"/>
    <w:rsid w:val="008064DF"/>
    <w:rsid w:val="00806C97"/>
    <w:rsid w:val="00807489"/>
    <w:rsid w:val="008076DB"/>
    <w:rsid w:val="00807CD6"/>
    <w:rsid w:val="0081067A"/>
    <w:rsid w:val="00810803"/>
    <w:rsid w:val="0081092A"/>
    <w:rsid w:val="00810BF9"/>
    <w:rsid w:val="00810C0A"/>
    <w:rsid w:val="00810EC8"/>
    <w:rsid w:val="008110BF"/>
    <w:rsid w:val="00811505"/>
    <w:rsid w:val="00812237"/>
    <w:rsid w:val="00812645"/>
    <w:rsid w:val="00812656"/>
    <w:rsid w:val="008128ED"/>
    <w:rsid w:val="00812C6A"/>
    <w:rsid w:val="00813157"/>
    <w:rsid w:val="008131EF"/>
    <w:rsid w:val="00813454"/>
    <w:rsid w:val="008136FF"/>
    <w:rsid w:val="008137AE"/>
    <w:rsid w:val="0081384A"/>
    <w:rsid w:val="008138DD"/>
    <w:rsid w:val="00813F1D"/>
    <w:rsid w:val="00813F59"/>
    <w:rsid w:val="008141E3"/>
    <w:rsid w:val="008143A4"/>
    <w:rsid w:val="008145D4"/>
    <w:rsid w:val="00814768"/>
    <w:rsid w:val="008148E9"/>
    <w:rsid w:val="008149F5"/>
    <w:rsid w:val="00814A19"/>
    <w:rsid w:val="00814A5D"/>
    <w:rsid w:val="00814C20"/>
    <w:rsid w:val="00815082"/>
    <w:rsid w:val="008150CF"/>
    <w:rsid w:val="008151C0"/>
    <w:rsid w:val="0081556C"/>
    <w:rsid w:val="00815599"/>
    <w:rsid w:val="00815627"/>
    <w:rsid w:val="00815873"/>
    <w:rsid w:val="00815D64"/>
    <w:rsid w:val="00815E0E"/>
    <w:rsid w:val="00815E1E"/>
    <w:rsid w:val="00816324"/>
    <w:rsid w:val="008164CF"/>
    <w:rsid w:val="00816919"/>
    <w:rsid w:val="00816AD4"/>
    <w:rsid w:val="0081706D"/>
    <w:rsid w:val="00817319"/>
    <w:rsid w:val="00817424"/>
    <w:rsid w:val="008174D7"/>
    <w:rsid w:val="00817832"/>
    <w:rsid w:val="00817A61"/>
    <w:rsid w:val="00817AB1"/>
    <w:rsid w:val="00817B51"/>
    <w:rsid w:val="00817F21"/>
    <w:rsid w:val="0082000B"/>
    <w:rsid w:val="008207DE"/>
    <w:rsid w:val="0082102B"/>
    <w:rsid w:val="00821625"/>
    <w:rsid w:val="00821999"/>
    <w:rsid w:val="00821A5D"/>
    <w:rsid w:val="00821F33"/>
    <w:rsid w:val="008225B6"/>
    <w:rsid w:val="00822DD8"/>
    <w:rsid w:val="00822F25"/>
    <w:rsid w:val="00823386"/>
    <w:rsid w:val="0082351D"/>
    <w:rsid w:val="00823CC3"/>
    <w:rsid w:val="00823D7A"/>
    <w:rsid w:val="00823FCD"/>
    <w:rsid w:val="0082428D"/>
    <w:rsid w:val="00824A6B"/>
    <w:rsid w:val="00824B5F"/>
    <w:rsid w:val="008251DD"/>
    <w:rsid w:val="008252A8"/>
    <w:rsid w:val="0082540B"/>
    <w:rsid w:val="008254B0"/>
    <w:rsid w:val="00825717"/>
    <w:rsid w:val="0082586E"/>
    <w:rsid w:val="00825CBC"/>
    <w:rsid w:val="00826102"/>
    <w:rsid w:val="0082611F"/>
    <w:rsid w:val="008261F2"/>
    <w:rsid w:val="00826505"/>
    <w:rsid w:val="008268A1"/>
    <w:rsid w:val="008270FD"/>
    <w:rsid w:val="00827422"/>
    <w:rsid w:val="0082767E"/>
    <w:rsid w:val="008276B5"/>
    <w:rsid w:val="00827D8C"/>
    <w:rsid w:val="00827EDB"/>
    <w:rsid w:val="00827F56"/>
    <w:rsid w:val="00830371"/>
    <w:rsid w:val="00830475"/>
    <w:rsid w:val="0083097C"/>
    <w:rsid w:val="00830A55"/>
    <w:rsid w:val="00830B86"/>
    <w:rsid w:val="00830D60"/>
    <w:rsid w:val="00831133"/>
    <w:rsid w:val="0083177F"/>
    <w:rsid w:val="008318D1"/>
    <w:rsid w:val="008322EE"/>
    <w:rsid w:val="008324DC"/>
    <w:rsid w:val="00832906"/>
    <w:rsid w:val="00832AA4"/>
    <w:rsid w:val="00833B4A"/>
    <w:rsid w:val="00833CB4"/>
    <w:rsid w:val="00834259"/>
    <w:rsid w:val="008342D0"/>
    <w:rsid w:val="00834A72"/>
    <w:rsid w:val="00834B79"/>
    <w:rsid w:val="008351F3"/>
    <w:rsid w:val="00835233"/>
    <w:rsid w:val="008354A5"/>
    <w:rsid w:val="00835DD2"/>
    <w:rsid w:val="00835E10"/>
    <w:rsid w:val="008360D8"/>
    <w:rsid w:val="0083639F"/>
    <w:rsid w:val="008363E4"/>
    <w:rsid w:val="00836CC7"/>
    <w:rsid w:val="008376B7"/>
    <w:rsid w:val="008377DC"/>
    <w:rsid w:val="00837D99"/>
    <w:rsid w:val="00837EB5"/>
    <w:rsid w:val="00840271"/>
    <w:rsid w:val="008403B5"/>
    <w:rsid w:val="008405EF"/>
    <w:rsid w:val="00840620"/>
    <w:rsid w:val="00840770"/>
    <w:rsid w:val="00840BF6"/>
    <w:rsid w:val="00840EA5"/>
    <w:rsid w:val="008411A6"/>
    <w:rsid w:val="0084142D"/>
    <w:rsid w:val="00841509"/>
    <w:rsid w:val="0084201C"/>
    <w:rsid w:val="008421FE"/>
    <w:rsid w:val="008424A5"/>
    <w:rsid w:val="00842822"/>
    <w:rsid w:val="00842A9E"/>
    <w:rsid w:val="00842DF1"/>
    <w:rsid w:val="008432E6"/>
    <w:rsid w:val="0084331E"/>
    <w:rsid w:val="008441EB"/>
    <w:rsid w:val="0084471F"/>
    <w:rsid w:val="00844D76"/>
    <w:rsid w:val="0084504E"/>
    <w:rsid w:val="0084551C"/>
    <w:rsid w:val="0084583A"/>
    <w:rsid w:val="008458E1"/>
    <w:rsid w:val="00845A95"/>
    <w:rsid w:val="00845B4F"/>
    <w:rsid w:val="00845D97"/>
    <w:rsid w:val="008460BC"/>
    <w:rsid w:val="0084610C"/>
    <w:rsid w:val="00846494"/>
    <w:rsid w:val="00846708"/>
    <w:rsid w:val="00846807"/>
    <w:rsid w:val="008474C3"/>
    <w:rsid w:val="008478A4"/>
    <w:rsid w:val="00847D66"/>
    <w:rsid w:val="00847DCA"/>
    <w:rsid w:val="00847DE7"/>
    <w:rsid w:val="00847EB9"/>
    <w:rsid w:val="00847EED"/>
    <w:rsid w:val="00850776"/>
    <w:rsid w:val="008508A9"/>
    <w:rsid w:val="00850BAC"/>
    <w:rsid w:val="00851455"/>
    <w:rsid w:val="008516C3"/>
    <w:rsid w:val="00851805"/>
    <w:rsid w:val="00851BEC"/>
    <w:rsid w:val="00851F6D"/>
    <w:rsid w:val="008521BA"/>
    <w:rsid w:val="00852A35"/>
    <w:rsid w:val="00852ADA"/>
    <w:rsid w:val="00852BFE"/>
    <w:rsid w:val="00852D47"/>
    <w:rsid w:val="008530AD"/>
    <w:rsid w:val="008536B3"/>
    <w:rsid w:val="008537AA"/>
    <w:rsid w:val="008538B3"/>
    <w:rsid w:val="00853CC3"/>
    <w:rsid w:val="00853FB0"/>
    <w:rsid w:val="00854A48"/>
    <w:rsid w:val="00854FCE"/>
    <w:rsid w:val="008558DE"/>
    <w:rsid w:val="00855A15"/>
    <w:rsid w:val="00855FA9"/>
    <w:rsid w:val="00855FD0"/>
    <w:rsid w:val="008566F1"/>
    <w:rsid w:val="00856726"/>
    <w:rsid w:val="0085697E"/>
    <w:rsid w:val="00856BE2"/>
    <w:rsid w:val="00856C85"/>
    <w:rsid w:val="00856D91"/>
    <w:rsid w:val="0085705E"/>
    <w:rsid w:val="0085708F"/>
    <w:rsid w:val="00857846"/>
    <w:rsid w:val="00857AF9"/>
    <w:rsid w:val="00857BBC"/>
    <w:rsid w:val="00857DC3"/>
    <w:rsid w:val="00857DFA"/>
    <w:rsid w:val="008600A2"/>
    <w:rsid w:val="008606FA"/>
    <w:rsid w:val="00860894"/>
    <w:rsid w:val="00860AA1"/>
    <w:rsid w:val="00860F4F"/>
    <w:rsid w:val="0086101E"/>
    <w:rsid w:val="00861401"/>
    <w:rsid w:val="0086156D"/>
    <w:rsid w:val="0086164A"/>
    <w:rsid w:val="008617CB"/>
    <w:rsid w:val="00861C07"/>
    <w:rsid w:val="00861E62"/>
    <w:rsid w:val="0086214D"/>
    <w:rsid w:val="00862234"/>
    <w:rsid w:val="0086251D"/>
    <w:rsid w:val="00862808"/>
    <w:rsid w:val="008628F2"/>
    <w:rsid w:val="00862924"/>
    <w:rsid w:val="00862BB4"/>
    <w:rsid w:val="00862CC9"/>
    <w:rsid w:val="00862F16"/>
    <w:rsid w:val="00863124"/>
    <w:rsid w:val="00863695"/>
    <w:rsid w:val="008636A4"/>
    <w:rsid w:val="00863E4B"/>
    <w:rsid w:val="00863EF3"/>
    <w:rsid w:val="008640FC"/>
    <w:rsid w:val="00864431"/>
    <w:rsid w:val="008649A8"/>
    <w:rsid w:val="00864ABA"/>
    <w:rsid w:val="00864AC7"/>
    <w:rsid w:val="00864BF9"/>
    <w:rsid w:val="00864DB7"/>
    <w:rsid w:val="00864EDC"/>
    <w:rsid w:val="008652D0"/>
    <w:rsid w:val="00865316"/>
    <w:rsid w:val="00865508"/>
    <w:rsid w:val="00866024"/>
    <w:rsid w:val="00866106"/>
    <w:rsid w:val="0086656C"/>
    <w:rsid w:val="00866BBB"/>
    <w:rsid w:val="00866CAC"/>
    <w:rsid w:val="00866FFC"/>
    <w:rsid w:val="008672C0"/>
    <w:rsid w:val="00867419"/>
    <w:rsid w:val="00867F78"/>
    <w:rsid w:val="00870738"/>
    <w:rsid w:val="00870795"/>
    <w:rsid w:val="00870CEA"/>
    <w:rsid w:val="00871E96"/>
    <w:rsid w:val="008721F2"/>
    <w:rsid w:val="0087237C"/>
    <w:rsid w:val="0087254F"/>
    <w:rsid w:val="00872D4B"/>
    <w:rsid w:val="00872D79"/>
    <w:rsid w:val="00872E3B"/>
    <w:rsid w:val="00874013"/>
    <w:rsid w:val="00874120"/>
    <w:rsid w:val="008746EB"/>
    <w:rsid w:val="0087471B"/>
    <w:rsid w:val="008747F3"/>
    <w:rsid w:val="00874871"/>
    <w:rsid w:val="00874884"/>
    <w:rsid w:val="00875A74"/>
    <w:rsid w:val="008760B5"/>
    <w:rsid w:val="008760BD"/>
    <w:rsid w:val="0087645D"/>
    <w:rsid w:val="00876719"/>
    <w:rsid w:val="00876960"/>
    <w:rsid w:val="00876C74"/>
    <w:rsid w:val="00876D57"/>
    <w:rsid w:val="00876F5A"/>
    <w:rsid w:val="00876FE3"/>
    <w:rsid w:val="008774A9"/>
    <w:rsid w:val="0087783A"/>
    <w:rsid w:val="00880875"/>
    <w:rsid w:val="00880DC4"/>
    <w:rsid w:val="00880F35"/>
    <w:rsid w:val="00880FB0"/>
    <w:rsid w:val="00881114"/>
    <w:rsid w:val="00882BC1"/>
    <w:rsid w:val="008833E8"/>
    <w:rsid w:val="00883877"/>
    <w:rsid w:val="008839F8"/>
    <w:rsid w:val="00883A6C"/>
    <w:rsid w:val="008840B4"/>
    <w:rsid w:val="00884D0B"/>
    <w:rsid w:val="00885415"/>
    <w:rsid w:val="00885923"/>
    <w:rsid w:val="0088612C"/>
    <w:rsid w:val="00886615"/>
    <w:rsid w:val="008866AC"/>
    <w:rsid w:val="00886DDC"/>
    <w:rsid w:val="008874DD"/>
    <w:rsid w:val="00887CC6"/>
    <w:rsid w:val="00887EBD"/>
    <w:rsid w:val="008901E4"/>
    <w:rsid w:val="00890432"/>
    <w:rsid w:val="0089057A"/>
    <w:rsid w:val="0089078F"/>
    <w:rsid w:val="008908D8"/>
    <w:rsid w:val="00890F44"/>
    <w:rsid w:val="00890FDD"/>
    <w:rsid w:val="00891169"/>
    <w:rsid w:val="00891399"/>
    <w:rsid w:val="00891535"/>
    <w:rsid w:val="00891E8A"/>
    <w:rsid w:val="00891EE7"/>
    <w:rsid w:val="00892D22"/>
    <w:rsid w:val="00892E9D"/>
    <w:rsid w:val="00893634"/>
    <w:rsid w:val="00893A3C"/>
    <w:rsid w:val="00893F1F"/>
    <w:rsid w:val="00894BB5"/>
    <w:rsid w:val="00894DAD"/>
    <w:rsid w:val="00894FC1"/>
    <w:rsid w:val="00895EDA"/>
    <w:rsid w:val="0089666E"/>
    <w:rsid w:val="00896933"/>
    <w:rsid w:val="00896C41"/>
    <w:rsid w:val="00896C51"/>
    <w:rsid w:val="00897176"/>
    <w:rsid w:val="00897867"/>
    <w:rsid w:val="00897CAF"/>
    <w:rsid w:val="00897CC6"/>
    <w:rsid w:val="00897E66"/>
    <w:rsid w:val="008A05B5"/>
    <w:rsid w:val="008A0CC9"/>
    <w:rsid w:val="008A1D48"/>
    <w:rsid w:val="008A259A"/>
    <w:rsid w:val="008A2774"/>
    <w:rsid w:val="008A2FE2"/>
    <w:rsid w:val="008A2FF5"/>
    <w:rsid w:val="008A395B"/>
    <w:rsid w:val="008A436F"/>
    <w:rsid w:val="008A44F6"/>
    <w:rsid w:val="008A4525"/>
    <w:rsid w:val="008A459D"/>
    <w:rsid w:val="008A4CAB"/>
    <w:rsid w:val="008A516F"/>
    <w:rsid w:val="008A5A1E"/>
    <w:rsid w:val="008A5A49"/>
    <w:rsid w:val="008A60F0"/>
    <w:rsid w:val="008A60FB"/>
    <w:rsid w:val="008A60FD"/>
    <w:rsid w:val="008A6C6A"/>
    <w:rsid w:val="008A6CA5"/>
    <w:rsid w:val="008A7035"/>
    <w:rsid w:val="008A7258"/>
    <w:rsid w:val="008A7926"/>
    <w:rsid w:val="008A7BCC"/>
    <w:rsid w:val="008B019D"/>
    <w:rsid w:val="008B1420"/>
    <w:rsid w:val="008B1730"/>
    <w:rsid w:val="008B1AF0"/>
    <w:rsid w:val="008B1F09"/>
    <w:rsid w:val="008B21A1"/>
    <w:rsid w:val="008B23D7"/>
    <w:rsid w:val="008B268B"/>
    <w:rsid w:val="008B2690"/>
    <w:rsid w:val="008B286B"/>
    <w:rsid w:val="008B2AF5"/>
    <w:rsid w:val="008B2B1F"/>
    <w:rsid w:val="008B2CB1"/>
    <w:rsid w:val="008B315E"/>
    <w:rsid w:val="008B3640"/>
    <w:rsid w:val="008B4124"/>
    <w:rsid w:val="008B418C"/>
    <w:rsid w:val="008B45C3"/>
    <w:rsid w:val="008B45EB"/>
    <w:rsid w:val="008B45FC"/>
    <w:rsid w:val="008B4715"/>
    <w:rsid w:val="008B47A5"/>
    <w:rsid w:val="008B4BF0"/>
    <w:rsid w:val="008B5059"/>
    <w:rsid w:val="008B55CF"/>
    <w:rsid w:val="008B5AFC"/>
    <w:rsid w:val="008B5C72"/>
    <w:rsid w:val="008B600C"/>
    <w:rsid w:val="008B64E0"/>
    <w:rsid w:val="008B68AB"/>
    <w:rsid w:val="008B6FE8"/>
    <w:rsid w:val="008B77AA"/>
    <w:rsid w:val="008B77AE"/>
    <w:rsid w:val="008B7CD1"/>
    <w:rsid w:val="008C06EC"/>
    <w:rsid w:val="008C0B40"/>
    <w:rsid w:val="008C0D9A"/>
    <w:rsid w:val="008C11C6"/>
    <w:rsid w:val="008C1204"/>
    <w:rsid w:val="008C1555"/>
    <w:rsid w:val="008C1616"/>
    <w:rsid w:val="008C17D2"/>
    <w:rsid w:val="008C1923"/>
    <w:rsid w:val="008C29CC"/>
    <w:rsid w:val="008C2BBC"/>
    <w:rsid w:val="008C2CD8"/>
    <w:rsid w:val="008C2D27"/>
    <w:rsid w:val="008C2FD2"/>
    <w:rsid w:val="008C2FDD"/>
    <w:rsid w:val="008C3193"/>
    <w:rsid w:val="008C367A"/>
    <w:rsid w:val="008C383B"/>
    <w:rsid w:val="008C3922"/>
    <w:rsid w:val="008C3A59"/>
    <w:rsid w:val="008C3E4A"/>
    <w:rsid w:val="008C4173"/>
    <w:rsid w:val="008C4372"/>
    <w:rsid w:val="008C4E07"/>
    <w:rsid w:val="008C5844"/>
    <w:rsid w:val="008C5C0C"/>
    <w:rsid w:val="008C5D76"/>
    <w:rsid w:val="008C5DC8"/>
    <w:rsid w:val="008C6135"/>
    <w:rsid w:val="008C6DDE"/>
    <w:rsid w:val="008C6DF9"/>
    <w:rsid w:val="008C6E6A"/>
    <w:rsid w:val="008C6FA8"/>
    <w:rsid w:val="008C72A8"/>
    <w:rsid w:val="008C756E"/>
    <w:rsid w:val="008C7A91"/>
    <w:rsid w:val="008C7CFA"/>
    <w:rsid w:val="008C7DDC"/>
    <w:rsid w:val="008C7EF1"/>
    <w:rsid w:val="008D00C7"/>
    <w:rsid w:val="008D0130"/>
    <w:rsid w:val="008D048C"/>
    <w:rsid w:val="008D05A2"/>
    <w:rsid w:val="008D09A4"/>
    <w:rsid w:val="008D0FF3"/>
    <w:rsid w:val="008D1353"/>
    <w:rsid w:val="008D1873"/>
    <w:rsid w:val="008D1A82"/>
    <w:rsid w:val="008D1B4B"/>
    <w:rsid w:val="008D1B70"/>
    <w:rsid w:val="008D1C4A"/>
    <w:rsid w:val="008D20BA"/>
    <w:rsid w:val="008D282B"/>
    <w:rsid w:val="008D29CE"/>
    <w:rsid w:val="008D2B9E"/>
    <w:rsid w:val="008D3090"/>
    <w:rsid w:val="008D36F0"/>
    <w:rsid w:val="008D371A"/>
    <w:rsid w:val="008D3F73"/>
    <w:rsid w:val="008D3FB5"/>
    <w:rsid w:val="008D4378"/>
    <w:rsid w:val="008D44DE"/>
    <w:rsid w:val="008D4564"/>
    <w:rsid w:val="008D5161"/>
    <w:rsid w:val="008D5172"/>
    <w:rsid w:val="008D52A8"/>
    <w:rsid w:val="008D5A6D"/>
    <w:rsid w:val="008D5B31"/>
    <w:rsid w:val="008D5D6F"/>
    <w:rsid w:val="008D63C1"/>
    <w:rsid w:val="008D640D"/>
    <w:rsid w:val="008D6D4C"/>
    <w:rsid w:val="008D70AD"/>
    <w:rsid w:val="008D7586"/>
    <w:rsid w:val="008D7607"/>
    <w:rsid w:val="008D79E4"/>
    <w:rsid w:val="008D7AC9"/>
    <w:rsid w:val="008E0100"/>
    <w:rsid w:val="008E0250"/>
    <w:rsid w:val="008E0418"/>
    <w:rsid w:val="008E0F5B"/>
    <w:rsid w:val="008E1095"/>
    <w:rsid w:val="008E113C"/>
    <w:rsid w:val="008E1C27"/>
    <w:rsid w:val="008E1F46"/>
    <w:rsid w:val="008E1F48"/>
    <w:rsid w:val="008E2229"/>
    <w:rsid w:val="008E2A9E"/>
    <w:rsid w:val="008E2B4D"/>
    <w:rsid w:val="008E2BA2"/>
    <w:rsid w:val="008E3539"/>
    <w:rsid w:val="008E3D43"/>
    <w:rsid w:val="008E3F55"/>
    <w:rsid w:val="008E3FE0"/>
    <w:rsid w:val="008E42B5"/>
    <w:rsid w:val="008E4444"/>
    <w:rsid w:val="008E4B7F"/>
    <w:rsid w:val="008E4C68"/>
    <w:rsid w:val="008E4F04"/>
    <w:rsid w:val="008E50C2"/>
    <w:rsid w:val="008E600A"/>
    <w:rsid w:val="008E65CB"/>
    <w:rsid w:val="008E69F2"/>
    <w:rsid w:val="008E6B21"/>
    <w:rsid w:val="008E6B62"/>
    <w:rsid w:val="008E6DC4"/>
    <w:rsid w:val="008E7183"/>
    <w:rsid w:val="008E720F"/>
    <w:rsid w:val="008E73F7"/>
    <w:rsid w:val="008E760E"/>
    <w:rsid w:val="008E780B"/>
    <w:rsid w:val="008E7AB6"/>
    <w:rsid w:val="008E7DE8"/>
    <w:rsid w:val="008E7E5A"/>
    <w:rsid w:val="008F00E1"/>
    <w:rsid w:val="008F0336"/>
    <w:rsid w:val="008F0435"/>
    <w:rsid w:val="008F089B"/>
    <w:rsid w:val="008F0A23"/>
    <w:rsid w:val="008F0E48"/>
    <w:rsid w:val="008F179D"/>
    <w:rsid w:val="008F1BC0"/>
    <w:rsid w:val="008F1CB5"/>
    <w:rsid w:val="008F2013"/>
    <w:rsid w:val="008F3002"/>
    <w:rsid w:val="008F3542"/>
    <w:rsid w:val="008F3AB0"/>
    <w:rsid w:val="008F3E43"/>
    <w:rsid w:val="008F4137"/>
    <w:rsid w:val="008F4759"/>
    <w:rsid w:val="008F4C46"/>
    <w:rsid w:val="008F5431"/>
    <w:rsid w:val="008F56FA"/>
    <w:rsid w:val="008F5848"/>
    <w:rsid w:val="008F636C"/>
    <w:rsid w:val="008F63E5"/>
    <w:rsid w:val="008F6A16"/>
    <w:rsid w:val="008F6CD3"/>
    <w:rsid w:val="008F705C"/>
    <w:rsid w:val="008F7122"/>
    <w:rsid w:val="0090078B"/>
    <w:rsid w:val="009010D4"/>
    <w:rsid w:val="00901769"/>
    <w:rsid w:val="00901785"/>
    <w:rsid w:val="00901B23"/>
    <w:rsid w:val="00902F31"/>
    <w:rsid w:val="009033F5"/>
    <w:rsid w:val="00903570"/>
    <w:rsid w:val="00903B65"/>
    <w:rsid w:val="00903C6C"/>
    <w:rsid w:val="00903CBD"/>
    <w:rsid w:val="0090454F"/>
    <w:rsid w:val="00904713"/>
    <w:rsid w:val="00904925"/>
    <w:rsid w:val="00904945"/>
    <w:rsid w:val="00904BB5"/>
    <w:rsid w:val="00904BD0"/>
    <w:rsid w:val="00904D9C"/>
    <w:rsid w:val="00904EBF"/>
    <w:rsid w:val="009052B3"/>
    <w:rsid w:val="009054C9"/>
    <w:rsid w:val="00905619"/>
    <w:rsid w:val="00905889"/>
    <w:rsid w:val="00905A84"/>
    <w:rsid w:val="00905B56"/>
    <w:rsid w:val="00905ED3"/>
    <w:rsid w:val="009063CC"/>
    <w:rsid w:val="009064BA"/>
    <w:rsid w:val="00906629"/>
    <w:rsid w:val="009066B5"/>
    <w:rsid w:val="00907428"/>
    <w:rsid w:val="0090763E"/>
    <w:rsid w:val="009109E3"/>
    <w:rsid w:val="00910A7D"/>
    <w:rsid w:val="00910E62"/>
    <w:rsid w:val="00911070"/>
    <w:rsid w:val="009115A2"/>
    <w:rsid w:val="00911ED0"/>
    <w:rsid w:val="00912072"/>
    <w:rsid w:val="009120EE"/>
    <w:rsid w:val="009120F2"/>
    <w:rsid w:val="0091309C"/>
    <w:rsid w:val="00913169"/>
    <w:rsid w:val="00913968"/>
    <w:rsid w:val="00913F89"/>
    <w:rsid w:val="00913FF8"/>
    <w:rsid w:val="009141BA"/>
    <w:rsid w:val="009142D5"/>
    <w:rsid w:val="0091452A"/>
    <w:rsid w:val="00914E8B"/>
    <w:rsid w:val="00914FD6"/>
    <w:rsid w:val="009173DF"/>
    <w:rsid w:val="0091756B"/>
    <w:rsid w:val="00917759"/>
    <w:rsid w:val="00917A58"/>
    <w:rsid w:val="00920542"/>
    <w:rsid w:val="009206FD"/>
    <w:rsid w:val="0092074A"/>
    <w:rsid w:val="009209CC"/>
    <w:rsid w:val="00920CBB"/>
    <w:rsid w:val="00920DA0"/>
    <w:rsid w:val="00921241"/>
    <w:rsid w:val="009215FE"/>
    <w:rsid w:val="00921786"/>
    <w:rsid w:val="00921A96"/>
    <w:rsid w:val="00922149"/>
    <w:rsid w:val="00922159"/>
    <w:rsid w:val="00922845"/>
    <w:rsid w:val="00922A01"/>
    <w:rsid w:val="00922A9B"/>
    <w:rsid w:val="00922B9D"/>
    <w:rsid w:val="00922C4F"/>
    <w:rsid w:val="00922C6C"/>
    <w:rsid w:val="00923378"/>
    <w:rsid w:val="00923470"/>
    <w:rsid w:val="00923818"/>
    <w:rsid w:val="00923A73"/>
    <w:rsid w:val="00923D9B"/>
    <w:rsid w:val="00923EDA"/>
    <w:rsid w:val="009240F2"/>
    <w:rsid w:val="009244C5"/>
    <w:rsid w:val="00924E3B"/>
    <w:rsid w:val="009253FB"/>
    <w:rsid w:val="00925721"/>
    <w:rsid w:val="00925A73"/>
    <w:rsid w:val="00925AA5"/>
    <w:rsid w:val="00925C3C"/>
    <w:rsid w:val="00925C5B"/>
    <w:rsid w:val="00925EB1"/>
    <w:rsid w:val="00925FC9"/>
    <w:rsid w:val="00926721"/>
    <w:rsid w:val="00926944"/>
    <w:rsid w:val="00926CA8"/>
    <w:rsid w:val="00927272"/>
    <w:rsid w:val="009275DB"/>
    <w:rsid w:val="00927EB3"/>
    <w:rsid w:val="009300C6"/>
    <w:rsid w:val="00930959"/>
    <w:rsid w:val="00930E32"/>
    <w:rsid w:val="009315CD"/>
    <w:rsid w:val="00931698"/>
    <w:rsid w:val="00931B5C"/>
    <w:rsid w:val="00931D1C"/>
    <w:rsid w:val="00931EFC"/>
    <w:rsid w:val="00933617"/>
    <w:rsid w:val="009336DC"/>
    <w:rsid w:val="009338F3"/>
    <w:rsid w:val="009339FC"/>
    <w:rsid w:val="00933CA4"/>
    <w:rsid w:val="0093418D"/>
    <w:rsid w:val="00934196"/>
    <w:rsid w:val="009342E2"/>
    <w:rsid w:val="009349AB"/>
    <w:rsid w:val="00934B45"/>
    <w:rsid w:val="00934E40"/>
    <w:rsid w:val="00935459"/>
    <w:rsid w:val="009354AD"/>
    <w:rsid w:val="00936019"/>
    <w:rsid w:val="0093634B"/>
    <w:rsid w:val="0093655F"/>
    <w:rsid w:val="009365F0"/>
    <w:rsid w:val="00936961"/>
    <w:rsid w:val="0093696F"/>
    <w:rsid w:val="00936AC8"/>
    <w:rsid w:val="00936E26"/>
    <w:rsid w:val="009372AB"/>
    <w:rsid w:val="009373F9"/>
    <w:rsid w:val="00937548"/>
    <w:rsid w:val="0093792C"/>
    <w:rsid w:val="00940069"/>
    <w:rsid w:val="00940344"/>
    <w:rsid w:val="009404AA"/>
    <w:rsid w:val="00940848"/>
    <w:rsid w:val="00940CA8"/>
    <w:rsid w:val="00940D8A"/>
    <w:rsid w:val="00940F17"/>
    <w:rsid w:val="00941497"/>
    <w:rsid w:val="0094159E"/>
    <w:rsid w:val="009415B8"/>
    <w:rsid w:val="00941F9F"/>
    <w:rsid w:val="0094200A"/>
    <w:rsid w:val="00942055"/>
    <w:rsid w:val="0094212F"/>
    <w:rsid w:val="00942259"/>
    <w:rsid w:val="009428AE"/>
    <w:rsid w:val="009428C6"/>
    <w:rsid w:val="0094296C"/>
    <w:rsid w:val="0094297A"/>
    <w:rsid w:val="00942E8C"/>
    <w:rsid w:val="00942F8F"/>
    <w:rsid w:val="00943112"/>
    <w:rsid w:val="00943459"/>
    <w:rsid w:val="009434AC"/>
    <w:rsid w:val="0094356D"/>
    <w:rsid w:val="00943979"/>
    <w:rsid w:val="00943CDB"/>
    <w:rsid w:val="00943D72"/>
    <w:rsid w:val="00944032"/>
    <w:rsid w:val="0094422D"/>
    <w:rsid w:val="009442DA"/>
    <w:rsid w:val="00944465"/>
    <w:rsid w:val="009445D3"/>
    <w:rsid w:val="00944710"/>
    <w:rsid w:val="00944CA0"/>
    <w:rsid w:val="00944D6B"/>
    <w:rsid w:val="00944E7D"/>
    <w:rsid w:val="00944EDC"/>
    <w:rsid w:val="00945101"/>
    <w:rsid w:val="009456DF"/>
    <w:rsid w:val="0094583F"/>
    <w:rsid w:val="00945DC9"/>
    <w:rsid w:val="00945DF5"/>
    <w:rsid w:val="00945FA5"/>
    <w:rsid w:val="0094645B"/>
    <w:rsid w:val="00946AEB"/>
    <w:rsid w:val="00947121"/>
    <w:rsid w:val="00947263"/>
    <w:rsid w:val="00947F60"/>
    <w:rsid w:val="00950019"/>
    <w:rsid w:val="00950096"/>
    <w:rsid w:val="0095040E"/>
    <w:rsid w:val="009506E5"/>
    <w:rsid w:val="0095080A"/>
    <w:rsid w:val="00950A01"/>
    <w:rsid w:val="00950C43"/>
    <w:rsid w:val="00951078"/>
    <w:rsid w:val="009510A0"/>
    <w:rsid w:val="009513B0"/>
    <w:rsid w:val="00951552"/>
    <w:rsid w:val="0095184C"/>
    <w:rsid w:val="00951BF3"/>
    <w:rsid w:val="00951F80"/>
    <w:rsid w:val="00951F9E"/>
    <w:rsid w:val="00952348"/>
    <w:rsid w:val="00952428"/>
    <w:rsid w:val="00952BDB"/>
    <w:rsid w:val="00952E27"/>
    <w:rsid w:val="0095317D"/>
    <w:rsid w:val="009531FF"/>
    <w:rsid w:val="009533B6"/>
    <w:rsid w:val="009534D0"/>
    <w:rsid w:val="009537FB"/>
    <w:rsid w:val="009538E8"/>
    <w:rsid w:val="00953995"/>
    <w:rsid w:val="00953B66"/>
    <w:rsid w:val="0095422F"/>
    <w:rsid w:val="00954509"/>
    <w:rsid w:val="00954584"/>
    <w:rsid w:val="009548B2"/>
    <w:rsid w:val="009549DB"/>
    <w:rsid w:val="00954ABB"/>
    <w:rsid w:val="00954C5C"/>
    <w:rsid w:val="00955054"/>
    <w:rsid w:val="00955A3D"/>
    <w:rsid w:val="00955FED"/>
    <w:rsid w:val="009564B1"/>
    <w:rsid w:val="0095680B"/>
    <w:rsid w:val="00956919"/>
    <w:rsid w:val="0095698C"/>
    <w:rsid w:val="00956C83"/>
    <w:rsid w:val="009570D1"/>
    <w:rsid w:val="0095780B"/>
    <w:rsid w:val="00957AE4"/>
    <w:rsid w:val="00957C4A"/>
    <w:rsid w:val="00957E31"/>
    <w:rsid w:val="0096027D"/>
    <w:rsid w:val="00960485"/>
    <w:rsid w:val="009605BA"/>
    <w:rsid w:val="009606E7"/>
    <w:rsid w:val="00960765"/>
    <w:rsid w:val="00960819"/>
    <w:rsid w:val="009608BF"/>
    <w:rsid w:val="009608E3"/>
    <w:rsid w:val="0096091F"/>
    <w:rsid w:val="00960B9C"/>
    <w:rsid w:val="00960D65"/>
    <w:rsid w:val="00960DE5"/>
    <w:rsid w:val="00960EB9"/>
    <w:rsid w:val="00960F06"/>
    <w:rsid w:val="00961344"/>
    <w:rsid w:val="009617C2"/>
    <w:rsid w:val="0096188B"/>
    <w:rsid w:val="00961951"/>
    <w:rsid w:val="009620ED"/>
    <w:rsid w:val="0096221A"/>
    <w:rsid w:val="0096265E"/>
    <w:rsid w:val="00962754"/>
    <w:rsid w:val="00962E04"/>
    <w:rsid w:val="00962EF6"/>
    <w:rsid w:val="009630E7"/>
    <w:rsid w:val="00963251"/>
    <w:rsid w:val="009640BE"/>
    <w:rsid w:val="0096424B"/>
    <w:rsid w:val="00964968"/>
    <w:rsid w:val="00964A24"/>
    <w:rsid w:val="00965D45"/>
    <w:rsid w:val="00965EF8"/>
    <w:rsid w:val="00965FFF"/>
    <w:rsid w:val="00966505"/>
    <w:rsid w:val="0096667D"/>
    <w:rsid w:val="00966D5F"/>
    <w:rsid w:val="0096784C"/>
    <w:rsid w:val="00967A41"/>
    <w:rsid w:val="00970BF5"/>
    <w:rsid w:val="00970D6F"/>
    <w:rsid w:val="00970D9C"/>
    <w:rsid w:val="00971178"/>
    <w:rsid w:val="00971254"/>
    <w:rsid w:val="00971754"/>
    <w:rsid w:val="009719AE"/>
    <w:rsid w:val="00971CF3"/>
    <w:rsid w:val="00972257"/>
    <w:rsid w:val="009729D9"/>
    <w:rsid w:val="00972E37"/>
    <w:rsid w:val="00972EA8"/>
    <w:rsid w:val="00973306"/>
    <w:rsid w:val="009734F5"/>
    <w:rsid w:val="009736BB"/>
    <w:rsid w:val="00974465"/>
    <w:rsid w:val="009748DF"/>
    <w:rsid w:val="00974C4E"/>
    <w:rsid w:val="00975240"/>
    <w:rsid w:val="00975B6E"/>
    <w:rsid w:val="00976453"/>
    <w:rsid w:val="00976727"/>
    <w:rsid w:val="009767F7"/>
    <w:rsid w:val="00976AAF"/>
    <w:rsid w:val="00976C54"/>
    <w:rsid w:val="00977027"/>
    <w:rsid w:val="00977164"/>
    <w:rsid w:val="009776FC"/>
    <w:rsid w:val="009777DA"/>
    <w:rsid w:val="009800DD"/>
    <w:rsid w:val="009803D3"/>
    <w:rsid w:val="009806B5"/>
    <w:rsid w:val="00980A78"/>
    <w:rsid w:val="009816A2"/>
    <w:rsid w:val="00981B12"/>
    <w:rsid w:val="00981E87"/>
    <w:rsid w:val="00981E8D"/>
    <w:rsid w:val="00981ED8"/>
    <w:rsid w:val="00982472"/>
    <w:rsid w:val="00982BBB"/>
    <w:rsid w:val="00982EB1"/>
    <w:rsid w:val="00983AF3"/>
    <w:rsid w:val="00983BFE"/>
    <w:rsid w:val="00983C7C"/>
    <w:rsid w:val="0098422C"/>
    <w:rsid w:val="0098429E"/>
    <w:rsid w:val="00984433"/>
    <w:rsid w:val="0098472A"/>
    <w:rsid w:val="0098483F"/>
    <w:rsid w:val="00984D10"/>
    <w:rsid w:val="00984D23"/>
    <w:rsid w:val="00984D54"/>
    <w:rsid w:val="00984E87"/>
    <w:rsid w:val="00984F3D"/>
    <w:rsid w:val="0098513E"/>
    <w:rsid w:val="00985307"/>
    <w:rsid w:val="00985429"/>
    <w:rsid w:val="00985A3A"/>
    <w:rsid w:val="00985D5D"/>
    <w:rsid w:val="00985F51"/>
    <w:rsid w:val="00986282"/>
    <w:rsid w:val="009863A6"/>
    <w:rsid w:val="0098646F"/>
    <w:rsid w:val="009866AA"/>
    <w:rsid w:val="00986989"/>
    <w:rsid w:val="00986E34"/>
    <w:rsid w:val="009872DD"/>
    <w:rsid w:val="009873BA"/>
    <w:rsid w:val="009874D5"/>
    <w:rsid w:val="00990646"/>
    <w:rsid w:val="009907C6"/>
    <w:rsid w:val="00990A25"/>
    <w:rsid w:val="00990DDD"/>
    <w:rsid w:val="009911D5"/>
    <w:rsid w:val="009912F3"/>
    <w:rsid w:val="00991456"/>
    <w:rsid w:val="00991712"/>
    <w:rsid w:val="00991AC0"/>
    <w:rsid w:val="00991E57"/>
    <w:rsid w:val="00992356"/>
    <w:rsid w:val="00992FA1"/>
    <w:rsid w:val="00993031"/>
    <w:rsid w:val="00993152"/>
    <w:rsid w:val="00993445"/>
    <w:rsid w:val="009936EB"/>
    <w:rsid w:val="009939E5"/>
    <w:rsid w:val="00993B2D"/>
    <w:rsid w:val="00993C9E"/>
    <w:rsid w:val="00993CAB"/>
    <w:rsid w:val="00993E1B"/>
    <w:rsid w:val="009942E2"/>
    <w:rsid w:val="00994709"/>
    <w:rsid w:val="00994746"/>
    <w:rsid w:val="009949CA"/>
    <w:rsid w:val="00994D70"/>
    <w:rsid w:val="00995041"/>
    <w:rsid w:val="0099542D"/>
    <w:rsid w:val="0099556A"/>
    <w:rsid w:val="0099557C"/>
    <w:rsid w:val="009956FF"/>
    <w:rsid w:val="0099587B"/>
    <w:rsid w:val="00995C9F"/>
    <w:rsid w:val="00996516"/>
    <w:rsid w:val="00996957"/>
    <w:rsid w:val="00996B27"/>
    <w:rsid w:val="009975D6"/>
    <w:rsid w:val="009976A1"/>
    <w:rsid w:val="00997A61"/>
    <w:rsid w:val="00997C88"/>
    <w:rsid w:val="009A05E9"/>
    <w:rsid w:val="009A08F2"/>
    <w:rsid w:val="009A115A"/>
    <w:rsid w:val="009A1575"/>
    <w:rsid w:val="009A1794"/>
    <w:rsid w:val="009A1B63"/>
    <w:rsid w:val="009A1DBF"/>
    <w:rsid w:val="009A1FA1"/>
    <w:rsid w:val="009A2649"/>
    <w:rsid w:val="009A28D7"/>
    <w:rsid w:val="009A2C32"/>
    <w:rsid w:val="009A2E26"/>
    <w:rsid w:val="009A2E58"/>
    <w:rsid w:val="009A2EE1"/>
    <w:rsid w:val="009A3706"/>
    <w:rsid w:val="009A3F94"/>
    <w:rsid w:val="009A4135"/>
    <w:rsid w:val="009A42CD"/>
    <w:rsid w:val="009A4747"/>
    <w:rsid w:val="009A4CD4"/>
    <w:rsid w:val="009A4D04"/>
    <w:rsid w:val="009A52EA"/>
    <w:rsid w:val="009A5325"/>
    <w:rsid w:val="009A5400"/>
    <w:rsid w:val="009A555B"/>
    <w:rsid w:val="009A5C61"/>
    <w:rsid w:val="009A5E71"/>
    <w:rsid w:val="009A61F5"/>
    <w:rsid w:val="009A64C6"/>
    <w:rsid w:val="009A69AB"/>
    <w:rsid w:val="009A6E89"/>
    <w:rsid w:val="009A735A"/>
    <w:rsid w:val="009A7532"/>
    <w:rsid w:val="009A7560"/>
    <w:rsid w:val="009A77B1"/>
    <w:rsid w:val="009A78DA"/>
    <w:rsid w:val="009A7B23"/>
    <w:rsid w:val="009B0739"/>
    <w:rsid w:val="009B0A0A"/>
    <w:rsid w:val="009B0A6B"/>
    <w:rsid w:val="009B0F22"/>
    <w:rsid w:val="009B13B1"/>
    <w:rsid w:val="009B1527"/>
    <w:rsid w:val="009B1A2E"/>
    <w:rsid w:val="009B1A8F"/>
    <w:rsid w:val="009B2342"/>
    <w:rsid w:val="009B272A"/>
    <w:rsid w:val="009B2768"/>
    <w:rsid w:val="009B2DCC"/>
    <w:rsid w:val="009B3001"/>
    <w:rsid w:val="009B317A"/>
    <w:rsid w:val="009B3EA8"/>
    <w:rsid w:val="009B406F"/>
    <w:rsid w:val="009B415E"/>
    <w:rsid w:val="009B41FC"/>
    <w:rsid w:val="009B4202"/>
    <w:rsid w:val="009B4253"/>
    <w:rsid w:val="009B4405"/>
    <w:rsid w:val="009B44F7"/>
    <w:rsid w:val="009B46A2"/>
    <w:rsid w:val="009B4C88"/>
    <w:rsid w:val="009B54BB"/>
    <w:rsid w:val="009B555F"/>
    <w:rsid w:val="009B56B4"/>
    <w:rsid w:val="009B5926"/>
    <w:rsid w:val="009B5AF3"/>
    <w:rsid w:val="009B5E67"/>
    <w:rsid w:val="009B6276"/>
    <w:rsid w:val="009B6AFF"/>
    <w:rsid w:val="009B6FEB"/>
    <w:rsid w:val="009B7044"/>
    <w:rsid w:val="009B70F3"/>
    <w:rsid w:val="009B726C"/>
    <w:rsid w:val="009B790D"/>
    <w:rsid w:val="009B7A1C"/>
    <w:rsid w:val="009B7A70"/>
    <w:rsid w:val="009C021B"/>
    <w:rsid w:val="009C0428"/>
    <w:rsid w:val="009C05E3"/>
    <w:rsid w:val="009C0A4E"/>
    <w:rsid w:val="009C149C"/>
    <w:rsid w:val="009C173D"/>
    <w:rsid w:val="009C1983"/>
    <w:rsid w:val="009C1D68"/>
    <w:rsid w:val="009C26D9"/>
    <w:rsid w:val="009C2AC7"/>
    <w:rsid w:val="009C36A6"/>
    <w:rsid w:val="009C3A0A"/>
    <w:rsid w:val="009C3C25"/>
    <w:rsid w:val="009C3C26"/>
    <w:rsid w:val="009C3F1B"/>
    <w:rsid w:val="009C3F4B"/>
    <w:rsid w:val="009C434E"/>
    <w:rsid w:val="009C52E3"/>
    <w:rsid w:val="009C56EF"/>
    <w:rsid w:val="009C60B7"/>
    <w:rsid w:val="009C6199"/>
    <w:rsid w:val="009C6229"/>
    <w:rsid w:val="009C683E"/>
    <w:rsid w:val="009C687E"/>
    <w:rsid w:val="009C690D"/>
    <w:rsid w:val="009C71DF"/>
    <w:rsid w:val="009C72F8"/>
    <w:rsid w:val="009C7546"/>
    <w:rsid w:val="009C76C9"/>
    <w:rsid w:val="009C7732"/>
    <w:rsid w:val="009C7AF9"/>
    <w:rsid w:val="009C7BAE"/>
    <w:rsid w:val="009C7D1E"/>
    <w:rsid w:val="009C7F1B"/>
    <w:rsid w:val="009D0062"/>
    <w:rsid w:val="009D0364"/>
    <w:rsid w:val="009D03D3"/>
    <w:rsid w:val="009D040B"/>
    <w:rsid w:val="009D0447"/>
    <w:rsid w:val="009D076F"/>
    <w:rsid w:val="009D08D3"/>
    <w:rsid w:val="009D14CC"/>
    <w:rsid w:val="009D1838"/>
    <w:rsid w:val="009D1B4A"/>
    <w:rsid w:val="009D231B"/>
    <w:rsid w:val="009D24AA"/>
    <w:rsid w:val="009D26C2"/>
    <w:rsid w:val="009D2BDF"/>
    <w:rsid w:val="009D2DF8"/>
    <w:rsid w:val="009D32D1"/>
    <w:rsid w:val="009D3465"/>
    <w:rsid w:val="009D375D"/>
    <w:rsid w:val="009D39DE"/>
    <w:rsid w:val="009D39E3"/>
    <w:rsid w:val="009D4296"/>
    <w:rsid w:val="009D42E2"/>
    <w:rsid w:val="009D436E"/>
    <w:rsid w:val="009D4498"/>
    <w:rsid w:val="009D4636"/>
    <w:rsid w:val="009D4784"/>
    <w:rsid w:val="009D481D"/>
    <w:rsid w:val="009D48A1"/>
    <w:rsid w:val="009D51D8"/>
    <w:rsid w:val="009D51E0"/>
    <w:rsid w:val="009D5260"/>
    <w:rsid w:val="009D547C"/>
    <w:rsid w:val="009D5AC2"/>
    <w:rsid w:val="009D6205"/>
    <w:rsid w:val="009D6FA2"/>
    <w:rsid w:val="009D72D1"/>
    <w:rsid w:val="009D736F"/>
    <w:rsid w:val="009D747D"/>
    <w:rsid w:val="009D74BE"/>
    <w:rsid w:val="009D76E5"/>
    <w:rsid w:val="009D7A88"/>
    <w:rsid w:val="009D7D7F"/>
    <w:rsid w:val="009D7E57"/>
    <w:rsid w:val="009E006C"/>
    <w:rsid w:val="009E014D"/>
    <w:rsid w:val="009E0264"/>
    <w:rsid w:val="009E0A26"/>
    <w:rsid w:val="009E0BEA"/>
    <w:rsid w:val="009E152B"/>
    <w:rsid w:val="009E1E8D"/>
    <w:rsid w:val="009E2381"/>
    <w:rsid w:val="009E2A6E"/>
    <w:rsid w:val="009E2B9F"/>
    <w:rsid w:val="009E2CDA"/>
    <w:rsid w:val="009E3310"/>
    <w:rsid w:val="009E3638"/>
    <w:rsid w:val="009E3932"/>
    <w:rsid w:val="009E3943"/>
    <w:rsid w:val="009E3E72"/>
    <w:rsid w:val="009E3F2D"/>
    <w:rsid w:val="009E3F64"/>
    <w:rsid w:val="009E3FD3"/>
    <w:rsid w:val="009E48C8"/>
    <w:rsid w:val="009E4EFC"/>
    <w:rsid w:val="009E4F57"/>
    <w:rsid w:val="009E5537"/>
    <w:rsid w:val="009E57C0"/>
    <w:rsid w:val="009E580A"/>
    <w:rsid w:val="009E5D93"/>
    <w:rsid w:val="009E5ECA"/>
    <w:rsid w:val="009E6576"/>
    <w:rsid w:val="009E67D3"/>
    <w:rsid w:val="009E6E89"/>
    <w:rsid w:val="009E77C0"/>
    <w:rsid w:val="009E79E6"/>
    <w:rsid w:val="009E7C8C"/>
    <w:rsid w:val="009E7D11"/>
    <w:rsid w:val="009E7E95"/>
    <w:rsid w:val="009E7FC2"/>
    <w:rsid w:val="009F019F"/>
    <w:rsid w:val="009F029E"/>
    <w:rsid w:val="009F06A7"/>
    <w:rsid w:val="009F085A"/>
    <w:rsid w:val="009F0863"/>
    <w:rsid w:val="009F0CD4"/>
    <w:rsid w:val="009F0DE2"/>
    <w:rsid w:val="009F16E8"/>
    <w:rsid w:val="009F1788"/>
    <w:rsid w:val="009F1821"/>
    <w:rsid w:val="009F1ACA"/>
    <w:rsid w:val="009F1FB0"/>
    <w:rsid w:val="009F1FE1"/>
    <w:rsid w:val="009F2AD1"/>
    <w:rsid w:val="009F2EE3"/>
    <w:rsid w:val="009F2FDD"/>
    <w:rsid w:val="009F3486"/>
    <w:rsid w:val="009F3A26"/>
    <w:rsid w:val="009F3C41"/>
    <w:rsid w:val="009F3CDB"/>
    <w:rsid w:val="009F3EB1"/>
    <w:rsid w:val="009F410C"/>
    <w:rsid w:val="009F4643"/>
    <w:rsid w:val="009F4B91"/>
    <w:rsid w:val="009F5693"/>
    <w:rsid w:val="009F583A"/>
    <w:rsid w:val="009F58E6"/>
    <w:rsid w:val="009F5F91"/>
    <w:rsid w:val="009F6775"/>
    <w:rsid w:val="009F680C"/>
    <w:rsid w:val="009F697C"/>
    <w:rsid w:val="009F69BF"/>
    <w:rsid w:val="009F6DAE"/>
    <w:rsid w:val="009F6E62"/>
    <w:rsid w:val="009F6F74"/>
    <w:rsid w:val="009F772A"/>
    <w:rsid w:val="009F78A6"/>
    <w:rsid w:val="009F7A10"/>
    <w:rsid w:val="009F7AE1"/>
    <w:rsid w:val="00A00DF1"/>
    <w:rsid w:val="00A00E88"/>
    <w:rsid w:val="00A01803"/>
    <w:rsid w:val="00A021B5"/>
    <w:rsid w:val="00A023C5"/>
    <w:rsid w:val="00A027E3"/>
    <w:rsid w:val="00A02F7C"/>
    <w:rsid w:val="00A030BE"/>
    <w:rsid w:val="00A03374"/>
    <w:rsid w:val="00A0381F"/>
    <w:rsid w:val="00A03821"/>
    <w:rsid w:val="00A038E7"/>
    <w:rsid w:val="00A03AAE"/>
    <w:rsid w:val="00A03CA0"/>
    <w:rsid w:val="00A0492B"/>
    <w:rsid w:val="00A0518A"/>
    <w:rsid w:val="00A057EC"/>
    <w:rsid w:val="00A05BD6"/>
    <w:rsid w:val="00A05C25"/>
    <w:rsid w:val="00A05DCB"/>
    <w:rsid w:val="00A05E30"/>
    <w:rsid w:val="00A06894"/>
    <w:rsid w:val="00A06D3E"/>
    <w:rsid w:val="00A0750A"/>
    <w:rsid w:val="00A0756F"/>
    <w:rsid w:val="00A07616"/>
    <w:rsid w:val="00A07ADF"/>
    <w:rsid w:val="00A07B37"/>
    <w:rsid w:val="00A07E3C"/>
    <w:rsid w:val="00A100D7"/>
    <w:rsid w:val="00A1052E"/>
    <w:rsid w:val="00A10AE5"/>
    <w:rsid w:val="00A10CA8"/>
    <w:rsid w:val="00A10E53"/>
    <w:rsid w:val="00A11334"/>
    <w:rsid w:val="00A11540"/>
    <w:rsid w:val="00A1183F"/>
    <w:rsid w:val="00A11E04"/>
    <w:rsid w:val="00A129C9"/>
    <w:rsid w:val="00A130B8"/>
    <w:rsid w:val="00A136ED"/>
    <w:rsid w:val="00A13FF2"/>
    <w:rsid w:val="00A147F4"/>
    <w:rsid w:val="00A14B16"/>
    <w:rsid w:val="00A14BD1"/>
    <w:rsid w:val="00A14F4D"/>
    <w:rsid w:val="00A14F58"/>
    <w:rsid w:val="00A151A4"/>
    <w:rsid w:val="00A15532"/>
    <w:rsid w:val="00A15579"/>
    <w:rsid w:val="00A159A0"/>
    <w:rsid w:val="00A15A6B"/>
    <w:rsid w:val="00A15AB1"/>
    <w:rsid w:val="00A1607A"/>
    <w:rsid w:val="00A16208"/>
    <w:rsid w:val="00A16540"/>
    <w:rsid w:val="00A1661B"/>
    <w:rsid w:val="00A16709"/>
    <w:rsid w:val="00A16795"/>
    <w:rsid w:val="00A16C66"/>
    <w:rsid w:val="00A16F88"/>
    <w:rsid w:val="00A17507"/>
    <w:rsid w:val="00A177A9"/>
    <w:rsid w:val="00A17CE0"/>
    <w:rsid w:val="00A17D34"/>
    <w:rsid w:val="00A205C3"/>
    <w:rsid w:val="00A21526"/>
    <w:rsid w:val="00A21955"/>
    <w:rsid w:val="00A21B4C"/>
    <w:rsid w:val="00A22DC4"/>
    <w:rsid w:val="00A22F9E"/>
    <w:rsid w:val="00A23564"/>
    <w:rsid w:val="00A237FE"/>
    <w:rsid w:val="00A24297"/>
    <w:rsid w:val="00A24474"/>
    <w:rsid w:val="00A247F8"/>
    <w:rsid w:val="00A2525F"/>
    <w:rsid w:val="00A254D1"/>
    <w:rsid w:val="00A254F8"/>
    <w:rsid w:val="00A25671"/>
    <w:rsid w:val="00A25775"/>
    <w:rsid w:val="00A258BB"/>
    <w:rsid w:val="00A26B6D"/>
    <w:rsid w:val="00A26CD8"/>
    <w:rsid w:val="00A2725B"/>
    <w:rsid w:val="00A2748D"/>
    <w:rsid w:val="00A274FB"/>
    <w:rsid w:val="00A27647"/>
    <w:rsid w:val="00A27853"/>
    <w:rsid w:val="00A278ED"/>
    <w:rsid w:val="00A2798A"/>
    <w:rsid w:val="00A27BE3"/>
    <w:rsid w:val="00A27DF6"/>
    <w:rsid w:val="00A27F64"/>
    <w:rsid w:val="00A27FCD"/>
    <w:rsid w:val="00A303BB"/>
    <w:rsid w:val="00A30431"/>
    <w:rsid w:val="00A30941"/>
    <w:rsid w:val="00A30BC8"/>
    <w:rsid w:val="00A30F29"/>
    <w:rsid w:val="00A31074"/>
    <w:rsid w:val="00A31254"/>
    <w:rsid w:val="00A318AC"/>
    <w:rsid w:val="00A31959"/>
    <w:rsid w:val="00A31A4A"/>
    <w:rsid w:val="00A31DCB"/>
    <w:rsid w:val="00A3260E"/>
    <w:rsid w:val="00A326FA"/>
    <w:rsid w:val="00A32D57"/>
    <w:rsid w:val="00A3316D"/>
    <w:rsid w:val="00A3384C"/>
    <w:rsid w:val="00A33A10"/>
    <w:rsid w:val="00A33AA3"/>
    <w:rsid w:val="00A33E00"/>
    <w:rsid w:val="00A34239"/>
    <w:rsid w:val="00A344E1"/>
    <w:rsid w:val="00A3481C"/>
    <w:rsid w:val="00A3489E"/>
    <w:rsid w:val="00A34E8E"/>
    <w:rsid w:val="00A35061"/>
    <w:rsid w:val="00A35474"/>
    <w:rsid w:val="00A354A8"/>
    <w:rsid w:val="00A35667"/>
    <w:rsid w:val="00A3568F"/>
    <w:rsid w:val="00A357CB"/>
    <w:rsid w:val="00A35C8D"/>
    <w:rsid w:val="00A35CA8"/>
    <w:rsid w:val="00A35CAA"/>
    <w:rsid w:val="00A3616D"/>
    <w:rsid w:val="00A3623E"/>
    <w:rsid w:val="00A3634B"/>
    <w:rsid w:val="00A36607"/>
    <w:rsid w:val="00A367BE"/>
    <w:rsid w:val="00A36973"/>
    <w:rsid w:val="00A36A2D"/>
    <w:rsid w:val="00A36D53"/>
    <w:rsid w:val="00A36ECD"/>
    <w:rsid w:val="00A37014"/>
    <w:rsid w:val="00A37182"/>
    <w:rsid w:val="00A37D55"/>
    <w:rsid w:val="00A40067"/>
    <w:rsid w:val="00A40348"/>
    <w:rsid w:val="00A40A0E"/>
    <w:rsid w:val="00A40A89"/>
    <w:rsid w:val="00A41523"/>
    <w:rsid w:val="00A41616"/>
    <w:rsid w:val="00A418BB"/>
    <w:rsid w:val="00A41F55"/>
    <w:rsid w:val="00A423A1"/>
    <w:rsid w:val="00A424C7"/>
    <w:rsid w:val="00A42506"/>
    <w:rsid w:val="00A4301C"/>
    <w:rsid w:val="00A430B3"/>
    <w:rsid w:val="00A43648"/>
    <w:rsid w:val="00A438B6"/>
    <w:rsid w:val="00A43B48"/>
    <w:rsid w:val="00A43BFC"/>
    <w:rsid w:val="00A442C5"/>
    <w:rsid w:val="00A446DC"/>
    <w:rsid w:val="00A44937"/>
    <w:rsid w:val="00A44F89"/>
    <w:rsid w:val="00A453AC"/>
    <w:rsid w:val="00A4547D"/>
    <w:rsid w:val="00A4563D"/>
    <w:rsid w:val="00A456F2"/>
    <w:rsid w:val="00A45968"/>
    <w:rsid w:val="00A45F7A"/>
    <w:rsid w:val="00A460E7"/>
    <w:rsid w:val="00A462EE"/>
    <w:rsid w:val="00A4639B"/>
    <w:rsid w:val="00A4661F"/>
    <w:rsid w:val="00A466BC"/>
    <w:rsid w:val="00A47B72"/>
    <w:rsid w:val="00A47EE5"/>
    <w:rsid w:val="00A505FD"/>
    <w:rsid w:val="00A509FA"/>
    <w:rsid w:val="00A50EAD"/>
    <w:rsid w:val="00A50EC8"/>
    <w:rsid w:val="00A50F09"/>
    <w:rsid w:val="00A512A8"/>
    <w:rsid w:val="00A513E2"/>
    <w:rsid w:val="00A518D9"/>
    <w:rsid w:val="00A51C80"/>
    <w:rsid w:val="00A52001"/>
    <w:rsid w:val="00A52310"/>
    <w:rsid w:val="00A52493"/>
    <w:rsid w:val="00A52543"/>
    <w:rsid w:val="00A52B52"/>
    <w:rsid w:val="00A53081"/>
    <w:rsid w:val="00A53A07"/>
    <w:rsid w:val="00A53CC2"/>
    <w:rsid w:val="00A53D6D"/>
    <w:rsid w:val="00A53D94"/>
    <w:rsid w:val="00A545B0"/>
    <w:rsid w:val="00A5462C"/>
    <w:rsid w:val="00A54BD8"/>
    <w:rsid w:val="00A54DA1"/>
    <w:rsid w:val="00A55448"/>
    <w:rsid w:val="00A5547F"/>
    <w:rsid w:val="00A55576"/>
    <w:rsid w:val="00A556D4"/>
    <w:rsid w:val="00A558C4"/>
    <w:rsid w:val="00A55D75"/>
    <w:rsid w:val="00A55F6D"/>
    <w:rsid w:val="00A56689"/>
    <w:rsid w:val="00A56DEF"/>
    <w:rsid w:val="00A578AB"/>
    <w:rsid w:val="00A57A1C"/>
    <w:rsid w:val="00A57A43"/>
    <w:rsid w:val="00A57DEC"/>
    <w:rsid w:val="00A601C2"/>
    <w:rsid w:val="00A60531"/>
    <w:rsid w:val="00A60C07"/>
    <w:rsid w:val="00A612D8"/>
    <w:rsid w:val="00A612F4"/>
    <w:rsid w:val="00A61471"/>
    <w:rsid w:val="00A615C3"/>
    <w:rsid w:val="00A61825"/>
    <w:rsid w:val="00A6238A"/>
    <w:rsid w:val="00A6264A"/>
    <w:rsid w:val="00A62F7F"/>
    <w:rsid w:val="00A6365F"/>
    <w:rsid w:val="00A63CC5"/>
    <w:rsid w:val="00A64F8F"/>
    <w:rsid w:val="00A658D0"/>
    <w:rsid w:val="00A65955"/>
    <w:rsid w:val="00A65DEA"/>
    <w:rsid w:val="00A65E8C"/>
    <w:rsid w:val="00A66509"/>
    <w:rsid w:val="00A665AB"/>
    <w:rsid w:val="00A668A2"/>
    <w:rsid w:val="00A66992"/>
    <w:rsid w:val="00A675FA"/>
    <w:rsid w:val="00A70185"/>
    <w:rsid w:val="00A701DA"/>
    <w:rsid w:val="00A7037C"/>
    <w:rsid w:val="00A705ED"/>
    <w:rsid w:val="00A70734"/>
    <w:rsid w:val="00A707A3"/>
    <w:rsid w:val="00A70B76"/>
    <w:rsid w:val="00A70CCF"/>
    <w:rsid w:val="00A70D96"/>
    <w:rsid w:val="00A70F1D"/>
    <w:rsid w:val="00A71454"/>
    <w:rsid w:val="00A714D3"/>
    <w:rsid w:val="00A7165A"/>
    <w:rsid w:val="00A716D6"/>
    <w:rsid w:val="00A71B8A"/>
    <w:rsid w:val="00A71C29"/>
    <w:rsid w:val="00A71DCA"/>
    <w:rsid w:val="00A7274B"/>
    <w:rsid w:val="00A73428"/>
    <w:rsid w:val="00A7367F"/>
    <w:rsid w:val="00A73A3D"/>
    <w:rsid w:val="00A73DB1"/>
    <w:rsid w:val="00A743C2"/>
    <w:rsid w:val="00A74708"/>
    <w:rsid w:val="00A747A0"/>
    <w:rsid w:val="00A74999"/>
    <w:rsid w:val="00A74BBD"/>
    <w:rsid w:val="00A7586E"/>
    <w:rsid w:val="00A75C95"/>
    <w:rsid w:val="00A76905"/>
    <w:rsid w:val="00A76ABC"/>
    <w:rsid w:val="00A76DB5"/>
    <w:rsid w:val="00A76E68"/>
    <w:rsid w:val="00A770CA"/>
    <w:rsid w:val="00A770F7"/>
    <w:rsid w:val="00A775D1"/>
    <w:rsid w:val="00A7760D"/>
    <w:rsid w:val="00A7787D"/>
    <w:rsid w:val="00A77B22"/>
    <w:rsid w:val="00A8069E"/>
    <w:rsid w:val="00A80CC7"/>
    <w:rsid w:val="00A81204"/>
    <w:rsid w:val="00A81529"/>
    <w:rsid w:val="00A81552"/>
    <w:rsid w:val="00A81635"/>
    <w:rsid w:val="00A8180E"/>
    <w:rsid w:val="00A81A2A"/>
    <w:rsid w:val="00A820A5"/>
    <w:rsid w:val="00A820FC"/>
    <w:rsid w:val="00A8212E"/>
    <w:rsid w:val="00A8221B"/>
    <w:rsid w:val="00A8300D"/>
    <w:rsid w:val="00A832F0"/>
    <w:rsid w:val="00A8355C"/>
    <w:rsid w:val="00A83E7B"/>
    <w:rsid w:val="00A84028"/>
    <w:rsid w:val="00A84309"/>
    <w:rsid w:val="00A847B4"/>
    <w:rsid w:val="00A84C24"/>
    <w:rsid w:val="00A8513F"/>
    <w:rsid w:val="00A8520E"/>
    <w:rsid w:val="00A85213"/>
    <w:rsid w:val="00A85436"/>
    <w:rsid w:val="00A856DE"/>
    <w:rsid w:val="00A857C9"/>
    <w:rsid w:val="00A85808"/>
    <w:rsid w:val="00A859D7"/>
    <w:rsid w:val="00A85ED0"/>
    <w:rsid w:val="00A86032"/>
    <w:rsid w:val="00A86037"/>
    <w:rsid w:val="00A86981"/>
    <w:rsid w:val="00A86C38"/>
    <w:rsid w:val="00A86CCF"/>
    <w:rsid w:val="00A873A4"/>
    <w:rsid w:val="00A8789E"/>
    <w:rsid w:val="00A87F16"/>
    <w:rsid w:val="00A87F3B"/>
    <w:rsid w:val="00A905F9"/>
    <w:rsid w:val="00A90635"/>
    <w:rsid w:val="00A9110A"/>
    <w:rsid w:val="00A91376"/>
    <w:rsid w:val="00A9147F"/>
    <w:rsid w:val="00A916F7"/>
    <w:rsid w:val="00A91E12"/>
    <w:rsid w:val="00A91E28"/>
    <w:rsid w:val="00A92C5D"/>
    <w:rsid w:val="00A92D1F"/>
    <w:rsid w:val="00A92F14"/>
    <w:rsid w:val="00A92F86"/>
    <w:rsid w:val="00A93829"/>
    <w:rsid w:val="00A93955"/>
    <w:rsid w:val="00A9412D"/>
    <w:rsid w:val="00A94625"/>
    <w:rsid w:val="00A94C83"/>
    <w:rsid w:val="00A94D33"/>
    <w:rsid w:val="00A95621"/>
    <w:rsid w:val="00A95977"/>
    <w:rsid w:val="00A95DD8"/>
    <w:rsid w:val="00A95E8A"/>
    <w:rsid w:val="00A96171"/>
    <w:rsid w:val="00A962CA"/>
    <w:rsid w:val="00A96727"/>
    <w:rsid w:val="00A969F6"/>
    <w:rsid w:val="00A96C47"/>
    <w:rsid w:val="00A96F07"/>
    <w:rsid w:val="00A974B5"/>
    <w:rsid w:val="00A97D3A"/>
    <w:rsid w:val="00AA0173"/>
    <w:rsid w:val="00AA0D79"/>
    <w:rsid w:val="00AA114B"/>
    <w:rsid w:val="00AA1648"/>
    <w:rsid w:val="00AA181C"/>
    <w:rsid w:val="00AA1A74"/>
    <w:rsid w:val="00AA1AE7"/>
    <w:rsid w:val="00AA1EA7"/>
    <w:rsid w:val="00AA226C"/>
    <w:rsid w:val="00AA246E"/>
    <w:rsid w:val="00AA24BC"/>
    <w:rsid w:val="00AA2672"/>
    <w:rsid w:val="00AA279B"/>
    <w:rsid w:val="00AA354E"/>
    <w:rsid w:val="00AA39EC"/>
    <w:rsid w:val="00AA3BA3"/>
    <w:rsid w:val="00AA3C09"/>
    <w:rsid w:val="00AA3E50"/>
    <w:rsid w:val="00AA3FF3"/>
    <w:rsid w:val="00AA42D9"/>
    <w:rsid w:val="00AA4EA8"/>
    <w:rsid w:val="00AA5341"/>
    <w:rsid w:val="00AA5A6A"/>
    <w:rsid w:val="00AA5A7D"/>
    <w:rsid w:val="00AA621E"/>
    <w:rsid w:val="00AA64E6"/>
    <w:rsid w:val="00AA65A4"/>
    <w:rsid w:val="00AA663C"/>
    <w:rsid w:val="00AA666D"/>
    <w:rsid w:val="00AA6C71"/>
    <w:rsid w:val="00AA6F05"/>
    <w:rsid w:val="00AA7714"/>
    <w:rsid w:val="00AA797C"/>
    <w:rsid w:val="00AB0051"/>
    <w:rsid w:val="00AB09D2"/>
    <w:rsid w:val="00AB11A8"/>
    <w:rsid w:val="00AB1974"/>
    <w:rsid w:val="00AB1CF4"/>
    <w:rsid w:val="00AB2314"/>
    <w:rsid w:val="00AB2F93"/>
    <w:rsid w:val="00AB319C"/>
    <w:rsid w:val="00AB3F20"/>
    <w:rsid w:val="00AB4270"/>
    <w:rsid w:val="00AB4CA2"/>
    <w:rsid w:val="00AB4EF9"/>
    <w:rsid w:val="00AB508F"/>
    <w:rsid w:val="00AB52D5"/>
    <w:rsid w:val="00AB5B48"/>
    <w:rsid w:val="00AB5F36"/>
    <w:rsid w:val="00AB5F64"/>
    <w:rsid w:val="00AB6099"/>
    <w:rsid w:val="00AB6114"/>
    <w:rsid w:val="00AB6152"/>
    <w:rsid w:val="00AB6341"/>
    <w:rsid w:val="00AB693F"/>
    <w:rsid w:val="00AB7597"/>
    <w:rsid w:val="00AB7C0E"/>
    <w:rsid w:val="00AB7D1F"/>
    <w:rsid w:val="00AB7D2F"/>
    <w:rsid w:val="00AB7D50"/>
    <w:rsid w:val="00AB7DDE"/>
    <w:rsid w:val="00AC06E8"/>
    <w:rsid w:val="00AC094A"/>
    <w:rsid w:val="00AC0FB0"/>
    <w:rsid w:val="00AC17AE"/>
    <w:rsid w:val="00AC18BD"/>
    <w:rsid w:val="00AC1ABE"/>
    <w:rsid w:val="00AC1CAF"/>
    <w:rsid w:val="00AC1D9B"/>
    <w:rsid w:val="00AC1E46"/>
    <w:rsid w:val="00AC1F21"/>
    <w:rsid w:val="00AC22E7"/>
    <w:rsid w:val="00AC2615"/>
    <w:rsid w:val="00AC26BB"/>
    <w:rsid w:val="00AC2A40"/>
    <w:rsid w:val="00AC2D1B"/>
    <w:rsid w:val="00AC2E2D"/>
    <w:rsid w:val="00AC3718"/>
    <w:rsid w:val="00AC397A"/>
    <w:rsid w:val="00AC40CD"/>
    <w:rsid w:val="00AC4427"/>
    <w:rsid w:val="00AC47AD"/>
    <w:rsid w:val="00AC48D1"/>
    <w:rsid w:val="00AC492C"/>
    <w:rsid w:val="00AC5264"/>
    <w:rsid w:val="00AC64B3"/>
    <w:rsid w:val="00AC661C"/>
    <w:rsid w:val="00AC7106"/>
    <w:rsid w:val="00AC72E9"/>
    <w:rsid w:val="00AC739E"/>
    <w:rsid w:val="00AC7834"/>
    <w:rsid w:val="00AC7FFD"/>
    <w:rsid w:val="00AD05E8"/>
    <w:rsid w:val="00AD07BB"/>
    <w:rsid w:val="00AD083A"/>
    <w:rsid w:val="00AD09EC"/>
    <w:rsid w:val="00AD0E1E"/>
    <w:rsid w:val="00AD101F"/>
    <w:rsid w:val="00AD11A6"/>
    <w:rsid w:val="00AD11FE"/>
    <w:rsid w:val="00AD1590"/>
    <w:rsid w:val="00AD182F"/>
    <w:rsid w:val="00AD1C22"/>
    <w:rsid w:val="00AD1E2F"/>
    <w:rsid w:val="00AD203F"/>
    <w:rsid w:val="00AD22F4"/>
    <w:rsid w:val="00AD2327"/>
    <w:rsid w:val="00AD2997"/>
    <w:rsid w:val="00AD2A8D"/>
    <w:rsid w:val="00AD2B52"/>
    <w:rsid w:val="00AD33AF"/>
    <w:rsid w:val="00AD3965"/>
    <w:rsid w:val="00AD3976"/>
    <w:rsid w:val="00AD4560"/>
    <w:rsid w:val="00AD4B61"/>
    <w:rsid w:val="00AD4CE5"/>
    <w:rsid w:val="00AD4E32"/>
    <w:rsid w:val="00AD4F91"/>
    <w:rsid w:val="00AD50E8"/>
    <w:rsid w:val="00AD513C"/>
    <w:rsid w:val="00AD58A8"/>
    <w:rsid w:val="00AD5A04"/>
    <w:rsid w:val="00AD5F3A"/>
    <w:rsid w:val="00AD5F69"/>
    <w:rsid w:val="00AD620E"/>
    <w:rsid w:val="00AD6945"/>
    <w:rsid w:val="00AD73C3"/>
    <w:rsid w:val="00AD7441"/>
    <w:rsid w:val="00AD7723"/>
    <w:rsid w:val="00AD7D2B"/>
    <w:rsid w:val="00AD7F1A"/>
    <w:rsid w:val="00AD7F8A"/>
    <w:rsid w:val="00AE060A"/>
    <w:rsid w:val="00AE0CDA"/>
    <w:rsid w:val="00AE0DB0"/>
    <w:rsid w:val="00AE1193"/>
    <w:rsid w:val="00AE1255"/>
    <w:rsid w:val="00AE1B79"/>
    <w:rsid w:val="00AE217F"/>
    <w:rsid w:val="00AE2546"/>
    <w:rsid w:val="00AE26BD"/>
    <w:rsid w:val="00AE2DCB"/>
    <w:rsid w:val="00AE324E"/>
    <w:rsid w:val="00AE36AF"/>
    <w:rsid w:val="00AE3ACF"/>
    <w:rsid w:val="00AE3CC4"/>
    <w:rsid w:val="00AE4033"/>
    <w:rsid w:val="00AE4254"/>
    <w:rsid w:val="00AE49FC"/>
    <w:rsid w:val="00AE4F36"/>
    <w:rsid w:val="00AE50DE"/>
    <w:rsid w:val="00AE51A2"/>
    <w:rsid w:val="00AE528A"/>
    <w:rsid w:val="00AE5C18"/>
    <w:rsid w:val="00AE5E20"/>
    <w:rsid w:val="00AE5F58"/>
    <w:rsid w:val="00AE6B16"/>
    <w:rsid w:val="00AE729E"/>
    <w:rsid w:val="00AE7302"/>
    <w:rsid w:val="00AE7A3B"/>
    <w:rsid w:val="00AE7E70"/>
    <w:rsid w:val="00AF061F"/>
    <w:rsid w:val="00AF098E"/>
    <w:rsid w:val="00AF0C96"/>
    <w:rsid w:val="00AF1069"/>
    <w:rsid w:val="00AF10F4"/>
    <w:rsid w:val="00AF18A4"/>
    <w:rsid w:val="00AF1966"/>
    <w:rsid w:val="00AF2049"/>
    <w:rsid w:val="00AF24AB"/>
    <w:rsid w:val="00AF28DA"/>
    <w:rsid w:val="00AF29EC"/>
    <w:rsid w:val="00AF2D92"/>
    <w:rsid w:val="00AF2E20"/>
    <w:rsid w:val="00AF3103"/>
    <w:rsid w:val="00AF3AE9"/>
    <w:rsid w:val="00AF3E61"/>
    <w:rsid w:val="00AF49B5"/>
    <w:rsid w:val="00AF4E57"/>
    <w:rsid w:val="00AF50F4"/>
    <w:rsid w:val="00AF52A9"/>
    <w:rsid w:val="00AF536C"/>
    <w:rsid w:val="00AF57CF"/>
    <w:rsid w:val="00AF5D9D"/>
    <w:rsid w:val="00AF5F9E"/>
    <w:rsid w:val="00AF638C"/>
    <w:rsid w:val="00AF688C"/>
    <w:rsid w:val="00AF6AE0"/>
    <w:rsid w:val="00AF6BC0"/>
    <w:rsid w:val="00AF6CE2"/>
    <w:rsid w:val="00AF719D"/>
    <w:rsid w:val="00AF754B"/>
    <w:rsid w:val="00AF7838"/>
    <w:rsid w:val="00AF794A"/>
    <w:rsid w:val="00AF7A0A"/>
    <w:rsid w:val="00AF7A2B"/>
    <w:rsid w:val="00AF7B20"/>
    <w:rsid w:val="00AF7C0B"/>
    <w:rsid w:val="00AF7DE9"/>
    <w:rsid w:val="00B00578"/>
    <w:rsid w:val="00B005D7"/>
    <w:rsid w:val="00B00B78"/>
    <w:rsid w:val="00B00BD2"/>
    <w:rsid w:val="00B00C48"/>
    <w:rsid w:val="00B0110B"/>
    <w:rsid w:val="00B01315"/>
    <w:rsid w:val="00B01600"/>
    <w:rsid w:val="00B01707"/>
    <w:rsid w:val="00B01A4F"/>
    <w:rsid w:val="00B01A79"/>
    <w:rsid w:val="00B01E3F"/>
    <w:rsid w:val="00B01ED0"/>
    <w:rsid w:val="00B02722"/>
    <w:rsid w:val="00B028A9"/>
    <w:rsid w:val="00B02C58"/>
    <w:rsid w:val="00B03463"/>
    <w:rsid w:val="00B035E5"/>
    <w:rsid w:val="00B03FC8"/>
    <w:rsid w:val="00B04604"/>
    <w:rsid w:val="00B0462F"/>
    <w:rsid w:val="00B049AF"/>
    <w:rsid w:val="00B04A48"/>
    <w:rsid w:val="00B04AD9"/>
    <w:rsid w:val="00B04CC0"/>
    <w:rsid w:val="00B05575"/>
    <w:rsid w:val="00B05854"/>
    <w:rsid w:val="00B05F0B"/>
    <w:rsid w:val="00B05F20"/>
    <w:rsid w:val="00B05F53"/>
    <w:rsid w:val="00B05F89"/>
    <w:rsid w:val="00B0609C"/>
    <w:rsid w:val="00B0626C"/>
    <w:rsid w:val="00B064E9"/>
    <w:rsid w:val="00B0683B"/>
    <w:rsid w:val="00B06A70"/>
    <w:rsid w:val="00B07023"/>
    <w:rsid w:val="00B07B68"/>
    <w:rsid w:val="00B07E00"/>
    <w:rsid w:val="00B10740"/>
    <w:rsid w:val="00B10D84"/>
    <w:rsid w:val="00B10FA0"/>
    <w:rsid w:val="00B10FE6"/>
    <w:rsid w:val="00B1101F"/>
    <w:rsid w:val="00B11261"/>
    <w:rsid w:val="00B116B4"/>
    <w:rsid w:val="00B119BB"/>
    <w:rsid w:val="00B1203B"/>
    <w:rsid w:val="00B12121"/>
    <w:rsid w:val="00B131BE"/>
    <w:rsid w:val="00B1396F"/>
    <w:rsid w:val="00B13B67"/>
    <w:rsid w:val="00B13DF7"/>
    <w:rsid w:val="00B13E19"/>
    <w:rsid w:val="00B1436E"/>
    <w:rsid w:val="00B14FBE"/>
    <w:rsid w:val="00B15741"/>
    <w:rsid w:val="00B15954"/>
    <w:rsid w:val="00B160C6"/>
    <w:rsid w:val="00B16577"/>
    <w:rsid w:val="00B16F18"/>
    <w:rsid w:val="00B17634"/>
    <w:rsid w:val="00B17997"/>
    <w:rsid w:val="00B17D36"/>
    <w:rsid w:val="00B20286"/>
    <w:rsid w:val="00B2042A"/>
    <w:rsid w:val="00B20EA0"/>
    <w:rsid w:val="00B213BD"/>
    <w:rsid w:val="00B222B4"/>
    <w:rsid w:val="00B22411"/>
    <w:rsid w:val="00B22BF1"/>
    <w:rsid w:val="00B230FE"/>
    <w:rsid w:val="00B23270"/>
    <w:rsid w:val="00B23E9B"/>
    <w:rsid w:val="00B2464D"/>
    <w:rsid w:val="00B249B1"/>
    <w:rsid w:val="00B24C86"/>
    <w:rsid w:val="00B24E9E"/>
    <w:rsid w:val="00B24F7E"/>
    <w:rsid w:val="00B25251"/>
    <w:rsid w:val="00B260FF"/>
    <w:rsid w:val="00B26264"/>
    <w:rsid w:val="00B266F7"/>
    <w:rsid w:val="00B26A87"/>
    <w:rsid w:val="00B26AA2"/>
    <w:rsid w:val="00B26D4F"/>
    <w:rsid w:val="00B270FE"/>
    <w:rsid w:val="00B2736D"/>
    <w:rsid w:val="00B276FB"/>
    <w:rsid w:val="00B27851"/>
    <w:rsid w:val="00B27AC6"/>
    <w:rsid w:val="00B27BA5"/>
    <w:rsid w:val="00B27C05"/>
    <w:rsid w:val="00B27C53"/>
    <w:rsid w:val="00B27EB8"/>
    <w:rsid w:val="00B301B5"/>
    <w:rsid w:val="00B303C4"/>
    <w:rsid w:val="00B3064F"/>
    <w:rsid w:val="00B3066C"/>
    <w:rsid w:val="00B3077F"/>
    <w:rsid w:val="00B30FAF"/>
    <w:rsid w:val="00B31575"/>
    <w:rsid w:val="00B316AC"/>
    <w:rsid w:val="00B317AC"/>
    <w:rsid w:val="00B3188E"/>
    <w:rsid w:val="00B31B1F"/>
    <w:rsid w:val="00B32337"/>
    <w:rsid w:val="00B32690"/>
    <w:rsid w:val="00B327DF"/>
    <w:rsid w:val="00B32ACC"/>
    <w:rsid w:val="00B32B73"/>
    <w:rsid w:val="00B32C99"/>
    <w:rsid w:val="00B33976"/>
    <w:rsid w:val="00B33DC1"/>
    <w:rsid w:val="00B33FD9"/>
    <w:rsid w:val="00B352C3"/>
    <w:rsid w:val="00B356A7"/>
    <w:rsid w:val="00B35F9C"/>
    <w:rsid w:val="00B36190"/>
    <w:rsid w:val="00B36283"/>
    <w:rsid w:val="00B37471"/>
    <w:rsid w:val="00B37757"/>
    <w:rsid w:val="00B377E8"/>
    <w:rsid w:val="00B40284"/>
    <w:rsid w:val="00B403EC"/>
    <w:rsid w:val="00B40839"/>
    <w:rsid w:val="00B41E2F"/>
    <w:rsid w:val="00B423A1"/>
    <w:rsid w:val="00B423F0"/>
    <w:rsid w:val="00B4259D"/>
    <w:rsid w:val="00B425FA"/>
    <w:rsid w:val="00B42654"/>
    <w:rsid w:val="00B42749"/>
    <w:rsid w:val="00B428F9"/>
    <w:rsid w:val="00B42B8F"/>
    <w:rsid w:val="00B42C4C"/>
    <w:rsid w:val="00B42DEB"/>
    <w:rsid w:val="00B430D5"/>
    <w:rsid w:val="00B43235"/>
    <w:rsid w:val="00B432C8"/>
    <w:rsid w:val="00B43B1D"/>
    <w:rsid w:val="00B43DEE"/>
    <w:rsid w:val="00B43ED6"/>
    <w:rsid w:val="00B44044"/>
    <w:rsid w:val="00B4465C"/>
    <w:rsid w:val="00B4488A"/>
    <w:rsid w:val="00B44C92"/>
    <w:rsid w:val="00B44DE7"/>
    <w:rsid w:val="00B450A0"/>
    <w:rsid w:val="00B457B0"/>
    <w:rsid w:val="00B45BE5"/>
    <w:rsid w:val="00B46177"/>
    <w:rsid w:val="00B465F5"/>
    <w:rsid w:val="00B468D6"/>
    <w:rsid w:val="00B46EA6"/>
    <w:rsid w:val="00B46FC1"/>
    <w:rsid w:val="00B47338"/>
    <w:rsid w:val="00B47F02"/>
    <w:rsid w:val="00B5045F"/>
    <w:rsid w:val="00B5062F"/>
    <w:rsid w:val="00B50830"/>
    <w:rsid w:val="00B50FC8"/>
    <w:rsid w:val="00B51855"/>
    <w:rsid w:val="00B51898"/>
    <w:rsid w:val="00B518EC"/>
    <w:rsid w:val="00B51C31"/>
    <w:rsid w:val="00B529E2"/>
    <w:rsid w:val="00B52E21"/>
    <w:rsid w:val="00B53421"/>
    <w:rsid w:val="00B5362B"/>
    <w:rsid w:val="00B5363F"/>
    <w:rsid w:val="00B53652"/>
    <w:rsid w:val="00B53973"/>
    <w:rsid w:val="00B539D1"/>
    <w:rsid w:val="00B53D69"/>
    <w:rsid w:val="00B542A3"/>
    <w:rsid w:val="00B54417"/>
    <w:rsid w:val="00B54E94"/>
    <w:rsid w:val="00B55674"/>
    <w:rsid w:val="00B5571D"/>
    <w:rsid w:val="00B55972"/>
    <w:rsid w:val="00B55CE0"/>
    <w:rsid w:val="00B55FB5"/>
    <w:rsid w:val="00B56158"/>
    <w:rsid w:val="00B56552"/>
    <w:rsid w:val="00B5692C"/>
    <w:rsid w:val="00B56C80"/>
    <w:rsid w:val="00B5723E"/>
    <w:rsid w:val="00B5759D"/>
    <w:rsid w:val="00B57711"/>
    <w:rsid w:val="00B577C9"/>
    <w:rsid w:val="00B57A39"/>
    <w:rsid w:val="00B57D5D"/>
    <w:rsid w:val="00B601BC"/>
    <w:rsid w:val="00B6053A"/>
    <w:rsid w:val="00B60808"/>
    <w:rsid w:val="00B614CB"/>
    <w:rsid w:val="00B6154B"/>
    <w:rsid w:val="00B617A7"/>
    <w:rsid w:val="00B617F3"/>
    <w:rsid w:val="00B61875"/>
    <w:rsid w:val="00B61BEF"/>
    <w:rsid w:val="00B6241B"/>
    <w:rsid w:val="00B6290A"/>
    <w:rsid w:val="00B62F1A"/>
    <w:rsid w:val="00B62F7F"/>
    <w:rsid w:val="00B638A2"/>
    <w:rsid w:val="00B63B01"/>
    <w:rsid w:val="00B64396"/>
    <w:rsid w:val="00B64715"/>
    <w:rsid w:val="00B64951"/>
    <w:rsid w:val="00B6555B"/>
    <w:rsid w:val="00B65587"/>
    <w:rsid w:val="00B65880"/>
    <w:rsid w:val="00B6617D"/>
    <w:rsid w:val="00B66C71"/>
    <w:rsid w:val="00B67162"/>
    <w:rsid w:val="00B67641"/>
    <w:rsid w:val="00B67957"/>
    <w:rsid w:val="00B7020F"/>
    <w:rsid w:val="00B70589"/>
    <w:rsid w:val="00B7093B"/>
    <w:rsid w:val="00B70B45"/>
    <w:rsid w:val="00B71368"/>
    <w:rsid w:val="00B7161E"/>
    <w:rsid w:val="00B71FB1"/>
    <w:rsid w:val="00B722BE"/>
    <w:rsid w:val="00B72B0F"/>
    <w:rsid w:val="00B72FB9"/>
    <w:rsid w:val="00B7376E"/>
    <w:rsid w:val="00B737FE"/>
    <w:rsid w:val="00B739E1"/>
    <w:rsid w:val="00B73B10"/>
    <w:rsid w:val="00B741BC"/>
    <w:rsid w:val="00B741F4"/>
    <w:rsid w:val="00B7430F"/>
    <w:rsid w:val="00B75037"/>
    <w:rsid w:val="00B750DC"/>
    <w:rsid w:val="00B7515C"/>
    <w:rsid w:val="00B75438"/>
    <w:rsid w:val="00B7552B"/>
    <w:rsid w:val="00B7575B"/>
    <w:rsid w:val="00B75951"/>
    <w:rsid w:val="00B75C89"/>
    <w:rsid w:val="00B75D0F"/>
    <w:rsid w:val="00B76223"/>
    <w:rsid w:val="00B76306"/>
    <w:rsid w:val="00B771FC"/>
    <w:rsid w:val="00B77549"/>
    <w:rsid w:val="00B77784"/>
    <w:rsid w:val="00B77D4D"/>
    <w:rsid w:val="00B8116F"/>
    <w:rsid w:val="00B81606"/>
    <w:rsid w:val="00B81C1B"/>
    <w:rsid w:val="00B81E71"/>
    <w:rsid w:val="00B81FC0"/>
    <w:rsid w:val="00B82516"/>
    <w:rsid w:val="00B82830"/>
    <w:rsid w:val="00B82ABA"/>
    <w:rsid w:val="00B82B9D"/>
    <w:rsid w:val="00B82F69"/>
    <w:rsid w:val="00B82F90"/>
    <w:rsid w:val="00B83127"/>
    <w:rsid w:val="00B83207"/>
    <w:rsid w:val="00B836C4"/>
    <w:rsid w:val="00B8388C"/>
    <w:rsid w:val="00B83C9E"/>
    <w:rsid w:val="00B83D14"/>
    <w:rsid w:val="00B848AD"/>
    <w:rsid w:val="00B849E2"/>
    <w:rsid w:val="00B84E4D"/>
    <w:rsid w:val="00B84F1B"/>
    <w:rsid w:val="00B84F6E"/>
    <w:rsid w:val="00B85039"/>
    <w:rsid w:val="00B852B4"/>
    <w:rsid w:val="00B8552E"/>
    <w:rsid w:val="00B85770"/>
    <w:rsid w:val="00B85871"/>
    <w:rsid w:val="00B85930"/>
    <w:rsid w:val="00B85B6F"/>
    <w:rsid w:val="00B85CCD"/>
    <w:rsid w:val="00B85D24"/>
    <w:rsid w:val="00B85F90"/>
    <w:rsid w:val="00B8660B"/>
    <w:rsid w:val="00B86CCB"/>
    <w:rsid w:val="00B86EED"/>
    <w:rsid w:val="00B86FB3"/>
    <w:rsid w:val="00B87629"/>
    <w:rsid w:val="00B878C3"/>
    <w:rsid w:val="00B907A3"/>
    <w:rsid w:val="00B9096E"/>
    <w:rsid w:val="00B90FCA"/>
    <w:rsid w:val="00B9103A"/>
    <w:rsid w:val="00B911CF"/>
    <w:rsid w:val="00B912C6"/>
    <w:rsid w:val="00B91426"/>
    <w:rsid w:val="00B914BC"/>
    <w:rsid w:val="00B917A3"/>
    <w:rsid w:val="00B91977"/>
    <w:rsid w:val="00B91DDF"/>
    <w:rsid w:val="00B92459"/>
    <w:rsid w:val="00B925C5"/>
    <w:rsid w:val="00B92A3C"/>
    <w:rsid w:val="00B92E2F"/>
    <w:rsid w:val="00B92F00"/>
    <w:rsid w:val="00B93519"/>
    <w:rsid w:val="00B938DF"/>
    <w:rsid w:val="00B93AA0"/>
    <w:rsid w:val="00B93C27"/>
    <w:rsid w:val="00B93EED"/>
    <w:rsid w:val="00B9451C"/>
    <w:rsid w:val="00B946D4"/>
    <w:rsid w:val="00B94EBC"/>
    <w:rsid w:val="00B94F04"/>
    <w:rsid w:val="00B955C7"/>
    <w:rsid w:val="00B95E7E"/>
    <w:rsid w:val="00B95F02"/>
    <w:rsid w:val="00B960BF"/>
    <w:rsid w:val="00B97D48"/>
    <w:rsid w:val="00BA031B"/>
    <w:rsid w:val="00BA0769"/>
    <w:rsid w:val="00BA08DD"/>
    <w:rsid w:val="00BA09A9"/>
    <w:rsid w:val="00BA09BB"/>
    <w:rsid w:val="00BA0B98"/>
    <w:rsid w:val="00BA12C8"/>
    <w:rsid w:val="00BA1A6D"/>
    <w:rsid w:val="00BA24A2"/>
    <w:rsid w:val="00BA2BA7"/>
    <w:rsid w:val="00BA2EBE"/>
    <w:rsid w:val="00BA3326"/>
    <w:rsid w:val="00BA3DF1"/>
    <w:rsid w:val="00BA404B"/>
    <w:rsid w:val="00BA4090"/>
    <w:rsid w:val="00BA4505"/>
    <w:rsid w:val="00BA4752"/>
    <w:rsid w:val="00BA4F57"/>
    <w:rsid w:val="00BA54B3"/>
    <w:rsid w:val="00BA6081"/>
    <w:rsid w:val="00BA60CA"/>
    <w:rsid w:val="00BA6152"/>
    <w:rsid w:val="00BA6318"/>
    <w:rsid w:val="00BA69A9"/>
    <w:rsid w:val="00BA6D1D"/>
    <w:rsid w:val="00BA6E85"/>
    <w:rsid w:val="00BA759B"/>
    <w:rsid w:val="00BA7B04"/>
    <w:rsid w:val="00BA7CDA"/>
    <w:rsid w:val="00BB01C3"/>
    <w:rsid w:val="00BB031B"/>
    <w:rsid w:val="00BB0828"/>
    <w:rsid w:val="00BB0DFC"/>
    <w:rsid w:val="00BB0FBA"/>
    <w:rsid w:val="00BB1573"/>
    <w:rsid w:val="00BB1A75"/>
    <w:rsid w:val="00BB1BB7"/>
    <w:rsid w:val="00BB24FD"/>
    <w:rsid w:val="00BB2576"/>
    <w:rsid w:val="00BB29AC"/>
    <w:rsid w:val="00BB34DE"/>
    <w:rsid w:val="00BB391F"/>
    <w:rsid w:val="00BB3FC2"/>
    <w:rsid w:val="00BB4154"/>
    <w:rsid w:val="00BB47BA"/>
    <w:rsid w:val="00BB47C3"/>
    <w:rsid w:val="00BB4928"/>
    <w:rsid w:val="00BB4CF5"/>
    <w:rsid w:val="00BB4EA4"/>
    <w:rsid w:val="00BB5509"/>
    <w:rsid w:val="00BB59EA"/>
    <w:rsid w:val="00BB5B13"/>
    <w:rsid w:val="00BB5B41"/>
    <w:rsid w:val="00BB5BB4"/>
    <w:rsid w:val="00BB609D"/>
    <w:rsid w:val="00BB64C7"/>
    <w:rsid w:val="00BB65B5"/>
    <w:rsid w:val="00BB6734"/>
    <w:rsid w:val="00BB6B62"/>
    <w:rsid w:val="00BB704C"/>
    <w:rsid w:val="00BB77B7"/>
    <w:rsid w:val="00BB7CD8"/>
    <w:rsid w:val="00BB7D8F"/>
    <w:rsid w:val="00BC01F5"/>
    <w:rsid w:val="00BC0E47"/>
    <w:rsid w:val="00BC0EBB"/>
    <w:rsid w:val="00BC1265"/>
    <w:rsid w:val="00BC18A3"/>
    <w:rsid w:val="00BC18A4"/>
    <w:rsid w:val="00BC2259"/>
    <w:rsid w:val="00BC28CB"/>
    <w:rsid w:val="00BC2A29"/>
    <w:rsid w:val="00BC2B2F"/>
    <w:rsid w:val="00BC2F4A"/>
    <w:rsid w:val="00BC3150"/>
    <w:rsid w:val="00BC315C"/>
    <w:rsid w:val="00BC3943"/>
    <w:rsid w:val="00BC3983"/>
    <w:rsid w:val="00BC3B5F"/>
    <w:rsid w:val="00BC4108"/>
    <w:rsid w:val="00BC448A"/>
    <w:rsid w:val="00BC5341"/>
    <w:rsid w:val="00BC53D7"/>
    <w:rsid w:val="00BC5498"/>
    <w:rsid w:val="00BC5708"/>
    <w:rsid w:val="00BC5A05"/>
    <w:rsid w:val="00BC66AF"/>
    <w:rsid w:val="00BC686A"/>
    <w:rsid w:val="00BC6968"/>
    <w:rsid w:val="00BC6CE7"/>
    <w:rsid w:val="00BC72ED"/>
    <w:rsid w:val="00BC747F"/>
    <w:rsid w:val="00BC74BB"/>
    <w:rsid w:val="00BC7A9C"/>
    <w:rsid w:val="00BD01EA"/>
    <w:rsid w:val="00BD02D4"/>
    <w:rsid w:val="00BD06D3"/>
    <w:rsid w:val="00BD0A43"/>
    <w:rsid w:val="00BD0C59"/>
    <w:rsid w:val="00BD0EA7"/>
    <w:rsid w:val="00BD1037"/>
    <w:rsid w:val="00BD128F"/>
    <w:rsid w:val="00BD150A"/>
    <w:rsid w:val="00BD159E"/>
    <w:rsid w:val="00BD17BC"/>
    <w:rsid w:val="00BD18FC"/>
    <w:rsid w:val="00BD19C2"/>
    <w:rsid w:val="00BD1B06"/>
    <w:rsid w:val="00BD24F7"/>
    <w:rsid w:val="00BD2674"/>
    <w:rsid w:val="00BD2A6A"/>
    <w:rsid w:val="00BD3377"/>
    <w:rsid w:val="00BD3B0C"/>
    <w:rsid w:val="00BD4238"/>
    <w:rsid w:val="00BD4B13"/>
    <w:rsid w:val="00BD4D34"/>
    <w:rsid w:val="00BD5089"/>
    <w:rsid w:val="00BD581B"/>
    <w:rsid w:val="00BD67A8"/>
    <w:rsid w:val="00BD69D9"/>
    <w:rsid w:val="00BD6AD2"/>
    <w:rsid w:val="00BD7384"/>
    <w:rsid w:val="00BD7406"/>
    <w:rsid w:val="00BD7502"/>
    <w:rsid w:val="00BD78F0"/>
    <w:rsid w:val="00BD7911"/>
    <w:rsid w:val="00BD796E"/>
    <w:rsid w:val="00BD7A19"/>
    <w:rsid w:val="00BD7EF0"/>
    <w:rsid w:val="00BE0504"/>
    <w:rsid w:val="00BE12B7"/>
    <w:rsid w:val="00BE1511"/>
    <w:rsid w:val="00BE18CC"/>
    <w:rsid w:val="00BE1916"/>
    <w:rsid w:val="00BE1A0E"/>
    <w:rsid w:val="00BE1E9F"/>
    <w:rsid w:val="00BE22C1"/>
    <w:rsid w:val="00BE25A9"/>
    <w:rsid w:val="00BE26AD"/>
    <w:rsid w:val="00BE281C"/>
    <w:rsid w:val="00BE2897"/>
    <w:rsid w:val="00BE2D1F"/>
    <w:rsid w:val="00BE2FD1"/>
    <w:rsid w:val="00BE3228"/>
    <w:rsid w:val="00BE3316"/>
    <w:rsid w:val="00BE332B"/>
    <w:rsid w:val="00BE3ACC"/>
    <w:rsid w:val="00BE3F78"/>
    <w:rsid w:val="00BE4210"/>
    <w:rsid w:val="00BE4235"/>
    <w:rsid w:val="00BE4428"/>
    <w:rsid w:val="00BE4ECB"/>
    <w:rsid w:val="00BE4F34"/>
    <w:rsid w:val="00BE4FD6"/>
    <w:rsid w:val="00BE501C"/>
    <w:rsid w:val="00BE5597"/>
    <w:rsid w:val="00BE61B6"/>
    <w:rsid w:val="00BE7070"/>
    <w:rsid w:val="00BE7272"/>
    <w:rsid w:val="00BE77AC"/>
    <w:rsid w:val="00BE78CB"/>
    <w:rsid w:val="00BE7A2C"/>
    <w:rsid w:val="00BE7F63"/>
    <w:rsid w:val="00BF00DD"/>
    <w:rsid w:val="00BF01F7"/>
    <w:rsid w:val="00BF02F3"/>
    <w:rsid w:val="00BF0BE0"/>
    <w:rsid w:val="00BF0DF8"/>
    <w:rsid w:val="00BF1240"/>
    <w:rsid w:val="00BF139F"/>
    <w:rsid w:val="00BF17B2"/>
    <w:rsid w:val="00BF1B45"/>
    <w:rsid w:val="00BF21E2"/>
    <w:rsid w:val="00BF2761"/>
    <w:rsid w:val="00BF283C"/>
    <w:rsid w:val="00BF352D"/>
    <w:rsid w:val="00BF3AAB"/>
    <w:rsid w:val="00BF3EB2"/>
    <w:rsid w:val="00BF4885"/>
    <w:rsid w:val="00BF4C63"/>
    <w:rsid w:val="00BF53D1"/>
    <w:rsid w:val="00BF5BB5"/>
    <w:rsid w:val="00BF5D9F"/>
    <w:rsid w:val="00BF609E"/>
    <w:rsid w:val="00BF6D97"/>
    <w:rsid w:val="00BF70F1"/>
    <w:rsid w:val="00BF7B23"/>
    <w:rsid w:val="00BF7ED8"/>
    <w:rsid w:val="00C00410"/>
    <w:rsid w:val="00C006AD"/>
    <w:rsid w:val="00C006C3"/>
    <w:rsid w:val="00C009C3"/>
    <w:rsid w:val="00C00DCE"/>
    <w:rsid w:val="00C00DD0"/>
    <w:rsid w:val="00C01080"/>
    <w:rsid w:val="00C011FD"/>
    <w:rsid w:val="00C017E3"/>
    <w:rsid w:val="00C01841"/>
    <w:rsid w:val="00C01A72"/>
    <w:rsid w:val="00C01CBA"/>
    <w:rsid w:val="00C01DF6"/>
    <w:rsid w:val="00C01F7B"/>
    <w:rsid w:val="00C01FD4"/>
    <w:rsid w:val="00C023EE"/>
    <w:rsid w:val="00C0242E"/>
    <w:rsid w:val="00C02476"/>
    <w:rsid w:val="00C024C3"/>
    <w:rsid w:val="00C02A3B"/>
    <w:rsid w:val="00C030A3"/>
    <w:rsid w:val="00C03635"/>
    <w:rsid w:val="00C04B88"/>
    <w:rsid w:val="00C04D5D"/>
    <w:rsid w:val="00C04FA1"/>
    <w:rsid w:val="00C052FB"/>
    <w:rsid w:val="00C054DF"/>
    <w:rsid w:val="00C05554"/>
    <w:rsid w:val="00C06178"/>
    <w:rsid w:val="00C0640D"/>
    <w:rsid w:val="00C065E8"/>
    <w:rsid w:val="00C0664A"/>
    <w:rsid w:val="00C0724F"/>
    <w:rsid w:val="00C0784E"/>
    <w:rsid w:val="00C07D0D"/>
    <w:rsid w:val="00C07F91"/>
    <w:rsid w:val="00C10156"/>
    <w:rsid w:val="00C1039A"/>
    <w:rsid w:val="00C10490"/>
    <w:rsid w:val="00C10603"/>
    <w:rsid w:val="00C109E9"/>
    <w:rsid w:val="00C10D30"/>
    <w:rsid w:val="00C11309"/>
    <w:rsid w:val="00C11488"/>
    <w:rsid w:val="00C11AEE"/>
    <w:rsid w:val="00C121EA"/>
    <w:rsid w:val="00C12377"/>
    <w:rsid w:val="00C125D4"/>
    <w:rsid w:val="00C134FF"/>
    <w:rsid w:val="00C135BB"/>
    <w:rsid w:val="00C13E0E"/>
    <w:rsid w:val="00C14041"/>
    <w:rsid w:val="00C14173"/>
    <w:rsid w:val="00C146C5"/>
    <w:rsid w:val="00C1585D"/>
    <w:rsid w:val="00C15AFA"/>
    <w:rsid w:val="00C15FCA"/>
    <w:rsid w:val="00C1613E"/>
    <w:rsid w:val="00C163BC"/>
    <w:rsid w:val="00C169D3"/>
    <w:rsid w:val="00C16AEC"/>
    <w:rsid w:val="00C16FD7"/>
    <w:rsid w:val="00C1723B"/>
    <w:rsid w:val="00C17531"/>
    <w:rsid w:val="00C17882"/>
    <w:rsid w:val="00C17A45"/>
    <w:rsid w:val="00C17B60"/>
    <w:rsid w:val="00C17DDF"/>
    <w:rsid w:val="00C17FA0"/>
    <w:rsid w:val="00C2015C"/>
    <w:rsid w:val="00C2084E"/>
    <w:rsid w:val="00C20B9F"/>
    <w:rsid w:val="00C20CFC"/>
    <w:rsid w:val="00C20E05"/>
    <w:rsid w:val="00C20F11"/>
    <w:rsid w:val="00C216C0"/>
    <w:rsid w:val="00C2174E"/>
    <w:rsid w:val="00C21D52"/>
    <w:rsid w:val="00C222F8"/>
    <w:rsid w:val="00C22A2C"/>
    <w:rsid w:val="00C22DE2"/>
    <w:rsid w:val="00C22EF8"/>
    <w:rsid w:val="00C23349"/>
    <w:rsid w:val="00C23A5F"/>
    <w:rsid w:val="00C23FB0"/>
    <w:rsid w:val="00C2430D"/>
    <w:rsid w:val="00C243BD"/>
    <w:rsid w:val="00C246B1"/>
    <w:rsid w:val="00C24A30"/>
    <w:rsid w:val="00C24AB1"/>
    <w:rsid w:val="00C24B9C"/>
    <w:rsid w:val="00C24F34"/>
    <w:rsid w:val="00C25354"/>
    <w:rsid w:val="00C256C2"/>
    <w:rsid w:val="00C259F3"/>
    <w:rsid w:val="00C25D32"/>
    <w:rsid w:val="00C25E39"/>
    <w:rsid w:val="00C262B8"/>
    <w:rsid w:val="00C26477"/>
    <w:rsid w:val="00C26B96"/>
    <w:rsid w:val="00C26E44"/>
    <w:rsid w:val="00C2713F"/>
    <w:rsid w:val="00C276AB"/>
    <w:rsid w:val="00C27976"/>
    <w:rsid w:val="00C27A13"/>
    <w:rsid w:val="00C27AEF"/>
    <w:rsid w:val="00C27BED"/>
    <w:rsid w:val="00C27F17"/>
    <w:rsid w:val="00C30358"/>
    <w:rsid w:val="00C30438"/>
    <w:rsid w:val="00C30496"/>
    <w:rsid w:val="00C30AA3"/>
    <w:rsid w:val="00C30B35"/>
    <w:rsid w:val="00C31205"/>
    <w:rsid w:val="00C31322"/>
    <w:rsid w:val="00C316E1"/>
    <w:rsid w:val="00C31B9A"/>
    <w:rsid w:val="00C31E15"/>
    <w:rsid w:val="00C32008"/>
    <w:rsid w:val="00C320CC"/>
    <w:rsid w:val="00C3218B"/>
    <w:rsid w:val="00C32374"/>
    <w:rsid w:val="00C324A8"/>
    <w:rsid w:val="00C32AD1"/>
    <w:rsid w:val="00C32F12"/>
    <w:rsid w:val="00C3331A"/>
    <w:rsid w:val="00C335DC"/>
    <w:rsid w:val="00C336D0"/>
    <w:rsid w:val="00C33F73"/>
    <w:rsid w:val="00C341AD"/>
    <w:rsid w:val="00C3455B"/>
    <w:rsid w:val="00C34F1B"/>
    <w:rsid w:val="00C35462"/>
    <w:rsid w:val="00C35557"/>
    <w:rsid w:val="00C35AAF"/>
    <w:rsid w:val="00C35B34"/>
    <w:rsid w:val="00C35CEB"/>
    <w:rsid w:val="00C35EF0"/>
    <w:rsid w:val="00C35F27"/>
    <w:rsid w:val="00C36224"/>
    <w:rsid w:val="00C365DE"/>
    <w:rsid w:val="00C3663B"/>
    <w:rsid w:val="00C36713"/>
    <w:rsid w:val="00C36AE9"/>
    <w:rsid w:val="00C36C11"/>
    <w:rsid w:val="00C375DD"/>
    <w:rsid w:val="00C377FE"/>
    <w:rsid w:val="00C37954"/>
    <w:rsid w:val="00C37C67"/>
    <w:rsid w:val="00C37CDE"/>
    <w:rsid w:val="00C400DD"/>
    <w:rsid w:val="00C40182"/>
    <w:rsid w:val="00C40670"/>
    <w:rsid w:val="00C40895"/>
    <w:rsid w:val="00C41BA8"/>
    <w:rsid w:val="00C41E6C"/>
    <w:rsid w:val="00C421E8"/>
    <w:rsid w:val="00C428F6"/>
    <w:rsid w:val="00C42A41"/>
    <w:rsid w:val="00C42D67"/>
    <w:rsid w:val="00C42D7C"/>
    <w:rsid w:val="00C42DA3"/>
    <w:rsid w:val="00C42FC5"/>
    <w:rsid w:val="00C4303C"/>
    <w:rsid w:val="00C43238"/>
    <w:rsid w:val="00C43B9B"/>
    <w:rsid w:val="00C43F04"/>
    <w:rsid w:val="00C44074"/>
    <w:rsid w:val="00C442D5"/>
    <w:rsid w:val="00C44312"/>
    <w:rsid w:val="00C4504F"/>
    <w:rsid w:val="00C450E6"/>
    <w:rsid w:val="00C4542C"/>
    <w:rsid w:val="00C4553D"/>
    <w:rsid w:val="00C458FE"/>
    <w:rsid w:val="00C45B57"/>
    <w:rsid w:val="00C45B7C"/>
    <w:rsid w:val="00C45BA0"/>
    <w:rsid w:val="00C45BD3"/>
    <w:rsid w:val="00C464E5"/>
    <w:rsid w:val="00C46860"/>
    <w:rsid w:val="00C46BCB"/>
    <w:rsid w:val="00C46CB7"/>
    <w:rsid w:val="00C46F32"/>
    <w:rsid w:val="00C472F5"/>
    <w:rsid w:val="00C47402"/>
    <w:rsid w:val="00C476D1"/>
    <w:rsid w:val="00C47882"/>
    <w:rsid w:val="00C47B83"/>
    <w:rsid w:val="00C47C15"/>
    <w:rsid w:val="00C47C4B"/>
    <w:rsid w:val="00C47C93"/>
    <w:rsid w:val="00C5017B"/>
    <w:rsid w:val="00C5029A"/>
    <w:rsid w:val="00C50774"/>
    <w:rsid w:val="00C509B1"/>
    <w:rsid w:val="00C50A04"/>
    <w:rsid w:val="00C50BBD"/>
    <w:rsid w:val="00C517D1"/>
    <w:rsid w:val="00C5194B"/>
    <w:rsid w:val="00C51E4E"/>
    <w:rsid w:val="00C52329"/>
    <w:rsid w:val="00C523F1"/>
    <w:rsid w:val="00C52555"/>
    <w:rsid w:val="00C52E78"/>
    <w:rsid w:val="00C5305C"/>
    <w:rsid w:val="00C5317D"/>
    <w:rsid w:val="00C53540"/>
    <w:rsid w:val="00C5363C"/>
    <w:rsid w:val="00C542AB"/>
    <w:rsid w:val="00C54F50"/>
    <w:rsid w:val="00C5523F"/>
    <w:rsid w:val="00C559B8"/>
    <w:rsid w:val="00C55D4B"/>
    <w:rsid w:val="00C55E05"/>
    <w:rsid w:val="00C560C5"/>
    <w:rsid w:val="00C56408"/>
    <w:rsid w:val="00C564E5"/>
    <w:rsid w:val="00C56769"/>
    <w:rsid w:val="00C56946"/>
    <w:rsid w:val="00C56FD2"/>
    <w:rsid w:val="00C57052"/>
    <w:rsid w:val="00C573D4"/>
    <w:rsid w:val="00C57408"/>
    <w:rsid w:val="00C5745E"/>
    <w:rsid w:val="00C57BB1"/>
    <w:rsid w:val="00C57D68"/>
    <w:rsid w:val="00C60195"/>
    <w:rsid w:val="00C6043A"/>
    <w:rsid w:val="00C60E11"/>
    <w:rsid w:val="00C610F6"/>
    <w:rsid w:val="00C61704"/>
    <w:rsid w:val="00C617EF"/>
    <w:rsid w:val="00C61C7B"/>
    <w:rsid w:val="00C61EC2"/>
    <w:rsid w:val="00C62277"/>
    <w:rsid w:val="00C622B9"/>
    <w:rsid w:val="00C629A1"/>
    <w:rsid w:val="00C629C7"/>
    <w:rsid w:val="00C6310C"/>
    <w:rsid w:val="00C6329F"/>
    <w:rsid w:val="00C638B8"/>
    <w:rsid w:val="00C63BA2"/>
    <w:rsid w:val="00C63BC9"/>
    <w:rsid w:val="00C644ED"/>
    <w:rsid w:val="00C64695"/>
    <w:rsid w:val="00C64926"/>
    <w:rsid w:val="00C64F63"/>
    <w:rsid w:val="00C65130"/>
    <w:rsid w:val="00C653E9"/>
    <w:rsid w:val="00C65732"/>
    <w:rsid w:val="00C65B34"/>
    <w:rsid w:val="00C65CD4"/>
    <w:rsid w:val="00C65DBF"/>
    <w:rsid w:val="00C65E4C"/>
    <w:rsid w:val="00C664FE"/>
    <w:rsid w:val="00C669B7"/>
    <w:rsid w:val="00C66E3F"/>
    <w:rsid w:val="00C67162"/>
    <w:rsid w:val="00C67B8E"/>
    <w:rsid w:val="00C67F91"/>
    <w:rsid w:val="00C70418"/>
    <w:rsid w:val="00C706E3"/>
    <w:rsid w:val="00C70AB0"/>
    <w:rsid w:val="00C70AEB"/>
    <w:rsid w:val="00C711BE"/>
    <w:rsid w:val="00C7129C"/>
    <w:rsid w:val="00C71319"/>
    <w:rsid w:val="00C714DA"/>
    <w:rsid w:val="00C71717"/>
    <w:rsid w:val="00C71B10"/>
    <w:rsid w:val="00C71B1E"/>
    <w:rsid w:val="00C71CFB"/>
    <w:rsid w:val="00C72803"/>
    <w:rsid w:val="00C72ED0"/>
    <w:rsid w:val="00C733A1"/>
    <w:rsid w:val="00C73C2F"/>
    <w:rsid w:val="00C73C58"/>
    <w:rsid w:val="00C745B0"/>
    <w:rsid w:val="00C74A18"/>
    <w:rsid w:val="00C74B6E"/>
    <w:rsid w:val="00C74E17"/>
    <w:rsid w:val="00C751EF"/>
    <w:rsid w:val="00C76293"/>
    <w:rsid w:val="00C7689A"/>
    <w:rsid w:val="00C76E19"/>
    <w:rsid w:val="00C77497"/>
    <w:rsid w:val="00C77608"/>
    <w:rsid w:val="00C77D53"/>
    <w:rsid w:val="00C804A7"/>
    <w:rsid w:val="00C80716"/>
    <w:rsid w:val="00C8071D"/>
    <w:rsid w:val="00C8090A"/>
    <w:rsid w:val="00C81737"/>
    <w:rsid w:val="00C818EA"/>
    <w:rsid w:val="00C81E2D"/>
    <w:rsid w:val="00C81FE6"/>
    <w:rsid w:val="00C8221D"/>
    <w:rsid w:val="00C82801"/>
    <w:rsid w:val="00C82B11"/>
    <w:rsid w:val="00C82C9D"/>
    <w:rsid w:val="00C82FAF"/>
    <w:rsid w:val="00C831CD"/>
    <w:rsid w:val="00C8436B"/>
    <w:rsid w:val="00C843A7"/>
    <w:rsid w:val="00C8454E"/>
    <w:rsid w:val="00C848C4"/>
    <w:rsid w:val="00C84BCE"/>
    <w:rsid w:val="00C8529F"/>
    <w:rsid w:val="00C85923"/>
    <w:rsid w:val="00C85F41"/>
    <w:rsid w:val="00C86162"/>
    <w:rsid w:val="00C86177"/>
    <w:rsid w:val="00C86449"/>
    <w:rsid w:val="00C86904"/>
    <w:rsid w:val="00C87217"/>
    <w:rsid w:val="00C87270"/>
    <w:rsid w:val="00C8758A"/>
    <w:rsid w:val="00C8790A"/>
    <w:rsid w:val="00C87A91"/>
    <w:rsid w:val="00C87E04"/>
    <w:rsid w:val="00C90357"/>
    <w:rsid w:val="00C90474"/>
    <w:rsid w:val="00C914E0"/>
    <w:rsid w:val="00C916DB"/>
    <w:rsid w:val="00C91C9A"/>
    <w:rsid w:val="00C91F3B"/>
    <w:rsid w:val="00C9322D"/>
    <w:rsid w:val="00C9349C"/>
    <w:rsid w:val="00C93C78"/>
    <w:rsid w:val="00C94454"/>
    <w:rsid w:val="00C949BC"/>
    <w:rsid w:val="00C95332"/>
    <w:rsid w:val="00C955CB"/>
    <w:rsid w:val="00C95B0D"/>
    <w:rsid w:val="00C95E25"/>
    <w:rsid w:val="00C95F9A"/>
    <w:rsid w:val="00C96539"/>
    <w:rsid w:val="00C96ABE"/>
    <w:rsid w:val="00C96C00"/>
    <w:rsid w:val="00C9701B"/>
    <w:rsid w:val="00C97796"/>
    <w:rsid w:val="00CA0164"/>
    <w:rsid w:val="00CA0764"/>
    <w:rsid w:val="00CA0FF8"/>
    <w:rsid w:val="00CA14E1"/>
    <w:rsid w:val="00CA1505"/>
    <w:rsid w:val="00CA174E"/>
    <w:rsid w:val="00CA1876"/>
    <w:rsid w:val="00CA1896"/>
    <w:rsid w:val="00CA1B32"/>
    <w:rsid w:val="00CA1CB2"/>
    <w:rsid w:val="00CA2332"/>
    <w:rsid w:val="00CA238A"/>
    <w:rsid w:val="00CA23FC"/>
    <w:rsid w:val="00CA26F8"/>
    <w:rsid w:val="00CA2C50"/>
    <w:rsid w:val="00CA35EF"/>
    <w:rsid w:val="00CA3889"/>
    <w:rsid w:val="00CA4348"/>
    <w:rsid w:val="00CA446E"/>
    <w:rsid w:val="00CA452A"/>
    <w:rsid w:val="00CA4603"/>
    <w:rsid w:val="00CA465D"/>
    <w:rsid w:val="00CA4B78"/>
    <w:rsid w:val="00CA4FB5"/>
    <w:rsid w:val="00CA5254"/>
    <w:rsid w:val="00CA56EF"/>
    <w:rsid w:val="00CA5B45"/>
    <w:rsid w:val="00CA616D"/>
    <w:rsid w:val="00CA61DC"/>
    <w:rsid w:val="00CA64F2"/>
    <w:rsid w:val="00CA6614"/>
    <w:rsid w:val="00CA6964"/>
    <w:rsid w:val="00CA6D6F"/>
    <w:rsid w:val="00CA716A"/>
    <w:rsid w:val="00CA7704"/>
    <w:rsid w:val="00CA7855"/>
    <w:rsid w:val="00CB001C"/>
    <w:rsid w:val="00CB02BB"/>
    <w:rsid w:val="00CB0493"/>
    <w:rsid w:val="00CB11CB"/>
    <w:rsid w:val="00CB14E5"/>
    <w:rsid w:val="00CB1951"/>
    <w:rsid w:val="00CB1C0F"/>
    <w:rsid w:val="00CB1D77"/>
    <w:rsid w:val="00CB29A2"/>
    <w:rsid w:val="00CB3073"/>
    <w:rsid w:val="00CB30E7"/>
    <w:rsid w:val="00CB36B7"/>
    <w:rsid w:val="00CB3916"/>
    <w:rsid w:val="00CB3B03"/>
    <w:rsid w:val="00CB3E59"/>
    <w:rsid w:val="00CB45DB"/>
    <w:rsid w:val="00CB4635"/>
    <w:rsid w:val="00CB472D"/>
    <w:rsid w:val="00CB4CF7"/>
    <w:rsid w:val="00CB4F7B"/>
    <w:rsid w:val="00CB5303"/>
    <w:rsid w:val="00CB5307"/>
    <w:rsid w:val="00CB5503"/>
    <w:rsid w:val="00CB55C0"/>
    <w:rsid w:val="00CB5DBA"/>
    <w:rsid w:val="00CB6944"/>
    <w:rsid w:val="00CB70DE"/>
    <w:rsid w:val="00CB7700"/>
    <w:rsid w:val="00CC0781"/>
    <w:rsid w:val="00CC0A23"/>
    <w:rsid w:val="00CC0DF4"/>
    <w:rsid w:val="00CC0F70"/>
    <w:rsid w:val="00CC10F0"/>
    <w:rsid w:val="00CC110B"/>
    <w:rsid w:val="00CC1184"/>
    <w:rsid w:val="00CC1777"/>
    <w:rsid w:val="00CC32B0"/>
    <w:rsid w:val="00CC32C1"/>
    <w:rsid w:val="00CC3767"/>
    <w:rsid w:val="00CC3C41"/>
    <w:rsid w:val="00CC3ECB"/>
    <w:rsid w:val="00CC3ED9"/>
    <w:rsid w:val="00CC4835"/>
    <w:rsid w:val="00CC488D"/>
    <w:rsid w:val="00CC4983"/>
    <w:rsid w:val="00CC4CF0"/>
    <w:rsid w:val="00CC4FD4"/>
    <w:rsid w:val="00CC4FD6"/>
    <w:rsid w:val="00CC502B"/>
    <w:rsid w:val="00CC512E"/>
    <w:rsid w:val="00CC52A3"/>
    <w:rsid w:val="00CC5473"/>
    <w:rsid w:val="00CC55E8"/>
    <w:rsid w:val="00CC57D9"/>
    <w:rsid w:val="00CC7340"/>
    <w:rsid w:val="00CC7E29"/>
    <w:rsid w:val="00CD0799"/>
    <w:rsid w:val="00CD0B8A"/>
    <w:rsid w:val="00CD0EF7"/>
    <w:rsid w:val="00CD1016"/>
    <w:rsid w:val="00CD13F4"/>
    <w:rsid w:val="00CD21DA"/>
    <w:rsid w:val="00CD228F"/>
    <w:rsid w:val="00CD23E4"/>
    <w:rsid w:val="00CD242B"/>
    <w:rsid w:val="00CD2668"/>
    <w:rsid w:val="00CD26C0"/>
    <w:rsid w:val="00CD28CC"/>
    <w:rsid w:val="00CD29D9"/>
    <w:rsid w:val="00CD2A32"/>
    <w:rsid w:val="00CD4270"/>
    <w:rsid w:val="00CD4591"/>
    <w:rsid w:val="00CD4794"/>
    <w:rsid w:val="00CD48F8"/>
    <w:rsid w:val="00CD4A78"/>
    <w:rsid w:val="00CD4B32"/>
    <w:rsid w:val="00CD4B58"/>
    <w:rsid w:val="00CD50A6"/>
    <w:rsid w:val="00CD5189"/>
    <w:rsid w:val="00CD5B50"/>
    <w:rsid w:val="00CD62F4"/>
    <w:rsid w:val="00CD65A9"/>
    <w:rsid w:val="00CD67D2"/>
    <w:rsid w:val="00CD69CA"/>
    <w:rsid w:val="00CD6A10"/>
    <w:rsid w:val="00CD6D70"/>
    <w:rsid w:val="00CD6F37"/>
    <w:rsid w:val="00CD7346"/>
    <w:rsid w:val="00CD7682"/>
    <w:rsid w:val="00CD7698"/>
    <w:rsid w:val="00CD77A1"/>
    <w:rsid w:val="00CD7983"/>
    <w:rsid w:val="00CD7D37"/>
    <w:rsid w:val="00CD7D5C"/>
    <w:rsid w:val="00CE06CB"/>
    <w:rsid w:val="00CE082A"/>
    <w:rsid w:val="00CE0C8B"/>
    <w:rsid w:val="00CE101D"/>
    <w:rsid w:val="00CE1114"/>
    <w:rsid w:val="00CE228A"/>
    <w:rsid w:val="00CE24CA"/>
    <w:rsid w:val="00CE28AF"/>
    <w:rsid w:val="00CE2AB0"/>
    <w:rsid w:val="00CE3999"/>
    <w:rsid w:val="00CE3E0A"/>
    <w:rsid w:val="00CE3FC4"/>
    <w:rsid w:val="00CE40E6"/>
    <w:rsid w:val="00CE4960"/>
    <w:rsid w:val="00CE4F74"/>
    <w:rsid w:val="00CE4F98"/>
    <w:rsid w:val="00CE5D2C"/>
    <w:rsid w:val="00CE60F0"/>
    <w:rsid w:val="00CE6184"/>
    <w:rsid w:val="00CE6B18"/>
    <w:rsid w:val="00CE6C06"/>
    <w:rsid w:val="00CF0293"/>
    <w:rsid w:val="00CF0724"/>
    <w:rsid w:val="00CF09DC"/>
    <w:rsid w:val="00CF0A68"/>
    <w:rsid w:val="00CF0E40"/>
    <w:rsid w:val="00CF1140"/>
    <w:rsid w:val="00CF134F"/>
    <w:rsid w:val="00CF149C"/>
    <w:rsid w:val="00CF1914"/>
    <w:rsid w:val="00CF1F11"/>
    <w:rsid w:val="00CF1FE0"/>
    <w:rsid w:val="00CF2751"/>
    <w:rsid w:val="00CF28BB"/>
    <w:rsid w:val="00CF2F70"/>
    <w:rsid w:val="00CF3619"/>
    <w:rsid w:val="00CF3CCA"/>
    <w:rsid w:val="00CF4447"/>
    <w:rsid w:val="00CF46FB"/>
    <w:rsid w:val="00CF47BF"/>
    <w:rsid w:val="00CF48FC"/>
    <w:rsid w:val="00CF498E"/>
    <w:rsid w:val="00CF5067"/>
    <w:rsid w:val="00CF5826"/>
    <w:rsid w:val="00CF59A2"/>
    <w:rsid w:val="00CF6969"/>
    <w:rsid w:val="00CF6D5F"/>
    <w:rsid w:val="00CF73CF"/>
    <w:rsid w:val="00D008F9"/>
    <w:rsid w:val="00D0092A"/>
    <w:rsid w:val="00D00CD4"/>
    <w:rsid w:val="00D00E30"/>
    <w:rsid w:val="00D00F46"/>
    <w:rsid w:val="00D01653"/>
    <w:rsid w:val="00D01E17"/>
    <w:rsid w:val="00D0222F"/>
    <w:rsid w:val="00D02236"/>
    <w:rsid w:val="00D02280"/>
    <w:rsid w:val="00D0263D"/>
    <w:rsid w:val="00D02682"/>
    <w:rsid w:val="00D02C38"/>
    <w:rsid w:val="00D02D05"/>
    <w:rsid w:val="00D02DF0"/>
    <w:rsid w:val="00D0348C"/>
    <w:rsid w:val="00D03592"/>
    <w:rsid w:val="00D046C0"/>
    <w:rsid w:val="00D046D0"/>
    <w:rsid w:val="00D04BEF"/>
    <w:rsid w:val="00D04FAF"/>
    <w:rsid w:val="00D05543"/>
    <w:rsid w:val="00D055BE"/>
    <w:rsid w:val="00D05849"/>
    <w:rsid w:val="00D05A21"/>
    <w:rsid w:val="00D06215"/>
    <w:rsid w:val="00D06593"/>
    <w:rsid w:val="00D065E6"/>
    <w:rsid w:val="00D06993"/>
    <w:rsid w:val="00D06A49"/>
    <w:rsid w:val="00D06C1A"/>
    <w:rsid w:val="00D06CE7"/>
    <w:rsid w:val="00D06CF5"/>
    <w:rsid w:val="00D06D6D"/>
    <w:rsid w:val="00D07DAE"/>
    <w:rsid w:val="00D102AA"/>
    <w:rsid w:val="00D107CD"/>
    <w:rsid w:val="00D10B11"/>
    <w:rsid w:val="00D10FFA"/>
    <w:rsid w:val="00D11780"/>
    <w:rsid w:val="00D11AED"/>
    <w:rsid w:val="00D11C26"/>
    <w:rsid w:val="00D11CE8"/>
    <w:rsid w:val="00D1206E"/>
    <w:rsid w:val="00D121E9"/>
    <w:rsid w:val="00D122E4"/>
    <w:rsid w:val="00D122E7"/>
    <w:rsid w:val="00D1230B"/>
    <w:rsid w:val="00D128A0"/>
    <w:rsid w:val="00D12A5B"/>
    <w:rsid w:val="00D12C41"/>
    <w:rsid w:val="00D132BD"/>
    <w:rsid w:val="00D1398C"/>
    <w:rsid w:val="00D13A71"/>
    <w:rsid w:val="00D13C76"/>
    <w:rsid w:val="00D13E5B"/>
    <w:rsid w:val="00D14710"/>
    <w:rsid w:val="00D15167"/>
    <w:rsid w:val="00D15A4B"/>
    <w:rsid w:val="00D165DC"/>
    <w:rsid w:val="00D167AE"/>
    <w:rsid w:val="00D16877"/>
    <w:rsid w:val="00D169D8"/>
    <w:rsid w:val="00D169FE"/>
    <w:rsid w:val="00D16E14"/>
    <w:rsid w:val="00D16E60"/>
    <w:rsid w:val="00D1703A"/>
    <w:rsid w:val="00D170C2"/>
    <w:rsid w:val="00D1716A"/>
    <w:rsid w:val="00D17335"/>
    <w:rsid w:val="00D201F9"/>
    <w:rsid w:val="00D20234"/>
    <w:rsid w:val="00D20387"/>
    <w:rsid w:val="00D20396"/>
    <w:rsid w:val="00D20438"/>
    <w:rsid w:val="00D20956"/>
    <w:rsid w:val="00D21989"/>
    <w:rsid w:val="00D22250"/>
    <w:rsid w:val="00D22445"/>
    <w:rsid w:val="00D224B3"/>
    <w:rsid w:val="00D22923"/>
    <w:rsid w:val="00D22C14"/>
    <w:rsid w:val="00D22C43"/>
    <w:rsid w:val="00D22DE0"/>
    <w:rsid w:val="00D22F0D"/>
    <w:rsid w:val="00D23050"/>
    <w:rsid w:val="00D23473"/>
    <w:rsid w:val="00D237F2"/>
    <w:rsid w:val="00D23C43"/>
    <w:rsid w:val="00D2400B"/>
    <w:rsid w:val="00D24140"/>
    <w:rsid w:val="00D245BA"/>
    <w:rsid w:val="00D2490F"/>
    <w:rsid w:val="00D24960"/>
    <w:rsid w:val="00D24F76"/>
    <w:rsid w:val="00D25297"/>
    <w:rsid w:val="00D25346"/>
    <w:rsid w:val="00D25598"/>
    <w:rsid w:val="00D257DF"/>
    <w:rsid w:val="00D258F7"/>
    <w:rsid w:val="00D25A8E"/>
    <w:rsid w:val="00D25F73"/>
    <w:rsid w:val="00D26884"/>
    <w:rsid w:val="00D26D0F"/>
    <w:rsid w:val="00D27313"/>
    <w:rsid w:val="00D27329"/>
    <w:rsid w:val="00D27575"/>
    <w:rsid w:val="00D27668"/>
    <w:rsid w:val="00D2792C"/>
    <w:rsid w:val="00D2795F"/>
    <w:rsid w:val="00D27D26"/>
    <w:rsid w:val="00D27F24"/>
    <w:rsid w:val="00D30888"/>
    <w:rsid w:val="00D30AB5"/>
    <w:rsid w:val="00D30AE4"/>
    <w:rsid w:val="00D31453"/>
    <w:rsid w:val="00D31631"/>
    <w:rsid w:val="00D3229F"/>
    <w:rsid w:val="00D32AE3"/>
    <w:rsid w:val="00D3304C"/>
    <w:rsid w:val="00D3311A"/>
    <w:rsid w:val="00D336D2"/>
    <w:rsid w:val="00D33732"/>
    <w:rsid w:val="00D3391C"/>
    <w:rsid w:val="00D33D7D"/>
    <w:rsid w:val="00D33EB4"/>
    <w:rsid w:val="00D33FAD"/>
    <w:rsid w:val="00D342C7"/>
    <w:rsid w:val="00D34903"/>
    <w:rsid w:val="00D34AF2"/>
    <w:rsid w:val="00D359CA"/>
    <w:rsid w:val="00D35A37"/>
    <w:rsid w:val="00D35ABA"/>
    <w:rsid w:val="00D35DBE"/>
    <w:rsid w:val="00D361AA"/>
    <w:rsid w:val="00D361C0"/>
    <w:rsid w:val="00D36385"/>
    <w:rsid w:val="00D3645C"/>
    <w:rsid w:val="00D364D6"/>
    <w:rsid w:val="00D36931"/>
    <w:rsid w:val="00D3698E"/>
    <w:rsid w:val="00D36F80"/>
    <w:rsid w:val="00D36FE0"/>
    <w:rsid w:val="00D3712E"/>
    <w:rsid w:val="00D3795D"/>
    <w:rsid w:val="00D3797B"/>
    <w:rsid w:val="00D37FFB"/>
    <w:rsid w:val="00D40353"/>
    <w:rsid w:val="00D406A5"/>
    <w:rsid w:val="00D40C7A"/>
    <w:rsid w:val="00D40F92"/>
    <w:rsid w:val="00D410B7"/>
    <w:rsid w:val="00D419D7"/>
    <w:rsid w:val="00D41DD6"/>
    <w:rsid w:val="00D42143"/>
    <w:rsid w:val="00D424A4"/>
    <w:rsid w:val="00D424B8"/>
    <w:rsid w:val="00D4268D"/>
    <w:rsid w:val="00D42937"/>
    <w:rsid w:val="00D42B6D"/>
    <w:rsid w:val="00D437B9"/>
    <w:rsid w:val="00D44128"/>
    <w:rsid w:val="00D4424C"/>
    <w:rsid w:val="00D443D2"/>
    <w:rsid w:val="00D44584"/>
    <w:rsid w:val="00D447F5"/>
    <w:rsid w:val="00D44C8D"/>
    <w:rsid w:val="00D45E35"/>
    <w:rsid w:val="00D45E70"/>
    <w:rsid w:val="00D45F9F"/>
    <w:rsid w:val="00D4671F"/>
    <w:rsid w:val="00D46D6C"/>
    <w:rsid w:val="00D470EE"/>
    <w:rsid w:val="00D471C6"/>
    <w:rsid w:val="00D4724E"/>
    <w:rsid w:val="00D472A9"/>
    <w:rsid w:val="00D4779D"/>
    <w:rsid w:val="00D47A9A"/>
    <w:rsid w:val="00D501A2"/>
    <w:rsid w:val="00D50314"/>
    <w:rsid w:val="00D50D28"/>
    <w:rsid w:val="00D51091"/>
    <w:rsid w:val="00D51215"/>
    <w:rsid w:val="00D513AA"/>
    <w:rsid w:val="00D516BC"/>
    <w:rsid w:val="00D5177C"/>
    <w:rsid w:val="00D518BF"/>
    <w:rsid w:val="00D51BB2"/>
    <w:rsid w:val="00D521A8"/>
    <w:rsid w:val="00D5234F"/>
    <w:rsid w:val="00D523F9"/>
    <w:rsid w:val="00D52508"/>
    <w:rsid w:val="00D5271B"/>
    <w:rsid w:val="00D53331"/>
    <w:rsid w:val="00D533DA"/>
    <w:rsid w:val="00D535A1"/>
    <w:rsid w:val="00D5407F"/>
    <w:rsid w:val="00D540CC"/>
    <w:rsid w:val="00D542D1"/>
    <w:rsid w:val="00D54670"/>
    <w:rsid w:val="00D54B89"/>
    <w:rsid w:val="00D54C69"/>
    <w:rsid w:val="00D5515D"/>
    <w:rsid w:val="00D55187"/>
    <w:rsid w:val="00D551E5"/>
    <w:rsid w:val="00D55457"/>
    <w:rsid w:val="00D554B0"/>
    <w:rsid w:val="00D55508"/>
    <w:rsid w:val="00D564DF"/>
    <w:rsid w:val="00D56981"/>
    <w:rsid w:val="00D60967"/>
    <w:rsid w:val="00D60FA8"/>
    <w:rsid w:val="00D6173F"/>
    <w:rsid w:val="00D61E10"/>
    <w:rsid w:val="00D62185"/>
    <w:rsid w:val="00D62462"/>
    <w:rsid w:val="00D62BDB"/>
    <w:rsid w:val="00D62E8F"/>
    <w:rsid w:val="00D62F1D"/>
    <w:rsid w:val="00D62FF0"/>
    <w:rsid w:val="00D6314E"/>
    <w:rsid w:val="00D632A1"/>
    <w:rsid w:val="00D63430"/>
    <w:rsid w:val="00D63D81"/>
    <w:rsid w:val="00D63DA7"/>
    <w:rsid w:val="00D63E1C"/>
    <w:rsid w:val="00D64235"/>
    <w:rsid w:val="00D6430B"/>
    <w:rsid w:val="00D64358"/>
    <w:rsid w:val="00D64369"/>
    <w:rsid w:val="00D644DF"/>
    <w:rsid w:val="00D645CC"/>
    <w:rsid w:val="00D648AA"/>
    <w:rsid w:val="00D64DCA"/>
    <w:rsid w:val="00D64E55"/>
    <w:rsid w:val="00D6516D"/>
    <w:rsid w:val="00D65885"/>
    <w:rsid w:val="00D65C3A"/>
    <w:rsid w:val="00D65C9C"/>
    <w:rsid w:val="00D65D47"/>
    <w:rsid w:val="00D65DAE"/>
    <w:rsid w:val="00D66088"/>
    <w:rsid w:val="00D66E77"/>
    <w:rsid w:val="00D705F1"/>
    <w:rsid w:val="00D70F82"/>
    <w:rsid w:val="00D71581"/>
    <w:rsid w:val="00D716C9"/>
    <w:rsid w:val="00D71709"/>
    <w:rsid w:val="00D71CAD"/>
    <w:rsid w:val="00D71DB0"/>
    <w:rsid w:val="00D71F4E"/>
    <w:rsid w:val="00D72540"/>
    <w:rsid w:val="00D72B2C"/>
    <w:rsid w:val="00D72BFC"/>
    <w:rsid w:val="00D72DA4"/>
    <w:rsid w:val="00D72E35"/>
    <w:rsid w:val="00D738B5"/>
    <w:rsid w:val="00D74133"/>
    <w:rsid w:val="00D74F18"/>
    <w:rsid w:val="00D75207"/>
    <w:rsid w:val="00D75303"/>
    <w:rsid w:val="00D75460"/>
    <w:rsid w:val="00D75831"/>
    <w:rsid w:val="00D75A9F"/>
    <w:rsid w:val="00D76AEC"/>
    <w:rsid w:val="00D76E79"/>
    <w:rsid w:val="00D77463"/>
    <w:rsid w:val="00D7746A"/>
    <w:rsid w:val="00D77895"/>
    <w:rsid w:val="00D779A9"/>
    <w:rsid w:val="00D77AF0"/>
    <w:rsid w:val="00D77DCE"/>
    <w:rsid w:val="00D77E34"/>
    <w:rsid w:val="00D8028F"/>
    <w:rsid w:val="00D802EC"/>
    <w:rsid w:val="00D8032C"/>
    <w:rsid w:val="00D80434"/>
    <w:rsid w:val="00D8054B"/>
    <w:rsid w:val="00D80EEE"/>
    <w:rsid w:val="00D80F3C"/>
    <w:rsid w:val="00D811CA"/>
    <w:rsid w:val="00D81368"/>
    <w:rsid w:val="00D8161B"/>
    <w:rsid w:val="00D817C0"/>
    <w:rsid w:val="00D81836"/>
    <w:rsid w:val="00D81DFB"/>
    <w:rsid w:val="00D81EF9"/>
    <w:rsid w:val="00D82273"/>
    <w:rsid w:val="00D82552"/>
    <w:rsid w:val="00D82FA9"/>
    <w:rsid w:val="00D83730"/>
    <w:rsid w:val="00D842FD"/>
    <w:rsid w:val="00D84425"/>
    <w:rsid w:val="00D8452D"/>
    <w:rsid w:val="00D84542"/>
    <w:rsid w:val="00D84BA9"/>
    <w:rsid w:val="00D85099"/>
    <w:rsid w:val="00D852FE"/>
    <w:rsid w:val="00D85A49"/>
    <w:rsid w:val="00D85C76"/>
    <w:rsid w:val="00D8609D"/>
    <w:rsid w:val="00D86822"/>
    <w:rsid w:val="00D86AE6"/>
    <w:rsid w:val="00D86FEF"/>
    <w:rsid w:val="00D871D4"/>
    <w:rsid w:val="00D87CC5"/>
    <w:rsid w:val="00D87F16"/>
    <w:rsid w:val="00D9024E"/>
    <w:rsid w:val="00D90DA9"/>
    <w:rsid w:val="00D91663"/>
    <w:rsid w:val="00D91AB4"/>
    <w:rsid w:val="00D91D84"/>
    <w:rsid w:val="00D91E09"/>
    <w:rsid w:val="00D92949"/>
    <w:rsid w:val="00D92B9B"/>
    <w:rsid w:val="00D930B6"/>
    <w:rsid w:val="00D938E3"/>
    <w:rsid w:val="00D93B89"/>
    <w:rsid w:val="00D93DE2"/>
    <w:rsid w:val="00D94194"/>
    <w:rsid w:val="00D94367"/>
    <w:rsid w:val="00D94636"/>
    <w:rsid w:val="00D95093"/>
    <w:rsid w:val="00D9514A"/>
    <w:rsid w:val="00D95770"/>
    <w:rsid w:val="00D95B7D"/>
    <w:rsid w:val="00D961FF"/>
    <w:rsid w:val="00D96822"/>
    <w:rsid w:val="00D96825"/>
    <w:rsid w:val="00D96BC9"/>
    <w:rsid w:val="00D970A1"/>
    <w:rsid w:val="00D9731D"/>
    <w:rsid w:val="00D97422"/>
    <w:rsid w:val="00D979E2"/>
    <w:rsid w:val="00D97D7A"/>
    <w:rsid w:val="00DA0343"/>
    <w:rsid w:val="00DA0590"/>
    <w:rsid w:val="00DA06BF"/>
    <w:rsid w:val="00DA0876"/>
    <w:rsid w:val="00DA0905"/>
    <w:rsid w:val="00DA0A66"/>
    <w:rsid w:val="00DA0C8B"/>
    <w:rsid w:val="00DA0D9B"/>
    <w:rsid w:val="00DA0E29"/>
    <w:rsid w:val="00DA1032"/>
    <w:rsid w:val="00DA1071"/>
    <w:rsid w:val="00DA151F"/>
    <w:rsid w:val="00DA1522"/>
    <w:rsid w:val="00DA154A"/>
    <w:rsid w:val="00DA22DE"/>
    <w:rsid w:val="00DA26E2"/>
    <w:rsid w:val="00DA2B4B"/>
    <w:rsid w:val="00DA2C49"/>
    <w:rsid w:val="00DA2CB7"/>
    <w:rsid w:val="00DA3109"/>
    <w:rsid w:val="00DA3B66"/>
    <w:rsid w:val="00DA3E76"/>
    <w:rsid w:val="00DA429C"/>
    <w:rsid w:val="00DA43C3"/>
    <w:rsid w:val="00DA45E8"/>
    <w:rsid w:val="00DA461A"/>
    <w:rsid w:val="00DA4674"/>
    <w:rsid w:val="00DA49E8"/>
    <w:rsid w:val="00DA4E70"/>
    <w:rsid w:val="00DA4EBB"/>
    <w:rsid w:val="00DA53C8"/>
    <w:rsid w:val="00DA56DB"/>
    <w:rsid w:val="00DA578B"/>
    <w:rsid w:val="00DA57C6"/>
    <w:rsid w:val="00DA585B"/>
    <w:rsid w:val="00DA5D30"/>
    <w:rsid w:val="00DA6067"/>
    <w:rsid w:val="00DA62FF"/>
    <w:rsid w:val="00DA6792"/>
    <w:rsid w:val="00DA6860"/>
    <w:rsid w:val="00DA6EBB"/>
    <w:rsid w:val="00DA7E71"/>
    <w:rsid w:val="00DB01CF"/>
    <w:rsid w:val="00DB044F"/>
    <w:rsid w:val="00DB0E6C"/>
    <w:rsid w:val="00DB123D"/>
    <w:rsid w:val="00DB183E"/>
    <w:rsid w:val="00DB2150"/>
    <w:rsid w:val="00DB21EE"/>
    <w:rsid w:val="00DB2837"/>
    <w:rsid w:val="00DB2C6D"/>
    <w:rsid w:val="00DB2D93"/>
    <w:rsid w:val="00DB2DB3"/>
    <w:rsid w:val="00DB2ED7"/>
    <w:rsid w:val="00DB2F24"/>
    <w:rsid w:val="00DB3F7E"/>
    <w:rsid w:val="00DB436C"/>
    <w:rsid w:val="00DB468A"/>
    <w:rsid w:val="00DB4CD5"/>
    <w:rsid w:val="00DB4F42"/>
    <w:rsid w:val="00DB50AA"/>
    <w:rsid w:val="00DB510E"/>
    <w:rsid w:val="00DB51B5"/>
    <w:rsid w:val="00DB52E6"/>
    <w:rsid w:val="00DB5BD4"/>
    <w:rsid w:val="00DB68EF"/>
    <w:rsid w:val="00DB73AD"/>
    <w:rsid w:val="00DB760E"/>
    <w:rsid w:val="00DB76F6"/>
    <w:rsid w:val="00DB7A1E"/>
    <w:rsid w:val="00DB7D40"/>
    <w:rsid w:val="00DC023A"/>
    <w:rsid w:val="00DC04A2"/>
    <w:rsid w:val="00DC06C1"/>
    <w:rsid w:val="00DC0B07"/>
    <w:rsid w:val="00DC0CE6"/>
    <w:rsid w:val="00DC11F1"/>
    <w:rsid w:val="00DC138C"/>
    <w:rsid w:val="00DC178B"/>
    <w:rsid w:val="00DC19CA"/>
    <w:rsid w:val="00DC1AA8"/>
    <w:rsid w:val="00DC1B40"/>
    <w:rsid w:val="00DC22A0"/>
    <w:rsid w:val="00DC2575"/>
    <w:rsid w:val="00DC2D56"/>
    <w:rsid w:val="00DC2D74"/>
    <w:rsid w:val="00DC2EDF"/>
    <w:rsid w:val="00DC2F7C"/>
    <w:rsid w:val="00DC3223"/>
    <w:rsid w:val="00DC32B0"/>
    <w:rsid w:val="00DC493C"/>
    <w:rsid w:val="00DC4FC2"/>
    <w:rsid w:val="00DC50A6"/>
    <w:rsid w:val="00DC50E6"/>
    <w:rsid w:val="00DC52F6"/>
    <w:rsid w:val="00DC5510"/>
    <w:rsid w:val="00DC5539"/>
    <w:rsid w:val="00DC564C"/>
    <w:rsid w:val="00DC5C23"/>
    <w:rsid w:val="00DC6226"/>
    <w:rsid w:val="00DC6249"/>
    <w:rsid w:val="00DC62EB"/>
    <w:rsid w:val="00DC672C"/>
    <w:rsid w:val="00DC688B"/>
    <w:rsid w:val="00DC7208"/>
    <w:rsid w:val="00DC73BF"/>
    <w:rsid w:val="00DC779A"/>
    <w:rsid w:val="00DC7B53"/>
    <w:rsid w:val="00DC7D43"/>
    <w:rsid w:val="00DC7EF1"/>
    <w:rsid w:val="00DD0051"/>
    <w:rsid w:val="00DD0080"/>
    <w:rsid w:val="00DD044D"/>
    <w:rsid w:val="00DD0F2B"/>
    <w:rsid w:val="00DD0FC4"/>
    <w:rsid w:val="00DD1186"/>
    <w:rsid w:val="00DD13D5"/>
    <w:rsid w:val="00DD16D1"/>
    <w:rsid w:val="00DD1908"/>
    <w:rsid w:val="00DD1BC1"/>
    <w:rsid w:val="00DD1E5F"/>
    <w:rsid w:val="00DD2075"/>
    <w:rsid w:val="00DD20A5"/>
    <w:rsid w:val="00DD2170"/>
    <w:rsid w:val="00DD23FB"/>
    <w:rsid w:val="00DD2A34"/>
    <w:rsid w:val="00DD2C2D"/>
    <w:rsid w:val="00DD3303"/>
    <w:rsid w:val="00DD35D7"/>
    <w:rsid w:val="00DD36D0"/>
    <w:rsid w:val="00DD3A5F"/>
    <w:rsid w:val="00DD4764"/>
    <w:rsid w:val="00DD478A"/>
    <w:rsid w:val="00DD4835"/>
    <w:rsid w:val="00DD49F2"/>
    <w:rsid w:val="00DD5607"/>
    <w:rsid w:val="00DD5977"/>
    <w:rsid w:val="00DD5F20"/>
    <w:rsid w:val="00DD60CA"/>
    <w:rsid w:val="00DD62B7"/>
    <w:rsid w:val="00DD6701"/>
    <w:rsid w:val="00DD69AC"/>
    <w:rsid w:val="00DD6BB7"/>
    <w:rsid w:val="00DD70C5"/>
    <w:rsid w:val="00DD7891"/>
    <w:rsid w:val="00DD7C73"/>
    <w:rsid w:val="00DD7D35"/>
    <w:rsid w:val="00DE013E"/>
    <w:rsid w:val="00DE056A"/>
    <w:rsid w:val="00DE061B"/>
    <w:rsid w:val="00DE0C5B"/>
    <w:rsid w:val="00DE0FAD"/>
    <w:rsid w:val="00DE10F6"/>
    <w:rsid w:val="00DE111E"/>
    <w:rsid w:val="00DE1207"/>
    <w:rsid w:val="00DE1465"/>
    <w:rsid w:val="00DE196D"/>
    <w:rsid w:val="00DE1CAE"/>
    <w:rsid w:val="00DE1E2F"/>
    <w:rsid w:val="00DE298C"/>
    <w:rsid w:val="00DE3133"/>
    <w:rsid w:val="00DE3624"/>
    <w:rsid w:val="00DE3DE6"/>
    <w:rsid w:val="00DE4032"/>
    <w:rsid w:val="00DE40B0"/>
    <w:rsid w:val="00DE4175"/>
    <w:rsid w:val="00DE4886"/>
    <w:rsid w:val="00DE4E6C"/>
    <w:rsid w:val="00DE575D"/>
    <w:rsid w:val="00DE58FC"/>
    <w:rsid w:val="00DE5D34"/>
    <w:rsid w:val="00DE6451"/>
    <w:rsid w:val="00DE6764"/>
    <w:rsid w:val="00DE68B9"/>
    <w:rsid w:val="00DE6ED1"/>
    <w:rsid w:val="00DE706F"/>
    <w:rsid w:val="00DE76D0"/>
    <w:rsid w:val="00DF0168"/>
    <w:rsid w:val="00DF0980"/>
    <w:rsid w:val="00DF0E60"/>
    <w:rsid w:val="00DF0EAD"/>
    <w:rsid w:val="00DF0F9A"/>
    <w:rsid w:val="00DF155A"/>
    <w:rsid w:val="00DF15BA"/>
    <w:rsid w:val="00DF1930"/>
    <w:rsid w:val="00DF1953"/>
    <w:rsid w:val="00DF1970"/>
    <w:rsid w:val="00DF1F69"/>
    <w:rsid w:val="00DF20CE"/>
    <w:rsid w:val="00DF240D"/>
    <w:rsid w:val="00DF2BCF"/>
    <w:rsid w:val="00DF2CEA"/>
    <w:rsid w:val="00DF2E7F"/>
    <w:rsid w:val="00DF3193"/>
    <w:rsid w:val="00DF346A"/>
    <w:rsid w:val="00DF3E2E"/>
    <w:rsid w:val="00DF3EEE"/>
    <w:rsid w:val="00DF4241"/>
    <w:rsid w:val="00DF44E7"/>
    <w:rsid w:val="00DF4D85"/>
    <w:rsid w:val="00DF5B4C"/>
    <w:rsid w:val="00DF646E"/>
    <w:rsid w:val="00DF6ADA"/>
    <w:rsid w:val="00DF6B58"/>
    <w:rsid w:val="00DF7234"/>
    <w:rsid w:val="00DF7B27"/>
    <w:rsid w:val="00DF7C8F"/>
    <w:rsid w:val="00DF7D3C"/>
    <w:rsid w:val="00E007C2"/>
    <w:rsid w:val="00E00B53"/>
    <w:rsid w:val="00E00D2E"/>
    <w:rsid w:val="00E00E10"/>
    <w:rsid w:val="00E010F0"/>
    <w:rsid w:val="00E01B63"/>
    <w:rsid w:val="00E02561"/>
    <w:rsid w:val="00E028FB"/>
    <w:rsid w:val="00E02C48"/>
    <w:rsid w:val="00E030D7"/>
    <w:rsid w:val="00E041DA"/>
    <w:rsid w:val="00E0448B"/>
    <w:rsid w:val="00E04DA9"/>
    <w:rsid w:val="00E0539E"/>
    <w:rsid w:val="00E055EB"/>
    <w:rsid w:val="00E056AA"/>
    <w:rsid w:val="00E05EA8"/>
    <w:rsid w:val="00E0611A"/>
    <w:rsid w:val="00E06371"/>
    <w:rsid w:val="00E068DE"/>
    <w:rsid w:val="00E07182"/>
    <w:rsid w:val="00E07234"/>
    <w:rsid w:val="00E077CC"/>
    <w:rsid w:val="00E077CD"/>
    <w:rsid w:val="00E07A03"/>
    <w:rsid w:val="00E10069"/>
    <w:rsid w:val="00E10184"/>
    <w:rsid w:val="00E104AB"/>
    <w:rsid w:val="00E105A3"/>
    <w:rsid w:val="00E106B4"/>
    <w:rsid w:val="00E1082D"/>
    <w:rsid w:val="00E10C92"/>
    <w:rsid w:val="00E10D30"/>
    <w:rsid w:val="00E10F55"/>
    <w:rsid w:val="00E10F7F"/>
    <w:rsid w:val="00E1160A"/>
    <w:rsid w:val="00E11A1D"/>
    <w:rsid w:val="00E11A2D"/>
    <w:rsid w:val="00E11E7E"/>
    <w:rsid w:val="00E12072"/>
    <w:rsid w:val="00E12527"/>
    <w:rsid w:val="00E12846"/>
    <w:rsid w:val="00E1332D"/>
    <w:rsid w:val="00E13417"/>
    <w:rsid w:val="00E1353D"/>
    <w:rsid w:val="00E13BE8"/>
    <w:rsid w:val="00E13C7B"/>
    <w:rsid w:val="00E13D0C"/>
    <w:rsid w:val="00E141C5"/>
    <w:rsid w:val="00E144FE"/>
    <w:rsid w:val="00E14780"/>
    <w:rsid w:val="00E148B6"/>
    <w:rsid w:val="00E14C63"/>
    <w:rsid w:val="00E154B0"/>
    <w:rsid w:val="00E154BB"/>
    <w:rsid w:val="00E1569D"/>
    <w:rsid w:val="00E15C3B"/>
    <w:rsid w:val="00E15D42"/>
    <w:rsid w:val="00E1609E"/>
    <w:rsid w:val="00E1637D"/>
    <w:rsid w:val="00E169A3"/>
    <w:rsid w:val="00E16C96"/>
    <w:rsid w:val="00E16F93"/>
    <w:rsid w:val="00E1772B"/>
    <w:rsid w:val="00E2007F"/>
    <w:rsid w:val="00E200DE"/>
    <w:rsid w:val="00E20181"/>
    <w:rsid w:val="00E212BC"/>
    <w:rsid w:val="00E21394"/>
    <w:rsid w:val="00E2146E"/>
    <w:rsid w:val="00E21A23"/>
    <w:rsid w:val="00E21D18"/>
    <w:rsid w:val="00E2202D"/>
    <w:rsid w:val="00E22B26"/>
    <w:rsid w:val="00E22D3B"/>
    <w:rsid w:val="00E22F3F"/>
    <w:rsid w:val="00E232D0"/>
    <w:rsid w:val="00E237B6"/>
    <w:rsid w:val="00E23A28"/>
    <w:rsid w:val="00E23D1A"/>
    <w:rsid w:val="00E23EAC"/>
    <w:rsid w:val="00E24539"/>
    <w:rsid w:val="00E245F0"/>
    <w:rsid w:val="00E24A82"/>
    <w:rsid w:val="00E24BCF"/>
    <w:rsid w:val="00E24E6B"/>
    <w:rsid w:val="00E253C1"/>
    <w:rsid w:val="00E25557"/>
    <w:rsid w:val="00E25725"/>
    <w:rsid w:val="00E25790"/>
    <w:rsid w:val="00E258B7"/>
    <w:rsid w:val="00E25B3E"/>
    <w:rsid w:val="00E26055"/>
    <w:rsid w:val="00E2611E"/>
    <w:rsid w:val="00E27473"/>
    <w:rsid w:val="00E2790A"/>
    <w:rsid w:val="00E27FB3"/>
    <w:rsid w:val="00E30AE9"/>
    <w:rsid w:val="00E30E12"/>
    <w:rsid w:val="00E31575"/>
    <w:rsid w:val="00E316D0"/>
    <w:rsid w:val="00E31DEA"/>
    <w:rsid w:val="00E31E1D"/>
    <w:rsid w:val="00E32364"/>
    <w:rsid w:val="00E323E8"/>
    <w:rsid w:val="00E32860"/>
    <w:rsid w:val="00E3292B"/>
    <w:rsid w:val="00E32B26"/>
    <w:rsid w:val="00E32FAE"/>
    <w:rsid w:val="00E330E7"/>
    <w:rsid w:val="00E33323"/>
    <w:rsid w:val="00E3333E"/>
    <w:rsid w:val="00E33FF6"/>
    <w:rsid w:val="00E342F2"/>
    <w:rsid w:val="00E34338"/>
    <w:rsid w:val="00E346B5"/>
    <w:rsid w:val="00E34DA8"/>
    <w:rsid w:val="00E3518E"/>
    <w:rsid w:val="00E351E3"/>
    <w:rsid w:val="00E35434"/>
    <w:rsid w:val="00E35802"/>
    <w:rsid w:val="00E35876"/>
    <w:rsid w:val="00E35A32"/>
    <w:rsid w:val="00E35BED"/>
    <w:rsid w:val="00E35D02"/>
    <w:rsid w:val="00E35ED3"/>
    <w:rsid w:val="00E364C0"/>
    <w:rsid w:val="00E36614"/>
    <w:rsid w:val="00E3696A"/>
    <w:rsid w:val="00E36AEC"/>
    <w:rsid w:val="00E36D18"/>
    <w:rsid w:val="00E36DC9"/>
    <w:rsid w:val="00E36E62"/>
    <w:rsid w:val="00E36E65"/>
    <w:rsid w:val="00E37373"/>
    <w:rsid w:val="00E37786"/>
    <w:rsid w:val="00E37EF6"/>
    <w:rsid w:val="00E401C3"/>
    <w:rsid w:val="00E4085D"/>
    <w:rsid w:val="00E40950"/>
    <w:rsid w:val="00E409D0"/>
    <w:rsid w:val="00E40E74"/>
    <w:rsid w:val="00E416A0"/>
    <w:rsid w:val="00E42063"/>
    <w:rsid w:val="00E4242C"/>
    <w:rsid w:val="00E432BE"/>
    <w:rsid w:val="00E43444"/>
    <w:rsid w:val="00E43BDB"/>
    <w:rsid w:val="00E43C73"/>
    <w:rsid w:val="00E44AB9"/>
    <w:rsid w:val="00E44F56"/>
    <w:rsid w:val="00E45223"/>
    <w:rsid w:val="00E452E1"/>
    <w:rsid w:val="00E4542D"/>
    <w:rsid w:val="00E455B6"/>
    <w:rsid w:val="00E45B8D"/>
    <w:rsid w:val="00E45F73"/>
    <w:rsid w:val="00E465DA"/>
    <w:rsid w:val="00E4697B"/>
    <w:rsid w:val="00E469D8"/>
    <w:rsid w:val="00E47012"/>
    <w:rsid w:val="00E4784D"/>
    <w:rsid w:val="00E502A4"/>
    <w:rsid w:val="00E5095C"/>
    <w:rsid w:val="00E524D2"/>
    <w:rsid w:val="00E5278B"/>
    <w:rsid w:val="00E52A1C"/>
    <w:rsid w:val="00E52D43"/>
    <w:rsid w:val="00E53121"/>
    <w:rsid w:val="00E5346A"/>
    <w:rsid w:val="00E5375B"/>
    <w:rsid w:val="00E543FD"/>
    <w:rsid w:val="00E547DC"/>
    <w:rsid w:val="00E54C90"/>
    <w:rsid w:val="00E55112"/>
    <w:rsid w:val="00E55304"/>
    <w:rsid w:val="00E55CCD"/>
    <w:rsid w:val="00E55E6A"/>
    <w:rsid w:val="00E56C97"/>
    <w:rsid w:val="00E56CE2"/>
    <w:rsid w:val="00E57069"/>
    <w:rsid w:val="00E5794A"/>
    <w:rsid w:val="00E57D86"/>
    <w:rsid w:val="00E6006F"/>
    <w:rsid w:val="00E608A9"/>
    <w:rsid w:val="00E60951"/>
    <w:rsid w:val="00E60DC8"/>
    <w:rsid w:val="00E6116E"/>
    <w:rsid w:val="00E61268"/>
    <w:rsid w:val="00E6175A"/>
    <w:rsid w:val="00E618D1"/>
    <w:rsid w:val="00E61AB3"/>
    <w:rsid w:val="00E622F5"/>
    <w:rsid w:val="00E62E52"/>
    <w:rsid w:val="00E634C8"/>
    <w:rsid w:val="00E63983"/>
    <w:rsid w:val="00E647F1"/>
    <w:rsid w:val="00E648AB"/>
    <w:rsid w:val="00E64B64"/>
    <w:rsid w:val="00E64E92"/>
    <w:rsid w:val="00E650E2"/>
    <w:rsid w:val="00E65293"/>
    <w:rsid w:val="00E6532D"/>
    <w:rsid w:val="00E6535A"/>
    <w:rsid w:val="00E65A22"/>
    <w:rsid w:val="00E65A3B"/>
    <w:rsid w:val="00E663F4"/>
    <w:rsid w:val="00E6651E"/>
    <w:rsid w:val="00E665B2"/>
    <w:rsid w:val="00E66B14"/>
    <w:rsid w:val="00E66B64"/>
    <w:rsid w:val="00E66C45"/>
    <w:rsid w:val="00E66FC8"/>
    <w:rsid w:val="00E6726B"/>
    <w:rsid w:val="00E67679"/>
    <w:rsid w:val="00E67743"/>
    <w:rsid w:val="00E679F1"/>
    <w:rsid w:val="00E67CEE"/>
    <w:rsid w:val="00E70A9A"/>
    <w:rsid w:val="00E70B6D"/>
    <w:rsid w:val="00E70CE8"/>
    <w:rsid w:val="00E70D8C"/>
    <w:rsid w:val="00E71324"/>
    <w:rsid w:val="00E71BB4"/>
    <w:rsid w:val="00E71C75"/>
    <w:rsid w:val="00E71E63"/>
    <w:rsid w:val="00E728F1"/>
    <w:rsid w:val="00E72DAD"/>
    <w:rsid w:val="00E72EA0"/>
    <w:rsid w:val="00E73572"/>
    <w:rsid w:val="00E740CB"/>
    <w:rsid w:val="00E740F1"/>
    <w:rsid w:val="00E74869"/>
    <w:rsid w:val="00E74F10"/>
    <w:rsid w:val="00E751BE"/>
    <w:rsid w:val="00E75735"/>
    <w:rsid w:val="00E75AA3"/>
    <w:rsid w:val="00E75C7A"/>
    <w:rsid w:val="00E75F77"/>
    <w:rsid w:val="00E76396"/>
    <w:rsid w:val="00E765E4"/>
    <w:rsid w:val="00E769D4"/>
    <w:rsid w:val="00E76ACC"/>
    <w:rsid w:val="00E77166"/>
    <w:rsid w:val="00E7719F"/>
    <w:rsid w:val="00E771FB"/>
    <w:rsid w:val="00E7744F"/>
    <w:rsid w:val="00E77487"/>
    <w:rsid w:val="00E77B26"/>
    <w:rsid w:val="00E80173"/>
    <w:rsid w:val="00E80B20"/>
    <w:rsid w:val="00E80B5E"/>
    <w:rsid w:val="00E8126B"/>
    <w:rsid w:val="00E8143F"/>
    <w:rsid w:val="00E8153B"/>
    <w:rsid w:val="00E8227B"/>
    <w:rsid w:val="00E824CB"/>
    <w:rsid w:val="00E82CB6"/>
    <w:rsid w:val="00E82EAD"/>
    <w:rsid w:val="00E83010"/>
    <w:rsid w:val="00E8304C"/>
    <w:rsid w:val="00E83369"/>
    <w:rsid w:val="00E8357D"/>
    <w:rsid w:val="00E8385E"/>
    <w:rsid w:val="00E83E90"/>
    <w:rsid w:val="00E840CF"/>
    <w:rsid w:val="00E8463D"/>
    <w:rsid w:val="00E853D7"/>
    <w:rsid w:val="00E86273"/>
    <w:rsid w:val="00E86F90"/>
    <w:rsid w:val="00E86FD6"/>
    <w:rsid w:val="00E8778D"/>
    <w:rsid w:val="00E87C79"/>
    <w:rsid w:val="00E87D94"/>
    <w:rsid w:val="00E87DA3"/>
    <w:rsid w:val="00E87FEC"/>
    <w:rsid w:val="00E901C1"/>
    <w:rsid w:val="00E90535"/>
    <w:rsid w:val="00E90AA0"/>
    <w:rsid w:val="00E90CF1"/>
    <w:rsid w:val="00E90E42"/>
    <w:rsid w:val="00E90EF8"/>
    <w:rsid w:val="00E912FC"/>
    <w:rsid w:val="00E91591"/>
    <w:rsid w:val="00E916E6"/>
    <w:rsid w:val="00E91D43"/>
    <w:rsid w:val="00E91DBE"/>
    <w:rsid w:val="00E922CD"/>
    <w:rsid w:val="00E92909"/>
    <w:rsid w:val="00E92F26"/>
    <w:rsid w:val="00E92FBE"/>
    <w:rsid w:val="00E934CA"/>
    <w:rsid w:val="00E9416A"/>
    <w:rsid w:val="00E941D1"/>
    <w:rsid w:val="00E9421C"/>
    <w:rsid w:val="00E9458D"/>
    <w:rsid w:val="00E94CC0"/>
    <w:rsid w:val="00E962C7"/>
    <w:rsid w:val="00E96328"/>
    <w:rsid w:val="00E96AB6"/>
    <w:rsid w:val="00E96C53"/>
    <w:rsid w:val="00E96CB7"/>
    <w:rsid w:val="00E96D28"/>
    <w:rsid w:val="00E9749F"/>
    <w:rsid w:val="00E975FE"/>
    <w:rsid w:val="00E97B61"/>
    <w:rsid w:val="00E97C23"/>
    <w:rsid w:val="00E97D49"/>
    <w:rsid w:val="00EA016D"/>
    <w:rsid w:val="00EA08A7"/>
    <w:rsid w:val="00EA0A87"/>
    <w:rsid w:val="00EA0A95"/>
    <w:rsid w:val="00EA0EF7"/>
    <w:rsid w:val="00EA142B"/>
    <w:rsid w:val="00EA1686"/>
    <w:rsid w:val="00EA186E"/>
    <w:rsid w:val="00EA19CD"/>
    <w:rsid w:val="00EA19E6"/>
    <w:rsid w:val="00EA1F8D"/>
    <w:rsid w:val="00EA1FA8"/>
    <w:rsid w:val="00EA20B7"/>
    <w:rsid w:val="00EA277C"/>
    <w:rsid w:val="00EA2FD6"/>
    <w:rsid w:val="00EA33EE"/>
    <w:rsid w:val="00EA3515"/>
    <w:rsid w:val="00EA413D"/>
    <w:rsid w:val="00EA4BC9"/>
    <w:rsid w:val="00EA5064"/>
    <w:rsid w:val="00EA53BC"/>
    <w:rsid w:val="00EA543A"/>
    <w:rsid w:val="00EA54D4"/>
    <w:rsid w:val="00EA5E98"/>
    <w:rsid w:val="00EA61EE"/>
    <w:rsid w:val="00EA6259"/>
    <w:rsid w:val="00EA625D"/>
    <w:rsid w:val="00EA693B"/>
    <w:rsid w:val="00EA6B4B"/>
    <w:rsid w:val="00EA6CB0"/>
    <w:rsid w:val="00EA6EB8"/>
    <w:rsid w:val="00EA6F68"/>
    <w:rsid w:val="00EA75B7"/>
    <w:rsid w:val="00EA7E08"/>
    <w:rsid w:val="00EA7F7B"/>
    <w:rsid w:val="00EB0527"/>
    <w:rsid w:val="00EB0548"/>
    <w:rsid w:val="00EB05E5"/>
    <w:rsid w:val="00EB0BF0"/>
    <w:rsid w:val="00EB0F60"/>
    <w:rsid w:val="00EB11E0"/>
    <w:rsid w:val="00EB219D"/>
    <w:rsid w:val="00EB2304"/>
    <w:rsid w:val="00EB2305"/>
    <w:rsid w:val="00EB3968"/>
    <w:rsid w:val="00EB3B39"/>
    <w:rsid w:val="00EB3BCF"/>
    <w:rsid w:val="00EB4440"/>
    <w:rsid w:val="00EB44B5"/>
    <w:rsid w:val="00EB45D4"/>
    <w:rsid w:val="00EB4D5C"/>
    <w:rsid w:val="00EB4FB7"/>
    <w:rsid w:val="00EB50A3"/>
    <w:rsid w:val="00EB50AC"/>
    <w:rsid w:val="00EB5885"/>
    <w:rsid w:val="00EB6111"/>
    <w:rsid w:val="00EB6226"/>
    <w:rsid w:val="00EB6ACC"/>
    <w:rsid w:val="00EB7394"/>
    <w:rsid w:val="00EB7432"/>
    <w:rsid w:val="00EB74C1"/>
    <w:rsid w:val="00EB7579"/>
    <w:rsid w:val="00EB7E95"/>
    <w:rsid w:val="00EB7F42"/>
    <w:rsid w:val="00EB7FAD"/>
    <w:rsid w:val="00EC026F"/>
    <w:rsid w:val="00EC0437"/>
    <w:rsid w:val="00EC1106"/>
    <w:rsid w:val="00EC1650"/>
    <w:rsid w:val="00EC1B88"/>
    <w:rsid w:val="00EC1EE5"/>
    <w:rsid w:val="00EC2213"/>
    <w:rsid w:val="00EC2350"/>
    <w:rsid w:val="00EC242E"/>
    <w:rsid w:val="00EC2577"/>
    <w:rsid w:val="00EC26B6"/>
    <w:rsid w:val="00EC2D3A"/>
    <w:rsid w:val="00EC2D43"/>
    <w:rsid w:val="00EC3018"/>
    <w:rsid w:val="00EC3054"/>
    <w:rsid w:val="00EC3079"/>
    <w:rsid w:val="00EC3301"/>
    <w:rsid w:val="00EC35A8"/>
    <w:rsid w:val="00EC42CD"/>
    <w:rsid w:val="00EC43AD"/>
    <w:rsid w:val="00EC49A3"/>
    <w:rsid w:val="00EC4A66"/>
    <w:rsid w:val="00EC4C1C"/>
    <w:rsid w:val="00EC505B"/>
    <w:rsid w:val="00EC57B4"/>
    <w:rsid w:val="00EC5968"/>
    <w:rsid w:val="00EC5D9C"/>
    <w:rsid w:val="00EC5E67"/>
    <w:rsid w:val="00EC5F5F"/>
    <w:rsid w:val="00EC67F5"/>
    <w:rsid w:val="00EC6D75"/>
    <w:rsid w:val="00EC6F37"/>
    <w:rsid w:val="00EC799E"/>
    <w:rsid w:val="00ED001C"/>
    <w:rsid w:val="00ED02DC"/>
    <w:rsid w:val="00ED02F2"/>
    <w:rsid w:val="00ED06C3"/>
    <w:rsid w:val="00ED0895"/>
    <w:rsid w:val="00ED0A0D"/>
    <w:rsid w:val="00ED0B67"/>
    <w:rsid w:val="00ED0D9D"/>
    <w:rsid w:val="00ED10E0"/>
    <w:rsid w:val="00ED15C6"/>
    <w:rsid w:val="00ED16AC"/>
    <w:rsid w:val="00ED1F05"/>
    <w:rsid w:val="00ED213F"/>
    <w:rsid w:val="00ED22D2"/>
    <w:rsid w:val="00ED23FF"/>
    <w:rsid w:val="00ED249A"/>
    <w:rsid w:val="00ED2A3C"/>
    <w:rsid w:val="00ED2A53"/>
    <w:rsid w:val="00ED2B9E"/>
    <w:rsid w:val="00ED2D2A"/>
    <w:rsid w:val="00ED3657"/>
    <w:rsid w:val="00ED370A"/>
    <w:rsid w:val="00ED37EF"/>
    <w:rsid w:val="00ED3BD7"/>
    <w:rsid w:val="00ED3D59"/>
    <w:rsid w:val="00ED3F4C"/>
    <w:rsid w:val="00ED458C"/>
    <w:rsid w:val="00ED467B"/>
    <w:rsid w:val="00ED4A37"/>
    <w:rsid w:val="00ED4BCF"/>
    <w:rsid w:val="00ED4CAF"/>
    <w:rsid w:val="00ED4E3E"/>
    <w:rsid w:val="00ED520B"/>
    <w:rsid w:val="00ED5B18"/>
    <w:rsid w:val="00ED5E5D"/>
    <w:rsid w:val="00ED6246"/>
    <w:rsid w:val="00ED7112"/>
    <w:rsid w:val="00ED715C"/>
    <w:rsid w:val="00EE047C"/>
    <w:rsid w:val="00EE0C74"/>
    <w:rsid w:val="00EE0D5A"/>
    <w:rsid w:val="00EE0EAE"/>
    <w:rsid w:val="00EE1019"/>
    <w:rsid w:val="00EE1090"/>
    <w:rsid w:val="00EE10D2"/>
    <w:rsid w:val="00EE14F4"/>
    <w:rsid w:val="00EE1A73"/>
    <w:rsid w:val="00EE1D93"/>
    <w:rsid w:val="00EE21CF"/>
    <w:rsid w:val="00EE21F2"/>
    <w:rsid w:val="00EE23A6"/>
    <w:rsid w:val="00EE2932"/>
    <w:rsid w:val="00EE294A"/>
    <w:rsid w:val="00EE2D4A"/>
    <w:rsid w:val="00EE3190"/>
    <w:rsid w:val="00EE3AD8"/>
    <w:rsid w:val="00EE3B20"/>
    <w:rsid w:val="00EE3CFF"/>
    <w:rsid w:val="00EE409C"/>
    <w:rsid w:val="00EE4610"/>
    <w:rsid w:val="00EE4746"/>
    <w:rsid w:val="00EE4CB8"/>
    <w:rsid w:val="00EE4D50"/>
    <w:rsid w:val="00EE4E82"/>
    <w:rsid w:val="00EE4F6E"/>
    <w:rsid w:val="00EE4F77"/>
    <w:rsid w:val="00EE5098"/>
    <w:rsid w:val="00EE5474"/>
    <w:rsid w:val="00EE58E1"/>
    <w:rsid w:val="00EE5DD6"/>
    <w:rsid w:val="00EE6106"/>
    <w:rsid w:val="00EE6A2F"/>
    <w:rsid w:val="00EE6F12"/>
    <w:rsid w:val="00EE7527"/>
    <w:rsid w:val="00EE7C2D"/>
    <w:rsid w:val="00EF01ED"/>
    <w:rsid w:val="00EF01FA"/>
    <w:rsid w:val="00EF0523"/>
    <w:rsid w:val="00EF05DE"/>
    <w:rsid w:val="00EF093A"/>
    <w:rsid w:val="00EF0D88"/>
    <w:rsid w:val="00EF1239"/>
    <w:rsid w:val="00EF13E2"/>
    <w:rsid w:val="00EF140F"/>
    <w:rsid w:val="00EF15C1"/>
    <w:rsid w:val="00EF2797"/>
    <w:rsid w:val="00EF2897"/>
    <w:rsid w:val="00EF3866"/>
    <w:rsid w:val="00EF3F92"/>
    <w:rsid w:val="00EF3FDA"/>
    <w:rsid w:val="00EF4474"/>
    <w:rsid w:val="00EF450C"/>
    <w:rsid w:val="00EF481E"/>
    <w:rsid w:val="00EF5197"/>
    <w:rsid w:val="00EF54D2"/>
    <w:rsid w:val="00EF5DD9"/>
    <w:rsid w:val="00EF66F8"/>
    <w:rsid w:val="00EF6705"/>
    <w:rsid w:val="00EF6B11"/>
    <w:rsid w:val="00EF6D02"/>
    <w:rsid w:val="00EF6D80"/>
    <w:rsid w:val="00EF6FB7"/>
    <w:rsid w:val="00EF7094"/>
    <w:rsid w:val="00EF7180"/>
    <w:rsid w:val="00EF79B6"/>
    <w:rsid w:val="00EF7B48"/>
    <w:rsid w:val="00F00E16"/>
    <w:rsid w:val="00F0110D"/>
    <w:rsid w:val="00F01511"/>
    <w:rsid w:val="00F01785"/>
    <w:rsid w:val="00F0188F"/>
    <w:rsid w:val="00F01CA4"/>
    <w:rsid w:val="00F02790"/>
    <w:rsid w:val="00F02B3F"/>
    <w:rsid w:val="00F02B77"/>
    <w:rsid w:val="00F02FA1"/>
    <w:rsid w:val="00F03473"/>
    <w:rsid w:val="00F03903"/>
    <w:rsid w:val="00F03E99"/>
    <w:rsid w:val="00F043FA"/>
    <w:rsid w:val="00F048A2"/>
    <w:rsid w:val="00F04B11"/>
    <w:rsid w:val="00F0547A"/>
    <w:rsid w:val="00F054DC"/>
    <w:rsid w:val="00F0578B"/>
    <w:rsid w:val="00F058C1"/>
    <w:rsid w:val="00F059B2"/>
    <w:rsid w:val="00F05B26"/>
    <w:rsid w:val="00F0605E"/>
    <w:rsid w:val="00F06441"/>
    <w:rsid w:val="00F06477"/>
    <w:rsid w:val="00F06793"/>
    <w:rsid w:val="00F07707"/>
    <w:rsid w:val="00F100E7"/>
    <w:rsid w:val="00F1055A"/>
    <w:rsid w:val="00F10DF7"/>
    <w:rsid w:val="00F10F0B"/>
    <w:rsid w:val="00F118AB"/>
    <w:rsid w:val="00F11BFE"/>
    <w:rsid w:val="00F12594"/>
    <w:rsid w:val="00F128CB"/>
    <w:rsid w:val="00F129B8"/>
    <w:rsid w:val="00F12AA6"/>
    <w:rsid w:val="00F12FB7"/>
    <w:rsid w:val="00F132F4"/>
    <w:rsid w:val="00F1359A"/>
    <w:rsid w:val="00F13A5D"/>
    <w:rsid w:val="00F13CA6"/>
    <w:rsid w:val="00F13E3D"/>
    <w:rsid w:val="00F13F53"/>
    <w:rsid w:val="00F1412A"/>
    <w:rsid w:val="00F1451E"/>
    <w:rsid w:val="00F14BB7"/>
    <w:rsid w:val="00F14CF1"/>
    <w:rsid w:val="00F14E55"/>
    <w:rsid w:val="00F15346"/>
    <w:rsid w:val="00F15656"/>
    <w:rsid w:val="00F1587C"/>
    <w:rsid w:val="00F15B99"/>
    <w:rsid w:val="00F15C5A"/>
    <w:rsid w:val="00F15D5E"/>
    <w:rsid w:val="00F16903"/>
    <w:rsid w:val="00F16E48"/>
    <w:rsid w:val="00F16FAB"/>
    <w:rsid w:val="00F1712D"/>
    <w:rsid w:val="00F1730B"/>
    <w:rsid w:val="00F20199"/>
    <w:rsid w:val="00F205C0"/>
    <w:rsid w:val="00F2097A"/>
    <w:rsid w:val="00F20F6C"/>
    <w:rsid w:val="00F21508"/>
    <w:rsid w:val="00F21B41"/>
    <w:rsid w:val="00F21DA9"/>
    <w:rsid w:val="00F221A4"/>
    <w:rsid w:val="00F2220E"/>
    <w:rsid w:val="00F22289"/>
    <w:rsid w:val="00F226BB"/>
    <w:rsid w:val="00F22A9C"/>
    <w:rsid w:val="00F22B20"/>
    <w:rsid w:val="00F23038"/>
    <w:rsid w:val="00F23076"/>
    <w:rsid w:val="00F239E0"/>
    <w:rsid w:val="00F23AD6"/>
    <w:rsid w:val="00F2471C"/>
    <w:rsid w:val="00F24B07"/>
    <w:rsid w:val="00F24E7D"/>
    <w:rsid w:val="00F24F25"/>
    <w:rsid w:val="00F250D7"/>
    <w:rsid w:val="00F2517E"/>
    <w:rsid w:val="00F252BA"/>
    <w:rsid w:val="00F2596A"/>
    <w:rsid w:val="00F259C3"/>
    <w:rsid w:val="00F26143"/>
    <w:rsid w:val="00F269AB"/>
    <w:rsid w:val="00F26B77"/>
    <w:rsid w:val="00F26F05"/>
    <w:rsid w:val="00F26FE8"/>
    <w:rsid w:val="00F27175"/>
    <w:rsid w:val="00F27EB7"/>
    <w:rsid w:val="00F30183"/>
    <w:rsid w:val="00F301C9"/>
    <w:rsid w:val="00F30AA0"/>
    <w:rsid w:val="00F30D01"/>
    <w:rsid w:val="00F31D25"/>
    <w:rsid w:val="00F31DC9"/>
    <w:rsid w:val="00F32074"/>
    <w:rsid w:val="00F3248A"/>
    <w:rsid w:val="00F32A03"/>
    <w:rsid w:val="00F33027"/>
    <w:rsid w:val="00F33266"/>
    <w:rsid w:val="00F338D4"/>
    <w:rsid w:val="00F339F6"/>
    <w:rsid w:val="00F3441E"/>
    <w:rsid w:val="00F34696"/>
    <w:rsid w:val="00F34D7B"/>
    <w:rsid w:val="00F35512"/>
    <w:rsid w:val="00F3556F"/>
    <w:rsid w:val="00F3627E"/>
    <w:rsid w:val="00F36AB4"/>
    <w:rsid w:val="00F36BAE"/>
    <w:rsid w:val="00F36F67"/>
    <w:rsid w:val="00F37279"/>
    <w:rsid w:val="00F37AE3"/>
    <w:rsid w:val="00F37E95"/>
    <w:rsid w:val="00F40578"/>
    <w:rsid w:val="00F407FE"/>
    <w:rsid w:val="00F40C6F"/>
    <w:rsid w:val="00F40DB7"/>
    <w:rsid w:val="00F40E34"/>
    <w:rsid w:val="00F40FB2"/>
    <w:rsid w:val="00F41419"/>
    <w:rsid w:val="00F41926"/>
    <w:rsid w:val="00F423AD"/>
    <w:rsid w:val="00F42521"/>
    <w:rsid w:val="00F42975"/>
    <w:rsid w:val="00F42C87"/>
    <w:rsid w:val="00F42D25"/>
    <w:rsid w:val="00F42E0D"/>
    <w:rsid w:val="00F42E45"/>
    <w:rsid w:val="00F42E77"/>
    <w:rsid w:val="00F42EE9"/>
    <w:rsid w:val="00F43994"/>
    <w:rsid w:val="00F43AB4"/>
    <w:rsid w:val="00F43C9C"/>
    <w:rsid w:val="00F43EB4"/>
    <w:rsid w:val="00F44105"/>
    <w:rsid w:val="00F442DF"/>
    <w:rsid w:val="00F44848"/>
    <w:rsid w:val="00F44ACB"/>
    <w:rsid w:val="00F44AF8"/>
    <w:rsid w:val="00F45512"/>
    <w:rsid w:val="00F45CD2"/>
    <w:rsid w:val="00F45D1D"/>
    <w:rsid w:val="00F47678"/>
    <w:rsid w:val="00F47901"/>
    <w:rsid w:val="00F5014A"/>
    <w:rsid w:val="00F503F4"/>
    <w:rsid w:val="00F50618"/>
    <w:rsid w:val="00F50A31"/>
    <w:rsid w:val="00F512EE"/>
    <w:rsid w:val="00F518CA"/>
    <w:rsid w:val="00F5192A"/>
    <w:rsid w:val="00F51DCB"/>
    <w:rsid w:val="00F521FA"/>
    <w:rsid w:val="00F522D4"/>
    <w:rsid w:val="00F52420"/>
    <w:rsid w:val="00F52C93"/>
    <w:rsid w:val="00F52F91"/>
    <w:rsid w:val="00F53601"/>
    <w:rsid w:val="00F53D39"/>
    <w:rsid w:val="00F53DAA"/>
    <w:rsid w:val="00F54159"/>
    <w:rsid w:val="00F54214"/>
    <w:rsid w:val="00F54253"/>
    <w:rsid w:val="00F54559"/>
    <w:rsid w:val="00F54753"/>
    <w:rsid w:val="00F54E0D"/>
    <w:rsid w:val="00F55443"/>
    <w:rsid w:val="00F55A38"/>
    <w:rsid w:val="00F560DC"/>
    <w:rsid w:val="00F56637"/>
    <w:rsid w:val="00F5695F"/>
    <w:rsid w:val="00F56D6D"/>
    <w:rsid w:val="00F5705D"/>
    <w:rsid w:val="00F5760B"/>
    <w:rsid w:val="00F57691"/>
    <w:rsid w:val="00F578E9"/>
    <w:rsid w:val="00F57CAF"/>
    <w:rsid w:val="00F6059A"/>
    <w:rsid w:val="00F6079D"/>
    <w:rsid w:val="00F60C6F"/>
    <w:rsid w:val="00F60CEB"/>
    <w:rsid w:val="00F60D28"/>
    <w:rsid w:val="00F60EDC"/>
    <w:rsid w:val="00F60F05"/>
    <w:rsid w:val="00F6157A"/>
    <w:rsid w:val="00F61D20"/>
    <w:rsid w:val="00F61E39"/>
    <w:rsid w:val="00F622C1"/>
    <w:rsid w:val="00F62EDE"/>
    <w:rsid w:val="00F62F51"/>
    <w:rsid w:val="00F63252"/>
    <w:rsid w:val="00F633CB"/>
    <w:rsid w:val="00F6352D"/>
    <w:rsid w:val="00F6368C"/>
    <w:rsid w:val="00F63A2C"/>
    <w:rsid w:val="00F63AB2"/>
    <w:rsid w:val="00F63BCC"/>
    <w:rsid w:val="00F63ECF"/>
    <w:rsid w:val="00F640D0"/>
    <w:rsid w:val="00F643C0"/>
    <w:rsid w:val="00F64574"/>
    <w:rsid w:val="00F64BCE"/>
    <w:rsid w:val="00F64F81"/>
    <w:rsid w:val="00F654CD"/>
    <w:rsid w:val="00F65723"/>
    <w:rsid w:val="00F65893"/>
    <w:rsid w:val="00F65B5A"/>
    <w:rsid w:val="00F65C0C"/>
    <w:rsid w:val="00F65EBF"/>
    <w:rsid w:val="00F6687C"/>
    <w:rsid w:val="00F668D6"/>
    <w:rsid w:val="00F66EF4"/>
    <w:rsid w:val="00F677CD"/>
    <w:rsid w:val="00F67BA5"/>
    <w:rsid w:val="00F7025C"/>
    <w:rsid w:val="00F7057A"/>
    <w:rsid w:val="00F70A6A"/>
    <w:rsid w:val="00F70BFA"/>
    <w:rsid w:val="00F70D24"/>
    <w:rsid w:val="00F70E28"/>
    <w:rsid w:val="00F71371"/>
    <w:rsid w:val="00F71780"/>
    <w:rsid w:val="00F7199A"/>
    <w:rsid w:val="00F72109"/>
    <w:rsid w:val="00F72336"/>
    <w:rsid w:val="00F723C0"/>
    <w:rsid w:val="00F7267A"/>
    <w:rsid w:val="00F72B78"/>
    <w:rsid w:val="00F732F9"/>
    <w:rsid w:val="00F73ECD"/>
    <w:rsid w:val="00F744DD"/>
    <w:rsid w:val="00F749AC"/>
    <w:rsid w:val="00F74BA6"/>
    <w:rsid w:val="00F7510D"/>
    <w:rsid w:val="00F75395"/>
    <w:rsid w:val="00F7597D"/>
    <w:rsid w:val="00F7606B"/>
    <w:rsid w:val="00F765C5"/>
    <w:rsid w:val="00F7666D"/>
    <w:rsid w:val="00F76D75"/>
    <w:rsid w:val="00F7766A"/>
    <w:rsid w:val="00F77CF6"/>
    <w:rsid w:val="00F80910"/>
    <w:rsid w:val="00F81079"/>
    <w:rsid w:val="00F813BA"/>
    <w:rsid w:val="00F816B6"/>
    <w:rsid w:val="00F81E1A"/>
    <w:rsid w:val="00F81E1C"/>
    <w:rsid w:val="00F822E8"/>
    <w:rsid w:val="00F82385"/>
    <w:rsid w:val="00F82425"/>
    <w:rsid w:val="00F82B87"/>
    <w:rsid w:val="00F82D5F"/>
    <w:rsid w:val="00F83218"/>
    <w:rsid w:val="00F83BA2"/>
    <w:rsid w:val="00F83C04"/>
    <w:rsid w:val="00F8529B"/>
    <w:rsid w:val="00F85354"/>
    <w:rsid w:val="00F85561"/>
    <w:rsid w:val="00F85661"/>
    <w:rsid w:val="00F8566B"/>
    <w:rsid w:val="00F85827"/>
    <w:rsid w:val="00F85887"/>
    <w:rsid w:val="00F85B79"/>
    <w:rsid w:val="00F85CA4"/>
    <w:rsid w:val="00F85E70"/>
    <w:rsid w:val="00F8666D"/>
    <w:rsid w:val="00F866C5"/>
    <w:rsid w:val="00F87055"/>
    <w:rsid w:val="00F872A6"/>
    <w:rsid w:val="00F875BF"/>
    <w:rsid w:val="00F877CB"/>
    <w:rsid w:val="00F87C3A"/>
    <w:rsid w:val="00F90512"/>
    <w:rsid w:val="00F908D0"/>
    <w:rsid w:val="00F911D4"/>
    <w:rsid w:val="00F91A7E"/>
    <w:rsid w:val="00F91D3E"/>
    <w:rsid w:val="00F92672"/>
    <w:rsid w:val="00F92A67"/>
    <w:rsid w:val="00F92B42"/>
    <w:rsid w:val="00F92C82"/>
    <w:rsid w:val="00F92EDC"/>
    <w:rsid w:val="00F92EDE"/>
    <w:rsid w:val="00F9300B"/>
    <w:rsid w:val="00F9324D"/>
    <w:rsid w:val="00F933D2"/>
    <w:rsid w:val="00F93979"/>
    <w:rsid w:val="00F939A1"/>
    <w:rsid w:val="00F940AF"/>
    <w:rsid w:val="00F941BE"/>
    <w:rsid w:val="00F94295"/>
    <w:rsid w:val="00F945BE"/>
    <w:rsid w:val="00F9460D"/>
    <w:rsid w:val="00F946BD"/>
    <w:rsid w:val="00F9473F"/>
    <w:rsid w:val="00F94785"/>
    <w:rsid w:val="00F9492C"/>
    <w:rsid w:val="00F94AF4"/>
    <w:rsid w:val="00F94C22"/>
    <w:rsid w:val="00F94DA3"/>
    <w:rsid w:val="00F94FCD"/>
    <w:rsid w:val="00F94FEB"/>
    <w:rsid w:val="00F951F6"/>
    <w:rsid w:val="00F954DA"/>
    <w:rsid w:val="00F955E2"/>
    <w:rsid w:val="00F95A45"/>
    <w:rsid w:val="00F95A65"/>
    <w:rsid w:val="00F960F9"/>
    <w:rsid w:val="00F961A2"/>
    <w:rsid w:val="00F962A8"/>
    <w:rsid w:val="00F96A60"/>
    <w:rsid w:val="00F96BB8"/>
    <w:rsid w:val="00F971CC"/>
    <w:rsid w:val="00FA0455"/>
    <w:rsid w:val="00FA1178"/>
    <w:rsid w:val="00FA15F1"/>
    <w:rsid w:val="00FA1606"/>
    <w:rsid w:val="00FA2411"/>
    <w:rsid w:val="00FA2533"/>
    <w:rsid w:val="00FA29C2"/>
    <w:rsid w:val="00FA2F80"/>
    <w:rsid w:val="00FA3096"/>
    <w:rsid w:val="00FA3113"/>
    <w:rsid w:val="00FA327F"/>
    <w:rsid w:val="00FA336F"/>
    <w:rsid w:val="00FA3C1F"/>
    <w:rsid w:val="00FA3E11"/>
    <w:rsid w:val="00FA4173"/>
    <w:rsid w:val="00FA426B"/>
    <w:rsid w:val="00FA4980"/>
    <w:rsid w:val="00FA4AAD"/>
    <w:rsid w:val="00FA4F98"/>
    <w:rsid w:val="00FA55E0"/>
    <w:rsid w:val="00FA5A2E"/>
    <w:rsid w:val="00FA5C00"/>
    <w:rsid w:val="00FA630E"/>
    <w:rsid w:val="00FA68B5"/>
    <w:rsid w:val="00FA697D"/>
    <w:rsid w:val="00FA699D"/>
    <w:rsid w:val="00FA6C4E"/>
    <w:rsid w:val="00FA6EC7"/>
    <w:rsid w:val="00FA7390"/>
    <w:rsid w:val="00FA7779"/>
    <w:rsid w:val="00FA7C23"/>
    <w:rsid w:val="00FB000A"/>
    <w:rsid w:val="00FB000D"/>
    <w:rsid w:val="00FB01AB"/>
    <w:rsid w:val="00FB0463"/>
    <w:rsid w:val="00FB0740"/>
    <w:rsid w:val="00FB0A7D"/>
    <w:rsid w:val="00FB0AEF"/>
    <w:rsid w:val="00FB0B23"/>
    <w:rsid w:val="00FB0CCD"/>
    <w:rsid w:val="00FB0E97"/>
    <w:rsid w:val="00FB1ECE"/>
    <w:rsid w:val="00FB219D"/>
    <w:rsid w:val="00FB2C33"/>
    <w:rsid w:val="00FB2CC8"/>
    <w:rsid w:val="00FB2D1A"/>
    <w:rsid w:val="00FB3140"/>
    <w:rsid w:val="00FB34F9"/>
    <w:rsid w:val="00FB3651"/>
    <w:rsid w:val="00FB37E5"/>
    <w:rsid w:val="00FB388F"/>
    <w:rsid w:val="00FB3992"/>
    <w:rsid w:val="00FB3E4E"/>
    <w:rsid w:val="00FB3FF9"/>
    <w:rsid w:val="00FB4314"/>
    <w:rsid w:val="00FB4340"/>
    <w:rsid w:val="00FB43DD"/>
    <w:rsid w:val="00FB4728"/>
    <w:rsid w:val="00FB4DD4"/>
    <w:rsid w:val="00FB4EFB"/>
    <w:rsid w:val="00FB50B1"/>
    <w:rsid w:val="00FB50D6"/>
    <w:rsid w:val="00FB5830"/>
    <w:rsid w:val="00FB59D9"/>
    <w:rsid w:val="00FB5A08"/>
    <w:rsid w:val="00FB5D0A"/>
    <w:rsid w:val="00FB5D1C"/>
    <w:rsid w:val="00FB61F7"/>
    <w:rsid w:val="00FB6306"/>
    <w:rsid w:val="00FB6372"/>
    <w:rsid w:val="00FB6DF9"/>
    <w:rsid w:val="00FB7115"/>
    <w:rsid w:val="00FB7B86"/>
    <w:rsid w:val="00FC01AA"/>
    <w:rsid w:val="00FC0277"/>
    <w:rsid w:val="00FC033C"/>
    <w:rsid w:val="00FC0817"/>
    <w:rsid w:val="00FC09FB"/>
    <w:rsid w:val="00FC0EE7"/>
    <w:rsid w:val="00FC10CA"/>
    <w:rsid w:val="00FC1102"/>
    <w:rsid w:val="00FC111B"/>
    <w:rsid w:val="00FC16A4"/>
    <w:rsid w:val="00FC1EBF"/>
    <w:rsid w:val="00FC21C9"/>
    <w:rsid w:val="00FC252C"/>
    <w:rsid w:val="00FC2BCC"/>
    <w:rsid w:val="00FC2C74"/>
    <w:rsid w:val="00FC337D"/>
    <w:rsid w:val="00FC33B2"/>
    <w:rsid w:val="00FC398A"/>
    <w:rsid w:val="00FC403E"/>
    <w:rsid w:val="00FC417E"/>
    <w:rsid w:val="00FC43EA"/>
    <w:rsid w:val="00FC44DA"/>
    <w:rsid w:val="00FC494C"/>
    <w:rsid w:val="00FC4B86"/>
    <w:rsid w:val="00FC4CFB"/>
    <w:rsid w:val="00FC4EBB"/>
    <w:rsid w:val="00FC500A"/>
    <w:rsid w:val="00FC5B4D"/>
    <w:rsid w:val="00FC5B9A"/>
    <w:rsid w:val="00FC5FA5"/>
    <w:rsid w:val="00FC61CE"/>
    <w:rsid w:val="00FC66D8"/>
    <w:rsid w:val="00FC6C4A"/>
    <w:rsid w:val="00FC6C7E"/>
    <w:rsid w:val="00FC6FE8"/>
    <w:rsid w:val="00FC7234"/>
    <w:rsid w:val="00FC7685"/>
    <w:rsid w:val="00FC7C17"/>
    <w:rsid w:val="00FC7D57"/>
    <w:rsid w:val="00FD00A1"/>
    <w:rsid w:val="00FD0352"/>
    <w:rsid w:val="00FD0630"/>
    <w:rsid w:val="00FD15DC"/>
    <w:rsid w:val="00FD181D"/>
    <w:rsid w:val="00FD1AD5"/>
    <w:rsid w:val="00FD23DD"/>
    <w:rsid w:val="00FD28E4"/>
    <w:rsid w:val="00FD35D5"/>
    <w:rsid w:val="00FD3A51"/>
    <w:rsid w:val="00FD41A7"/>
    <w:rsid w:val="00FD43C5"/>
    <w:rsid w:val="00FD47AC"/>
    <w:rsid w:val="00FD48A0"/>
    <w:rsid w:val="00FD4DE0"/>
    <w:rsid w:val="00FD502E"/>
    <w:rsid w:val="00FD588F"/>
    <w:rsid w:val="00FD5901"/>
    <w:rsid w:val="00FD6191"/>
    <w:rsid w:val="00FD6803"/>
    <w:rsid w:val="00FD6C9E"/>
    <w:rsid w:val="00FD6DF1"/>
    <w:rsid w:val="00FD6F07"/>
    <w:rsid w:val="00FD7085"/>
    <w:rsid w:val="00FD7179"/>
    <w:rsid w:val="00FD7D78"/>
    <w:rsid w:val="00FD7DD6"/>
    <w:rsid w:val="00FD7E00"/>
    <w:rsid w:val="00FD7FC3"/>
    <w:rsid w:val="00FE02E9"/>
    <w:rsid w:val="00FE0629"/>
    <w:rsid w:val="00FE0795"/>
    <w:rsid w:val="00FE0AD1"/>
    <w:rsid w:val="00FE0C59"/>
    <w:rsid w:val="00FE0E45"/>
    <w:rsid w:val="00FE0EBB"/>
    <w:rsid w:val="00FE1665"/>
    <w:rsid w:val="00FE16BF"/>
    <w:rsid w:val="00FE170C"/>
    <w:rsid w:val="00FE1B31"/>
    <w:rsid w:val="00FE1BF0"/>
    <w:rsid w:val="00FE2050"/>
    <w:rsid w:val="00FE22B5"/>
    <w:rsid w:val="00FE2629"/>
    <w:rsid w:val="00FE27C2"/>
    <w:rsid w:val="00FE302B"/>
    <w:rsid w:val="00FE3481"/>
    <w:rsid w:val="00FE3AD0"/>
    <w:rsid w:val="00FE3C86"/>
    <w:rsid w:val="00FE43D5"/>
    <w:rsid w:val="00FE4528"/>
    <w:rsid w:val="00FE4574"/>
    <w:rsid w:val="00FE50C2"/>
    <w:rsid w:val="00FE53B5"/>
    <w:rsid w:val="00FE54FE"/>
    <w:rsid w:val="00FE59F5"/>
    <w:rsid w:val="00FE604E"/>
    <w:rsid w:val="00FE6A6A"/>
    <w:rsid w:val="00FE6E17"/>
    <w:rsid w:val="00FE77E4"/>
    <w:rsid w:val="00FE78AD"/>
    <w:rsid w:val="00FE7C16"/>
    <w:rsid w:val="00FE7F86"/>
    <w:rsid w:val="00FF1362"/>
    <w:rsid w:val="00FF1452"/>
    <w:rsid w:val="00FF1477"/>
    <w:rsid w:val="00FF18EB"/>
    <w:rsid w:val="00FF19E5"/>
    <w:rsid w:val="00FF2111"/>
    <w:rsid w:val="00FF248C"/>
    <w:rsid w:val="00FF2A65"/>
    <w:rsid w:val="00FF34EE"/>
    <w:rsid w:val="00FF3689"/>
    <w:rsid w:val="00FF391B"/>
    <w:rsid w:val="00FF3A25"/>
    <w:rsid w:val="00FF3A76"/>
    <w:rsid w:val="00FF3FC8"/>
    <w:rsid w:val="00FF4317"/>
    <w:rsid w:val="00FF4454"/>
    <w:rsid w:val="00FF4B4D"/>
    <w:rsid w:val="00FF560A"/>
    <w:rsid w:val="00FF5730"/>
    <w:rsid w:val="00FF5B80"/>
    <w:rsid w:val="00FF5CBA"/>
    <w:rsid w:val="00FF6058"/>
    <w:rsid w:val="00FF6790"/>
    <w:rsid w:val="00FF6868"/>
    <w:rsid w:val="00FF68EA"/>
    <w:rsid w:val="00FF6B92"/>
    <w:rsid w:val="00FF700B"/>
    <w:rsid w:val="00FF7037"/>
    <w:rsid w:val="00FF703F"/>
    <w:rsid w:val="00FF7917"/>
    <w:rsid w:val="00FF7B86"/>
    <w:rsid w:val="00FF7FA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vertical-relative:line" fill="f" fillcolor="white" stroke="f">
      <v:fill color="white" on="f"/>
      <v:stroke on="f"/>
      <o:colormru v:ext="edit" colors="#005595"/>
    </o:shapedefaults>
    <o:shapelayout v:ext="edit">
      <o:idmap v:ext="edit" data="1"/>
    </o:shapelayout>
  </w:shapeDefaults>
  <w:decimalSymbol w:val="."/>
  <w:listSeparator w:val=","/>
  <w14:docId w14:val="3276933D"/>
  <w15:chartTrackingRefBased/>
  <w15:docId w15:val="{42BC5770-F77E-47BB-8D6C-DE442D31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lo-L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iPriority="99"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34"/>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7FAD"/>
    <w:pPr>
      <w:spacing w:after="120"/>
      <w:jc w:val="both"/>
    </w:pPr>
    <w:rPr>
      <w:rFonts w:ascii="Calibri" w:hAnsi="Calibri"/>
      <w:sz w:val="22"/>
      <w:szCs w:val="24"/>
      <w:lang w:val="sq-AL" w:eastAsia="it-IT" w:bidi="ar-SA"/>
    </w:rPr>
  </w:style>
  <w:style w:type="paragraph" w:styleId="Heading1">
    <w:name w:val="heading 1"/>
    <w:aliases w:val="Hoofdstuk,Chapter,EPZ_P_1,EPZ_O_1,EPZ_U_1,EPZ_R_1,h1,H1,Titolo 1base"/>
    <w:basedOn w:val="Normal"/>
    <w:next w:val="Normal"/>
    <w:link w:val="Heading1Char"/>
    <w:qFormat/>
    <w:rsid w:val="006E5F88"/>
    <w:pPr>
      <w:keepNext/>
      <w:keepLines/>
      <w:numPr>
        <w:numId w:val="1"/>
      </w:numPr>
      <w:pBdr>
        <w:bottom w:val="single" w:sz="4" w:space="1" w:color="005595"/>
      </w:pBdr>
      <w:spacing w:before="120"/>
      <w:outlineLvl w:val="0"/>
    </w:pPr>
    <w:rPr>
      <w:rFonts w:ascii="Arial" w:hAnsi="Arial"/>
      <w:b/>
      <w:color w:val="005595"/>
      <w:sz w:val="28"/>
      <w:szCs w:val="20"/>
      <w:lang w:val="en-US" w:eastAsia="en-US"/>
    </w:rPr>
  </w:style>
  <w:style w:type="paragraph" w:styleId="Heading2">
    <w:name w:val="heading 2"/>
    <w:aliases w:val="IRD 2,H2,sous-chapitre,T2"/>
    <w:basedOn w:val="Normal"/>
    <w:next w:val="Normal"/>
    <w:link w:val="Heading2Char"/>
    <w:qFormat/>
    <w:rsid w:val="00DD20A5"/>
    <w:pPr>
      <w:keepNext/>
      <w:numPr>
        <w:ilvl w:val="1"/>
        <w:numId w:val="1"/>
      </w:numPr>
      <w:shd w:val="clear" w:color="auto" w:fill="FFFFFF" w:themeFill="background1"/>
      <w:outlineLvl w:val="1"/>
    </w:pPr>
    <w:rPr>
      <w:rFonts w:ascii="Arial" w:eastAsia="Calibri" w:hAnsi="Arial"/>
      <w:b/>
      <w:bCs/>
      <w:color w:val="005595"/>
      <w:sz w:val="24"/>
      <w:lang w:val="en-US" w:eastAsia="x-none"/>
    </w:rPr>
  </w:style>
  <w:style w:type="paragraph" w:styleId="Heading3">
    <w:name w:val="heading 3"/>
    <w:aliases w:val="IRD 3,Section,T3"/>
    <w:basedOn w:val="Heading2"/>
    <w:next w:val="Normal"/>
    <w:link w:val="Heading3Char"/>
    <w:qFormat/>
    <w:rsid w:val="00B07B68"/>
    <w:pPr>
      <w:numPr>
        <w:ilvl w:val="2"/>
      </w:numPr>
      <w:spacing w:before="240" w:after="240" w:line="276" w:lineRule="auto"/>
      <w:ind w:left="5115"/>
      <w:outlineLvl w:val="2"/>
    </w:pPr>
    <w:rPr>
      <w:lang w:val="en-GB"/>
    </w:rPr>
  </w:style>
  <w:style w:type="paragraph" w:styleId="Heading4">
    <w:name w:val="heading 4"/>
    <w:basedOn w:val="Normal"/>
    <w:next w:val="Normal"/>
    <w:link w:val="Heading4Char"/>
    <w:qFormat/>
    <w:rsid w:val="005B65E5"/>
    <w:pPr>
      <w:keepNext/>
      <w:numPr>
        <w:ilvl w:val="3"/>
        <w:numId w:val="6"/>
      </w:numPr>
      <w:spacing w:before="360" w:after="240"/>
      <w:outlineLvl w:val="3"/>
    </w:pPr>
    <w:rPr>
      <w:b/>
      <w:color w:val="005595"/>
      <w:sz w:val="24"/>
      <w:szCs w:val="32"/>
      <w:lang w:val="en-US" w:eastAsia="x-none"/>
    </w:rPr>
  </w:style>
  <w:style w:type="paragraph" w:styleId="Heading5">
    <w:name w:val="heading 5"/>
    <w:aliases w:val="PA Pico Section,5e niveau,T5"/>
    <w:basedOn w:val="Normal"/>
    <w:next w:val="Normal"/>
    <w:link w:val="Heading5Char"/>
    <w:qFormat/>
    <w:rsid w:val="00532BBD"/>
    <w:pPr>
      <w:keepNext/>
      <w:numPr>
        <w:ilvl w:val="4"/>
        <w:numId w:val="1"/>
      </w:numPr>
      <w:outlineLvl w:val="4"/>
    </w:pPr>
    <w:rPr>
      <w:b/>
      <w:bCs/>
      <w:color w:val="4F81BD"/>
      <w:lang w:val="en-US" w:eastAsia="x-none"/>
    </w:rPr>
  </w:style>
  <w:style w:type="paragraph" w:styleId="Heading6">
    <w:name w:val="heading 6"/>
    <w:aliases w:val="PA Appendix,EPZ_O_6,EPZ_U_6,EPZ_P_6,T6,Do Not Use 6,Heading 61"/>
    <w:basedOn w:val="Normal"/>
    <w:next w:val="Normal"/>
    <w:link w:val="Heading6Char"/>
    <w:qFormat/>
    <w:rsid w:val="008322EE"/>
    <w:pPr>
      <w:keepNext/>
      <w:numPr>
        <w:ilvl w:val="5"/>
        <w:numId w:val="1"/>
      </w:numPr>
      <w:outlineLvl w:val="5"/>
    </w:pPr>
    <w:rPr>
      <w:b/>
      <w:bCs/>
      <w:sz w:val="20"/>
      <w:lang w:val="en-US" w:eastAsia="x-none"/>
    </w:rPr>
  </w:style>
  <w:style w:type="paragraph" w:styleId="Heading7">
    <w:name w:val="heading 7"/>
    <w:aliases w:val="PA Appendix Major,Do Not Use 7"/>
    <w:basedOn w:val="Normal"/>
    <w:next w:val="Normal"/>
    <w:link w:val="Heading7Char"/>
    <w:qFormat/>
    <w:rsid w:val="008322EE"/>
    <w:pPr>
      <w:keepNext/>
      <w:numPr>
        <w:ilvl w:val="6"/>
        <w:numId w:val="1"/>
      </w:numPr>
      <w:spacing w:before="120"/>
      <w:outlineLvl w:val="6"/>
    </w:pPr>
    <w:rPr>
      <w:b/>
      <w:lang w:val="en-US" w:eastAsia="x-none"/>
    </w:rPr>
  </w:style>
  <w:style w:type="paragraph" w:styleId="Heading8">
    <w:name w:val="heading 8"/>
    <w:aliases w:val="PA Appendix Minor,Do Not Use 8,Heading 81"/>
    <w:basedOn w:val="Normal"/>
    <w:next w:val="Normal"/>
    <w:link w:val="Heading8Char"/>
    <w:qFormat/>
    <w:rsid w:val="008322EE"/>
    <w:pPr>
      <w:keepNext/>
      <w:numPr>
        <w:ilvl w:val="7"/>
        <w:numId w:val="1"/>
      </w:numPr>
      <w:jc w:val="center"/>
      <w:outlineLvl w:val="7"/>
    </w:pPr>
    <w:rPr>
      <w:b/>
      <w:bCs/>
      <w:lang w:val="en-US" w:eastAsia="x-none"/>
    </w:rPr>
  </w:style>
  <w:style w:type="paragraph" w:styleId="Heading9">
    <w:name w:val="heading 9"/>
    <w:aliases w:val="Do Not Use 9"/>
    <w:basedOn w:val="Normal"/>
    <w:next w:val="Normal"/>
    <w:link w:val="Heading9Char"/>
    <w:qFormat/>
    <w:rsid w:val="008322EE"/>
    <w:pPr>
      <w:keepNext/>
      <w:numPr>
        <w:ilvl w:val="8"/>
        <w:numId w:val="1"/>
      </w:numPr>
      <w:outlineLvl w:val="8"/>
    </w:pPr>
    <w:rPr>
      <w:b/>
      <w:bCs/>
      <w:lang w:val="en-US"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oofdstuk Char,Chapter Char,EPZ_P_1 Char,EPZ_O_1 Char,EPZ_U_1 Char,EPZ_R_1 Char,h1 Char,H1 Char,Titolo 1base Char"/>
    <w:link w:val="Heading1"/>
    <w:rsid w:val="006E5F88"/>
    <w:rPr>
      <w:rFonts w:ascii="Arial" w:hAnsi="Arial"/>
      <w:b/>
      <w:color w:val="005595"/>
      <w:sz w:val="28"/>
      <w:lang w:val="en-US" w:eastAsia="en-US" w:bidi="ar-SA"/>
    </w:rPr>
  </w:style>
  <w:style w:type="character" w:customStyle="1" w:styleId="Heading2Char">
    <w:name w:val="Heading 2 Char"/>
    <w:aliases w:val="IRD 2 Char,H2 Char,sous-chapitre Char,T2 Char"/>
    <w:link w:val="Heading2"/>
    <w:rsid w:val="00DD20A5"/>
    <w:rPr>
      <w:rFonts w:ascii="Arial" w:eastAsia="Calibri" w:hAnsi="Arial"/>
      <w:b/>
      <w:bCs/>
      <w:color w:val="005595"/>
      <w:sz w:val="24"/>
      <w:szCs w:val="24"/>
      <w:shd w:val="clear" w:color="auto" w:fill="FFFFFF" w:themeFill="background1"/>
      <w:lang w:val="en-US" w:eastAsia="x-none" w:bidi="ar-SA"/>
    </w:rPr>
  </w:style>
  <w:style w:type="character" w:customStyle="1" w:styleId="Heading3Char">
    <w:name w:val="Heading 3 Char"/>
    <w:aliases w:val="IRD 3 Char,Section Char,T3 Char"/>
    <w:link w:val="Heading3"/>
    <w:rsid w:val="00B07B68"/>
    <w:rPr>
      <w:rFonts w:ascii="Arial" w:eastAsia="Calibri" w:hAnsi="Arial"/>
      <w:b/>
      <w:bCs/>
      <w:color w:val="005595"/>
      <w:sz w:val="24"/>
      <w:szCs w:val="24"/>
      <w:shd w:val="clear" w:color="auto" w:fill="FFFFFF" w:themeFill="background1"/>
      <w:lang w:eastAsia="x-none" w:bidi="ar-SA"/>
    </w:rPr>
  </w:style>
  <w:style w:type="character" w:customStyle="1" w:styleId="Heading4Char">
    <w:name w:val="Heading 4 Char"/>
    <w:link w:val="Heading4"/>
    <w:qFormat/>
    <w:rsid w:val="005B65E5"/>
    <w:rPr>
      <w:rFonts w:ascii="Calibri" w:hAnsi="Calibri"/>
      <w:b/>
      <w:color w:val="005595"/>
      <w:sz w:val="24"/>
      <w:szCs w:val="32"/>
      <w:lang w:val="en-US" w:eastAsia="x-none" w:bidi="ar-SA"/>
    </w:rPr>
  </w:style>
  <w:style w:type="character" w:customStyle="1" w:styleId="Heading5Char">
    <w:name w:val="Heading 5 Char"/>
    <w:aliases w:val="PA Pico Section Char,5e niveau Char,T5 Char"/>
    <w:link w:val="Heading5"/>
    <w:rsid w:val="001E0528"/>
    <w:rPr>
      <w:rFonts w:ascii="Calibri" w:hAnsi="Calibri"/>
      <w:b/>
      <w:bCs/>
      <w:color w:val="4F81BD"/>
      <w:sz w:val="22"/>
      <w:szCs w:val="24"/>
      <w:lang w:val="en-US" w:eastAsia="x-none" w:bidi="ar-SA"/>
    </w:rPr>
  </w:style>
  <w:style w:type="character" w:customStyle="1" w:styleId="Heading6Char">
    <w:name w:val="Heading 6 Char"/>
    <w:aliases w:val="PA Appendix Char,EPZ_O_6 Char,EPZ_U_6 Char,EPZ_P_6 Char,T6 Char,Do Not Use 6 Char,Heading 61 Char"/>
    <w:link w:val="Heading6"/>
    <w:rsid w:val="001E0528"/>
    <w:rPr>
      <w:rFonts w:ascii="Calibri" w:hAnsi="Calibri"/>
      <w:b/>
      <w:bCs/>
      <w:szCs w:val="24"/>
      <w:lang w:val="en-US" w:eastAsia="x-none" w:bidi="ar-SA"/>
    </w:rPr>
  </w:style>
  <w:style w:type="character" w:customStyle="1" w:styleId="Heading7Char">
    <w:name w:val="Heading 7 Char"/>
    <w:aliases w:val="PA Appendix Major Char,Do Not Use 7 Char"/>
    <w:link w:val="Heading7"/>
    <w:rsid w:val="001E0528"/>
    <w:rPr>
      <w:rFonts w:ascii="Calibri" w:hAnsi="Calibri"/>
      <w:b/>
      <w:sz w:val="22"/>
      <w:szCs w:val="24"/>
      <w:lang w:val="en-US" w:eastAsia="x-none" w:bidi="ar-SA"/>
    </w:rPr>
  </w:style>
  <w:style w:type="character" w:customStyle="1" w:styleId="Heading8Char">
    <w:name w:val="Heading 8 Char"/>
    <w:aliases w:val="PA Appendix Minor Char,Do Not Use 8 Char,Heading 81 Char"/>
    <w:link w:val="Heading8"/>
    <w:rsid w:val="001E0528"/>
    <w:rPr>
      <w:rFonts w:ascii="Calibri" w:hAnsi="Calibri"/>
      <w:b/>
      <w:bCs/>
      <w:sz w:val="22"/>
      <w:szCs w:val="24"/>
      <w:lang w:val="en-US" w:eastAsia="x-none" w:bidi="ar-SA"/>
    </w:rPr>
  </w:style>
  <w:style w:type="character" w:customStyle="1" w:styleId="Heading9Char">
    <w:name w:val="Heading 9 Char"/>
    <w:aliases w:val="Do Not Use 9 Char"/>
    <w:link w:val="Heading9"/>
    <w:rsid w:val="001E0528"/>
    <w:rPr>
      <w:rFonts w:ascii="Calibri" w:hAnsi="Calibri"/>
      <w:b/>
      <w:bCs/>
      <w:sz w:val="22"/>
      <w:szCs w:val="24"/>
      <w:lang w:val="en-US" w:eastAsia="x-none" w:bidi="ar-SA"/>
    </w:rPr>
  </w:style>
  <w:style w:type="paragraph" w:styleId="BodyText2">
    <w:name w:val="Body Text 2"/>
    <w:basedOn w:val="Normal"/>
    <w:link w:val="BodyText2Char"/>
    <w:rsid w:val="008322EE"/>
    <w:pPr>
      <w:jc w:val="center"/>
    </w:pPr>
    <w:rPr>
      <w:rFonts w:ascii="Times New Roman Bold" w:hAnsi="Times New Roman Bold"/>
      <w:b/>
      <w:smallCaps/>
      <w:sz w:val="28"/>
      <w:lang w:val="en-US"/>
    </w:rPr>
  </w:style>
  <w:style w:type="character" w:customStyle="1" w:styleId="BodyText2Char">
    <w:name w:val="Body Text 2 Char"/>
    <w:basedOn w:val="DefaultParagraphFont"/>
    <w:link w:val="BodyText2"/>
    <w:rsid w:val="008E65CB"/>
    <w:rPr>
      <w:rFonts w:ascii="Times New Roman Bold" w:hAnsi="Times New Roman Bold"/>
      <w:b/>
      <w:smallCaps/>
      <w:sz w:val="28"/>
      <w:szCs w:val="24"/>
      <w:lang w:val="en-US" w:eastAsia="it-IT" w:bidi="ar-SA"/>
    </w:rPr>
  </w:style>
  <w:style w:type="paragraph" w:styleId="BodyTextIndent3">
    <w:name w:val="Body Text Indent 3"/>
    <w:basedOn w:val="Normal"/>
    <w:link w:val="BodyTextIndent3Char"/>
    <w:rsid w:val="008322EE"/>
    <w:pPr>
      <w:ind w:left="720" w:hanging="720"/>
    </w:pPr>
    <w:rPr>
      <w:spacing w:val="-2"/>
      <w:lang w:val="en-US"/>
    </w:rPr>
  </w:style>
  <w:style w:type="character" w:customStyle="1" w:styleId="BodyTextIndent3Char">
    <w:name w:val="Body Text Indent 3 Char"/>
    <w:basedOn w:val="DefaultParagraphFont"/>
    <w:link w:val="BodyTextIndent3"/>
    <w:rsid w:val="008E65CB"/>
    <w:rPr>
      <w:rFonts w:ascii="Calibri" w:hAnsi="Calibri"/>
      <w:spacing w:val="-2"/>
      <w:sz w:val="22"/>
      <w:szCs w:val="24"/>
      <w:lang w:val="en-US" w:eastAsia="it-IT" w:bidi="ar-SA"/>
    </w:rPr>
  </w:style>
  <w:style w:type="character" w:styleId="FootnoteReference">
    <w:name w:val="footnote reference"/>
    <w:aliases w:val="Ref,de nota al pie,Ref1,de nota al pie1,Ref2,de nota al pie2,Ref11,de nota al pie11,Source Reference,SUPERS,number,Footnote reference number,Footnote symbol,note TESI,-E Fußnotenzeichen,Footnote,Times 10 Point,no...,BVI fnr"/>
    <w:link w:val="Footnotesrefs"/>
    <w:uiPriority w:val="99"/>
    <w:qFormat/>
    <w:rsid w:val="008322EE"/>
    <w:rPr>
      <w:vertAlign w:val="superscript"/>
    </w:rPr>
  </w:style>
  <w:style w:type="paragraph" w:customStyle="1" w:styleId="Footnotesrefs">
    <w:name w:val="Footnotes refs"/>
    <w:basedOn w:val="Normal"/>
    <w:link w:val="FootnoteReference"/>
    <w:uiPriority w:val="99"/>
    <w:qFormat/>
    <w:rsid w:val="00D11C26"/>
    <w:pPr>
      <w:suppressAutoHyphens/>
      <w:autoSpaceDN w:val="0"/>
      <w:spacing w:before="120" w:after="60" w:line="240" w:lineRule="exact"/>
      <w:ind w:firstLine="357"/>
      <w:textAlignment w:val="baseline"/>
    </w:pPr>
    <w:rPr>
      <w:rFonts w:ascii="Times New Roman" w:hAnsi="Times New Roman"/>
      <w:sz w:val="20"/>
      <w:szCs w:val="20"/>
      <w:vertAlign w:val="superscript"/>
      <w:lang w:eastAsia="en-GB" w:bidi="lo-LA"/>
    </w:rPr>
  </w:style>
  <w:style w:type="paragraph" w:styleId="BodyText">
    <w:name w:val="Body Text"/>
    <w:aliases w:val="bt, bt,body text,BodyText,Text,by,Body,(Norm)"/>
    <w:basedOn w:val="Normal"/>
    <w:link w:val="BodyTextChar"/>
    <w:qFormat/>
    <w:rsid w:val="008322EE"/>
    <w:rPr>
      <w:rFonts w:ascii="Times New Roman" w:hAnsi="Times New Roman"/>
      <w:sz w:val="24"/>
      <w:lang w:val="x-none"/>
    </w:rPr>
  </w:style>
  <w:style w:type="character" w:customStyle="1" w:styleId="BodyTextChar">
    <w:name w:val="Body Text Char"/>
    <w:aliases w:val="bt Char, bt Char,body text Char,BodyText Char,Text Char,by Char,Body Char,(Norm) Char"/>
    <w:link w:val="BodyText"/>
    <w:rsid w:val="00126F0E"/>
    <w:rPr>
      <w:sz w:val="24"/>
      <w:szCs w:val="24"/>
      <w:lang w:eastAsia="it-IT"/>
    </w:rPr>
  </w:style>
  <w:style w:type="paragraph" w:styleId="Header">
    <w:name w:val="header"/>
    <w:aliases w:val="Intestazione Carattere2,Intestazione Carattere Carattere,Intestazione Carattere1 Carattere Carattere,Intestazione Carattere Carattere Carattere Carattere,Intestazione Carattere1 Carattere Carattere Carattere Carattere, Char,hd,Char,ContentsHeader"/>
    <w:basedOn w:val="Normal"/>
    <w:link w:val="HeaderChar"/>
    <w:rsid w:val="008322EE"/>
    <w:pPr>
      <w:tabs>
        <w:tab w:val="center" w:pos="4320"/>
        <w:tab w:val="right" w:pos="8640"/>
      </w:tabs>
    </w:pPr>
    <w:rPr>
      <w:rFonts w:ascii="Times New Roman" w:hAnsi="Times New Roman"/>
      <w:sz w:val="24"/>
      <w:szCs w:val="20"/>
      <w:lang w:val="en-US" w:eastAsia="en-US"/>
    </w:rPr>
  </w:style>
  <w:style w:type="character" w:customStyle="1" w:styleId="HeaderChar">
    <w:name w:val="Header Char"/>
    <w:aliases w:val="Intestazione Carattere2 Char,Intestazione Carattere Carattere Char,Intestazione Carattere1 Carattere Carattere Char,Intestazione Carattere Carattere Carattere Carattere Char, Char Char,hd Char,Char Char,ContentsHeader Char"/>
    <w:link w:val="Header"/>
    <w:rsid w:val="004E17D9"/>
    <w:rPr>
      <w:sz w:val="24"/>
      <w:lang w:val="en-US" w:eastAsia="en-US"/>
    </w:rPr>
  </w:style>
  <w:style w:type="paragraph" w:styleId="FootnoteText">
    <w:name w:val="footnote text"/>
    <w:aliases w:val="Footnote Text Char Char Char Char,Footnote Text Char Char Char,Footnote Text Char Char,Fußnote,single space,Fußnotentextf,Sprotna opomba - besedilo Znak1,Sprotna opomba - besedilo Znak Znak2,fn,AD"/>
    <w:basedOn w:val="Normal"/>
    <w:link w:val="FootnoteTextChar"/>
    <w:uiPriority w:val="99"/>
    <w:qFormat/>
    <w:rsid w:val="008322EE"/>
    <w:pPr>
      <w:ind w:left="432" w:hanging="432"/>
    </w:pPr>
    <w:rPr>
      <w:sz w:val="20"/>
      <w:szCs w:val="20"/>
      <w:lang w:val="en-US" w:eastAsia="en-US"/>
    </w:rPr>
  </w:style>
  <w:style w:type="character" w:customStyle="1" w:styleId="FootnoteTextChar">
    <w:name w:val="Footnote Text Char"/>
    <w:aliases w:val="Footnote Text Char Char Char Char Char,Footnote Text Char Char Char Char1,Footnote Text Char Char Char1,Fußnote Char,single space Char,Fußnotentextf Char,Sprotna opomba - besedilo Znak1 Char,Sprotna opomba - besedilo Znak Znak2 Char"/>
    <w:link w:val="FootnoteText"/>
    <w:uiPriority w:val="99"/>
    <w:rsid w:val="00935459"/>
    <w:rPr>
      <w:rFonts w:ascii="Calibri" w:hAnsi="Calibri"/>
      <w:lang w:val="en-US" w:eastAsia="en-US"/>
    </w:rPr>
  </w:style>
  <w:style w:type="paragraph" w:styleId="BodyTextIndent2">
    <w:name w:val="Body Text Indent 2"/>
    <w:basedOn w:val="Normal"/>
    <w:link w:val="BodyTextIndent2Char"/>
    <w:rsid w:val="008322EE"/>
    <w:pPr>
      <w:tabs>
        <w:tab w:val="left" w:pos="360"/>
      </w:tabs>
      <w:ind w:left="360" w:hanging="360"/>
    </w:pPr>
    <w:rPr>
      <w:sz w:val="20"/>
      <w:lang w:val="en-US"/>
    </w:rPr>
  </w:style>
  <w:style w:type="character" w:customStyle="1" w:styleId="BodyTextIndent2Char">
    <w:name w:val="Body Text Indent 2 Char"/>
    <w:basedOn w:val="DefaultParagraphFont"/>
    <w:link w:val="BodyTextIndent2"/>
    <w:rsid w:val="008E65CB"/>
    <w:rPr>
      <w:rFonts w:ascii="Calibri" w:hAnsi="Calibri"/>
      <w:szCs w:val="24"/>
      <w:lang w:val="en-US" w:eastAsia="it-IT" w:bidi="ar-SA"/>
    </w:rPr>
  </w:style>
  <w:style w:type="paragraph" w:styleId="BodyTextIndent">
    <w:name w:val="Body Text Indent"/>
    <w:basedOn w:val="Normal"/>
    <w:link w:val="BodyTextIndentChar"/>
    <w:rsid w:val="008322EE"/>
    <w:pPr>
      <w:tabs>
        <w:tab w:val="left" w:pos="284"/>
      </w:tabs>
      <w:ind w:left="284" w:hanging="284"/>
    </w:pPr>
    <w:rPr>
      <w:sz w:val="20"/>
      <w:lang w:val="en-US"/>
    </w:rPr>
  </w:style>
  <w:style w:type="character" w:customStyle="1" w:styleId="BodyTextIndentChar">
    <w:name w:val="Body Text Indent Char"/>
    <w:basedOn w:val="DefaultParagraphFont"/>
    <w:link w:val="BodyTextIndent"/>
    <w:rsid w:val="008E65CB"/>
    <w:rPr>
      <w:rFonts w:ascii="Calibri" w:hAnsi="Calibri"/>
      <w:szCs w:val="24"/>
      <w:lang w:val="en-US" w:eastAsia="it-IT" w:bidi="ar-SA"/>
    </w:rPr>
  </w:style>
  <w:style w:type="character" w:styleId="PageNumber">
    <w:name w:val="page number"/>
    <w:basedOn w:val="DefaultParagraphFont"/>
    <w:rsid w:val="008322EE"/>
  </w:style>
  <w:style w:type="paragraph" w:styleId="Footer">
    <w:name w:val="footer"/>
    <w:aliases w:val="Нижний колонтитул Знак,Нижний колонтитул Знак1 Знак,Нижний колонтитул Знак Знак Знак,Знак Знак Знак Знак,Нижний колонтитул Знак1,Нижний колонтитул Знак Знак,Нижний колонтитул Знак1 Знак Знак,Нижний колонтитул Знак Знак Знак Знак,Char1 Char"/>
    <w:basedOn w:val="Normal"/>
    <w:link w:val="FooterChar"/>
    <w:uiPriority w:val="99"/>
    <w:rsid w:val="008322EE"/>
    <w:pPr>
      <w:tabs>
        <w:tab w:val="center" w:pos="4320"/>
        <w:tab w:val="right" w:pos="8640"/>
      </w:tabs>
    </w:pPr>
    <w:rPr>
      <w:rFonts w:ascii="Times New Roman" w:hAnsi="Times New Roman"/>
      <w:sz w:val="24"/>
      <w:szCs w:val="20"/>
      <w:lang w:val="en-US" w:eastAsia="en-US"/>
    </w:rPr>
  </w:style>
  <w:style w:type="character" w:customStyle="1" w:styleId="FooterChar">
    <w:name w:val="Footer Char"/>
    <w:aliases w:val="Нижний колонтитул Знак Char,Нижний колонтитул Знак1 Знак Char,Нижний колонтитул Знак Знак Знак Char,Знак Знак Знак Знак Char,Нижний колонтитул Знак1 Char,Нижний колонтитул Знак Знак Char,Нижний колонтитул Знак1 Знак Знак Char,Char1 Char Char"/>
    <w:link w:val="Footer"/>
    <w:uiPriority w:val="99"/>
    <w:rsid w:val="004E17D9"/>
    <w:rPr>
      <w:sz w:val="24"/>
      <w:lang w:val="en-US" w:eastAsia="en-US"/>
    </w:rPr>
  </w:style>
  <w:style w:type="paragraph" w:styleId="Title">
    <w:name w:val="Title"/>
    <w:aliases w:val="TOR Part"/>
    <w:basedOn w:val="Normal"/>
    <w:link w:val="TitleChar"/>
    <w:qFormat/>
    <w:rsid w:val="008322EE"/>
    <w:pPr>
      <w:jc w:val="center"/>
    </w:pPr>
    <w:rPr>
      <w:rFonts w:ascii="Arial" w:hAnsi="Arial"/>
      <w:b/>
      <w:bCs/>
      <w:lang w:val="en-US" w:eastAsia="en-US"/>
    </w:rPr>
  </w:style>
  <w:style w:type="character" w:customStyle="1" w:styleId="TitleChar">
    <w:name w:val="Title Char"/>
    <w:aliases w:val="TOR Part Char"/>
    <w:link w:val="Title"/>
    <w:rsid w:val="001E0528"/>
    <w:rPr>
      <w:rFonts w:ascii="Arial" w:hAnsi="Arial"/>
      <w:b/>
      <w:bCs/>
      <w:sz w:val="22"/>
      <w:szCs w:val="24"/>
      <w:lang w:val="en-US" w:eastAsia="en-US"/>
    </w:rPr>
  </w:style>
  <w:style w:type="paragraph" w:styleId="BalloonText">
    <w:name w:val="Balloon Text"/>
    <w:basedOn w:val="Normal"/>
    <w:link w:val="BalloonTextChar"/>
    <w:rsid w:val="003C2BB0"/>
    <w:rPr>
      <w:rFonts w:ascii="Tahoma" w:hAnsi="Tahoma"/>
      <w:sz w:val="16"/>
      <w:szCs w:val="16"/>
      <w:lang w:val="x-none" w:eastAsia="x-none"/>
    </w:rPr>
  </w:style>
  <w:style w:type="character" w:customStyle="1" w:styleId="BalloonTextChar">
    <w:name w:val="Balloon Text Char"/>
    <w:link w:val="BalloonText"/>
    <w:rsid w:val="001E0528"/>
    <w:rPr>
      <w:rFonts w:ascii="Tahoma" w:hAnsi="Tahoma" w:cs="Tahoma"/>
      <w:sz w:val="16"/>
      <w:szCs w:val="16"/>
    </w:rPr>
  </w:style>
  <w:style w:type="paragraph" w:styleId="TOCHeading">
    <w:name w:val="TOC Heading"/>
    <w:basedOn w:val="Heading1"/>
    <w:next w:val="Normal"/>
    <w:uiPriority w:val="39"/>
    <w:unhideWhenUsed/>
    <w:qFormat/>
    <w:rsid w:val="00270C88"/>
    <w:pPr>
      <w:spacing w:before="480" w:after="0" w:line="276" w:lineRule="auto"/>
      <w:jc w:val="left"/>
      <w:outlineLvl w:val="9"/>
    </w:pPr>
    <w:rPr>
      <w:rFonts w:ascii="Cambria" w:hAnsi="Cambria"/>
      <w:bCs/>
      <w:color w:val="365F91"/>
      <w:szCs w:val="28"/>
    </w:rPr>
  </w:style>
  <w:style w:type="paragraph" w:styleId="TOC1">
    <w:name w:val="toc 1"/>
    <w:basedOn w:val="Normal"/>
    <w:next w:val="Normal"/>
    <w:autoRedefine/>
    <w:uiPriority w:val="39"/>
    <w:qFormat/>
    <w:rsid w:val="00747297"/>
    <w:pPr>
      <w:tabs>
        <w:tab w:val="left" w:pos="450"/>
        <w:tab w:val="right" w:leader="dot" w:pos="9900"/>
      </w:tabs>
      <w:jc w:val="left"/>
    </w:pPr>
    <w:rPr>
      <w:rFonts w:ascii="Arial" w:hAnsi="Arial" w:cs="Arial"/>
    </w:rPr>
  </w:style>
  <w:style w:type="character" w:styleId="Hyperlink">
    <w:name w:val="Hyperlink"/>
    <w:uiPriority w:val="99"/>
    <w:unhideWhenUsed/>
    <w:rsid w:val="00A601C2"/>
    <w:rPr>
      <w:color w:val="0000FF"/>
      <w:u w:val="single"/>
    </w:rPr>
  </w:style>
  <w:style w:type="paragraph" w:styleId="TOC2">
    <w:name w:val="toc 2"/>
    <w:basedOn w:val="Normal"/>
    <w:next w:val="Normal"/>
    <w:autoRedefine/>
    <w:uiPriority w:val="39"/>
    <w:qFormat/>
    <w:rsid w:val="00444C83"/>
    <w:pPr>
      <w:tabs>
        <w:tab w:val="left" w:pos="900"/>
        <w:tab w:val="right" w:leader="dot" w:pos="9900"/>
      </w:tabs>
      <w:ind w:left="900" w:hanging="450"/>
      <w:jc w:val="left"/>
    </w:pPr>
    <w:rPr>
      <w:rFonts w:ascii="Arial" w:hAnsi="Arial"/>
    </w:rPr>
  </w:style>
  <w:style w:type="paragraph" w:styleId="TOC3">
    <w:name w:val="toc 3"/>
    <w:basedOn w:val="Normal"/>
    <w:next w:val="Normal"/>
    <w:autoRedefine/>
    <w:uiPriority w:val="39"/>
    <w:qFormat/>
    <w:rsid w:val="008640FC"/>
    <w:pPr>
      <w:tabs>
        <w:tab w:val="left" w:pos="1620"/>
        <w:tab w:val="right" w:leader="dot" w:pos="9781"/>
      </w:tabs>
      <w:ind w:left="1440" w:right="-35" w:hanging="540"/>
    </w:pPr>
    <w:rPr>
      <w:rFonts w:ascii="Arial" w:hAnsi="Arial"/>
    </w:rPr>
  </w:style>
  <w:style w:type="paragraph" w:styleId="ListParagraph">
    <w:name w:val="List Paragraph"/>
    <w:aliases w:val="Citation List,ANNEX,Bullet,bullet,bu,b,bullet1,B,b1,Bullet 1,bullet 1,body,b Char Char Char,b Char Char Char Char Char Char,b Char Char,Body Char1 Char1,b Char Char Char Char Char Char Char Char,Indent Paragraph,Inhaltsverzeichnis,본문(내용"/>
    <w:basedOn w:val="Normal"/>
    <w:link w:val="ListParagraphChar"/>
    <w:uiPriority w:val="34"/>
    <w:qFormat/>
    <w:rsid w:val="00695C83"/>
    <w:pPr>
      <w:spacing w:after="0"/>
      <w:ind w:left="708"/>
      <w:jc w:val="left"/>
    </w:pPr>
    <w:rPr>
      <w:lang w:eastAsia="ru-RU"/>
    </w:rPr>
  </w:style>
  <w:style w:type="character" w:customStyle="1" w:styleId="ListParagraphChar">
    <w:name w:val="List Paragraph Char"/>
    <w:aliases w:val="Citation List Char,ANNEX Char,Bullet Char,bullet Char,bu Char,b Char,bullet1 Char,B Char,b1 Char,Bullet 1 Char,bullet 1 Char,body Char,b Char Char Char Char,b Char Char Char Char Char Char Char,b Char Char Char1,Body Char1 Char1 Char"/>
    <w:link w:val="ListParagraph"/>
    <w:uiPriority w:val="34"/>
    <w:qFormat/>
    <w:locked/>
    <w:rsid w:val="00695C83"/>
    <w:rPr>
      <w:rFonts w:ascii="Calibri" w:hAnsi="Calibri"/>
      <w:sz w:val="22"/>
      <w:szCs w:val="24"/>
      <w:lang w:eastAsia="ru-RU"/>
    </w:rPr>
  </w:style>
  <w:style w:type="table" w:styleId="TableGrid">
    <w:name w:val="Table Grid"/>
    <w:aliases w:val="Table,Davis Langdon Table grid,Table Format 1,Row header,TabelEcorys,GFA Table Grid,Plain Table,Deloitte,Table Grid_General,CV table,CV1,HTG,chiffres,Tableau D,Table EY,Table Finalité,Table Definitions Grid,Deloitte Table Grid"/>
    <w:basedOn w:val="TableNormal"/>
    <w:uiPriority w:val="39"/>
    <w:rsid w:val="00D102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rsid w:val="001364A2"/>
    <w:rPr>
      <w:sz w:val="16"/>
      <w:szCs w:val="16"/>
    </w:rPr>
  </w:style>
  <w:style w:type="paragraph" w:styleId="CommentText">
    <w:name w:val="annotation text"/>
    <w:basedOn w:val="Normal"/>
    <w:link w:val="CommentTextChar"/>
    <w:uiPriority w:val="99"/>
    <w:rsid w:val="001364A2"/>
    <w:rPr>
      <w:sz w:val="20"/>
      <w:szCs w:val="20"/>
      <w:lang w:val="x-none" w:eastAsia="x-none"/>
    </w:rPr>
  </w:style>
  <w:style w:type="character" w:customStyle="1" w:styleId="CommentTextChar">
    <w:name w:val="Comment Text Char"/>
    <w:link w:val="CommentText"/>
    <w:uiPriority w:val="99"/>
    <w:rsid w:val="001364A2"/>
    <w:rPr>
      <w:rFonts w:ascii="Calibri" w:hAnsi="Calibri"/>
    </w:rPr>
  </w:style>
  <w:style w:type="paragraph" w:styleId="CommentSubject">
    <w:name w:val="annotation subject"/>
    <w:basedOn w:val="CommentText"/>
    <w:next w:val="CommentText"/>
    <w:link w:val="CommentSubjectChar"/>
    <w:rsid w:val="001364A2"/>
    <w:rPr>
      <w:b/>
      <w:bCs/>
    </w:rPr>
  </w:style>
  <w:style w:type="character" w:customStyle="1" w:styleId="CommentSubjectChar">
    <w:name w:val="Comment Subject Char"/>
    <w:link w:val="CommentSubject"/>
    <w:rsid w:val="001364A2"/>
    <w:rPr>
      <w:rFonts w:ascii="Calibri" w:hAnsi="Calibri"/>
      <w:b/>
      <w:bCs/>
    </w:rPr>
  </w:style>
  <w:style w:type="character" w:styleId="Emphasis">
    <w:name w:val="Emphasis"/>
    <w:uiPriority w:val="20"/>
    <w:qFormat/>
    <w:rsid w:val="00EE4F6E"/>
    <w:rPr>
      <w:b/>
      <w:bCs/>
      <w:i w:val="0"/>
      <w:iCs w:val="0"/>
    </w:rPr>
  </w:style>
  <w:style w:type="paragraph" w:customStyle="1" w:styleId="Default">
    <w:name w:val="Default"/>
    <w:rsid w:val="005B5E37"/>
    <w:pPr>
      <w:autoSpaceDE w:val="0"/>
      <w:autoSpaceDN w:val="0"/>
      <w:adjustRightInd w:val="0"/>
    </w:pPr>
    <w:rPr>
      <w:color w:val="000000"/>
      <w:sz w:val="24"/>
      <w:szCs w:val="24"/>
      <w:lang w:val="it-IT" w:eastAsia="it-IT" w:bidi="ar-SA"/>
    </w:rPr>
  </w:style>
  <w:style w:type="paragraph" w:styleId="Caption">
    <w:name w:val="caption"/>
    <w:aliases w:val="Pie de Gráfico,CaptionCFMU,figura,Map Char,Map Char Char,Map Char Char Char Char Char,Map Char Char Char,Map,Caption Char Char Car Car,Caption Char Char Car Car Car,Map Char Char Char Car Car,Caption Char Char,caption,ПОТПИС ДИЈАГРАМА"/>
    <w:basedOn w:val="Normal"/>
    <w:next w:val="Normal"/>
    <w:link w:val="CaptionChar"/>
    <w:uiPriority w:val="35"/>
    <w:qFormat/>
    <w:rsid w:val="00847EED"/>
    <w:pPr>
      <w:keepNext/>
      <w:spacing w:before="120"/>
      <w:jc w:val="center"/>
    </w:pPr>
    <w:rPr>
      <w:rFonts w:cs="Calibri"/>
      <w:iCs/>
      <w:noProof/>
      <w:color w:val="000000"/>
      <w:szCs w:val="20"/>
      <w:lang w:val="en-US" w:eastAsia="x-none"/>
    </w:rPr>
  </w:style>
  <w:style w:type="character" w:customStyle="1" w:styleId="CaptionChar">
    <w:name w:val="Caption Char"/>
    <w:aliases w:val="Pie de Gráfico Char,CaptionCFMU Char,figura Char,Map Char Char1,Map Char Char Char1,Map Char Char Char Char Char Char,Map Char Char Char Char,Map Char1,Caption Char Char Car Car Char,Caption Char Char Car Car Car Char,Caption Char Char Char"/>
    <w:link w:val="Caption"/>
    <w:uiPriority w:val="35"/>
    <w:locked/>
    <w:rsid w:val="00847EED"/>
    <w:rPr>
      <w:rFonts w:ascii="Calibri" w:hAnsi="Calibri" w:cs="Calibri"/>
      <w:iCs/>
      <w:noProof/>
      <w:color w:val="000000"/>
      <w:sz w:val="22"/>
      <w:lang w:val="en-US" w:eastAsia="x-none" w:bidi="ar-SA"/>
    </w:rPr>
  </w:style>
  <w:style w:type="paragraph" w:styleId="NormalWeb">
    <w:name w:val="Normal (Web)"/>
    <w:aliases w:val="Обычный (Web)"/>
    <w:basedOn w:val="Normal"/>
    <w:uiPriority w:val="99"/>
    <w:unhideWhenUsed/>
    <w:rsid w:val="001E0528"/>
    <w:pPr>
      <w:spacing w:after="0" w:line="270" w:lineRule="atLeast"/>
      <w:jc w:val="left"/>
    </w:pPr>
    <w:rPr>
      <w:rFonts w:ascii="Times New Roman" w:hAnsi="Times New Roman"/>
      <w:lang w:val="en-US" w:eastAsia="da-DK"/>
    </w:rPr>
  </w:style>
  <w:style w:type="paragraph" w:styleId="TOC4">
    <w:name w:val="toc 4"/>
    <w:basedOn w:val="Normal"/>
    <w:next w:val="Normal"/>
    <w:autoRedefine/>
    <w:uiPriority w:val="39"/>
    <w:unhideWhenUsed/>
    <w:qFormat/>
    <w:rsid w:val="001E0528"/>
    <w:pPr>
      <w:spacing w:before="120" w:after="100"/>
      <w:ind w:left="720"/>
    </w:pPr>
    <w:rPr>
      <w:rFonts w:eastAsia="Calibri"/>
      <w:szCs w:val="22"/>
      <w:lang w:eastAsia="en-US"/>
    </w:rPr>
  </w:style>
  <w:style w:type="paragraph" w:styleId="TOC5">
    <w:name w:val="toc 5"/>
    <w:basedOn w:val="Normal"/>
    <w:next w:val="Normal"/>
    <w:autoRedefine/>
    <w:uiPriority w:val="39"/>
    <w:unhideWhenUsed/>
    <w:qFormat/>
    <w:rsid w:val="001E0528"/>
    <w:pPr>
      <w:spacing w:before="120" w:after="100"/>
      <w:ind w:left="960"/>
    </w:pPr>
    <w:rPr>
      <w:rFonts w:eastAsia="Calibri"/>
      <w:szCs w:val="22"/>
      <w:lang w:eastAsia="en-US"/>
    </w:rPr>
  </w:style>
  <w:style w:type="paragraph" w:styleId="PlainText">
    <w:name w:val="Plain Text"/>
    <w:basedOn w:val="Normal"/>
    <w:link w:val="PlainTextChar"/>
    <w:unhideWhenUsed/>
    <w:rsid w:val="001E0528"/>
    <w:pPr>
      <w:spacing w:after="0"/>
      <w:jc w:val="left"/>
    </w:pPr>
    <w:rPr>
      <w:rFonts w:eastAsia="Calibri"/>
      <w:szCs w:val="21"/>
      <w:lang w:val="x-none" w:eastAsia="en-US"/>
    </w:rPr>
  </w:style>
  <w:style w:type="character" w:customStyle="1" w:styleId="PlainTextChar">
    <w:name w:val="Plain Text Char"/>
    <w:link w:val="PlainText"/>
    <w:rsid w:val="001E0528"/>
    <w:rPr>
      <w:rFonts w:ascii="Calibri" w:eastAsia="Calibri" w:hAnsi="Calibri"/>
      <w:sz w:val="22"/>
      <w:szCs w:val="21"/>
      <w:lang w:eastAsia="en-US"/>
    </w:rPr>
  </w:style>
  <w:style w:type="paragraph" w:styleId="TOC6">
    <w:name w:val="toc 6"/>
    <w:basedOn w:val="Normal"/>
    <w:next w:val="Normal"/>
    <w:autoRedefine/>
    <w:uiPriority w:val="39"/>
    <w:unhideWhenUsed/>
    <w:qFormat/>
    <w:rsid w:val="001E0528"/>
    <w:pPr>
      <w:spacing w:after="100" w:line="259" w:lineRule="auto"/>
      <w:ind w:left="1100"/>
      <w:jc w:val="left"/>
    </w:pPr>
    <w:rPr>
      <w:rFonts w:eastAsia="MS Mincho"/>
      <w:szCs w:val="22"/>
    </w:rPr>
  </w:style>
  <w:style w:type="paragraph" w:styleId="TOC7">
    <w:name w:val="toc 7"/>
    <w:basedOn w:val="Normal"/>
    <w:next w:val="Normal"/>
    <w:autoRedefine/>
    <w:uiPriority w:val="39"/>
    <w:unhideWhenUsed/>
    <w:qFormat/>
    <w:rsid w:val="001E0528"/>
    <w:pPr>
      <w:spacing w:after="100" w:line="259" w:lineRule="auto"/>
      <w:ind w:left="1320"/>
      <w:jc w:val="left"/>
    </w:pPr>
    <w:rPr>
      <w:rFonts w:eastAsia="MS Mincho"/>
      <w:szCs w:val="22"/>
    </w:rPr>
  </w:style>
  <w:style w:type="paragraph" w:styleId="TOC8">
    <w:name w:val="toc 8"/>
    <w:basedOn w:val="Normal"/>
    <w:next w:val="Normal"/>
    <w:autoRedefine/>
    <w:uiPriority w:val="39"/>
    <w:unhideWhenUsed/>
    <w:rsid w:val="001E0528"/>
    <w:pPr>
      <w:spacing w:after="100" w:line="259" w:lineRule="auto"/>
      <w:ind w:left="1540"/>
      <w:jc w:val="left"/>
    </w:pPr>
    <w:rPr>
      <w:rFonts w:eastAsia="MS Mincho"/>
      <w:szCs w:val="22"/>
    </w:rPr>
  </w:style>
  <w:style w:type="paragraph" w:styleId="TOC9">
    <w:name w:val="toc 9"/>
    <w:basedOn w:val="Normal"/>
    <w:next w:val="Normal"/>
    <w:autoRedefine/>
    <w:uiPriority w:val="39"/>
    <w:unhideWhenUsed/>
    <w:rsid w:val="001E0528"/>
    <w:pPr>
      <w:spacing w:after="100" w:line="259" w:lineRule="auto"/>
      <w:ind w:left="1760"/>
      <w:jc w:val="left"/>
    </w:pPr>
    <w:rPr>
      <w:rFonts w:eastAsia="MS Mincho"/>
      <w:szCs w:val="22"/>
    </w:rPr>
  </w:style>
  <w:style w:type="paragraph" w:styleId="NoSpacing">
    <w:name w:val="No Spacing"/>
    <w:uiPriority w:val="1"/>
    <w:qFormat/>
    <w:rsid w:val="001E0528"/>
    <w:pPr>
      <w:jc w:val="both"/>
    </w:pPr>
    <w:rPr>
      <w:rFonts w:ascii="Calibri" w:eastAsia="Calibri" w:hAnsi="Calibri"/>
      <w:sz w:val="24"/>
      <w:szCs w:val="22"/>
      <w:lang w:val="es-CO" w:eastAsia="en-US" w:bidi="ar-SA"/>
    </w:rPr>
  </w:style>
  <w:style w:type="paragraph" w:styleId="DocumentMap">
    <w:name w:val="Document Map"/>
    <w:basedOn w:val="Normal"/>
    <w:link w:val="DocumentMapChar"/>
    <w:semiHidden/>
    <w:unhideWhenUsed/>
    <w:rsid w:val="001E0528"/>
    <w:pPr>
      <w:spacing w:after="0"/>
    </w:pPr>
    <w:rPr>
      <w:rFonts w:ascii="Tahoma" w:eastAsia="Calibri" w:hAnsi="Tahoma"/>
      <w:sz w:val="16"/>
      <w:szCs w:val="16"/>
      <w:lang w:eastAsia="en-US"/>
    </w:rPr>
  </w:style>
  <w:style w:type="character" w:customStyle="1" w:styleId="DocumentMapChar">
    <w:name w:val="Document Map Char"/>
    <w:link w:val="DocumentMap"/>
    <w:semiHidden/>
    <w:rsid w:val="001E0528"/>
    <w:rPr>
      <w:rFonts w:ascii="Tahoma" w:eastAsia="Calibri" w:hAnsi="Tahoma" w:cs="Tahoma"/>
      <w:sz w:val="16"/>
      <w:szCs w:val="16"/>
      <w:lang w:val="en-GB" w:eastAsia="en-US"/>
    </w:rPr>
  </w:style>
  <w:style w:type="character" w:styleId="FollowedHyperlink">
    <w:name w:val="FollowedHyperlink"/>
    <w:uiPriority w:val="99"/>
    <w:unhideWhenUsed/>
    <w:rsid w:val="001E0528"/>
    <w:rPr>
      <w:color w:val="954F72"/>
      <w:u w:val="single"/>
    </w:rPr>
  </w:style>
  <w:style w:type="character" w:styleId="Strong">
    <w:name w:val="Strong"/>
    <w:uiPriority w:val="22"/>
    <w:qFormat/>
    <w:rsid w:val="001E0528"/>
    <w:rPr>
      <w:b/>
      <w:bCs/>
    </w:rPr>
  </w:style>
  <w:style w:type="table" w:styleId="ListTable6Colorful-Accent1">
    <w:name w:val="List Table 6 Colorful Accent 1"/>
    <w:basedOn w:val="TableNormal"/>
    <w:uiPriority w:val="51"/>
    <w:rsid w:val="00F82425"/>
    <w:rPr>
      <w:color w:val="2F5496"/>
    </w:rPr>
    <w:tblPr>
      <w:tblStyleRowBandSize w:val="1"/>
      <w:tblStyleColBandSize w:val="1"/>
      <w:tblBorders>
        <w:top w:val="single" w:sz="4" w:space="0" w:color="4472C4"/>
        <w:bottom w:val="single" w:sz="4" w:space="0" w:color="4472C4"/>
      </w:tblBorders>
    </w:tblPr>
    <w:tblStylePr w:type="firstRow">
      <w:rPr>
        <w:b/>
        <w:bCs/>
      </w:rPr>
      <w:tblPr/>
      <w:tcPr>
        <w:tcBorders>
          <w:bottom w:val="single" w:sz="4" w:space="0" w:color="4472C4"/>
        </w:tcBorders>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1Light-Accent5">
    <w:name w:val="List Table 1 Light Accent 5"/>
    <w:basedOn w:val="TableNormal"/>
    <w:uiPriority w:val="46"/>
    <w:rsid w:val="00655139"/>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2">
    <w:name w:val="List Table 2"/>
    <w:basedOn w:val="TableNormal"/>
    <w:uiPriority w:val="47"/>
    <w:rsid w:val="00655139"/>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2-Accent1">
    <w:name w:val="List Table 2 Accent 1"/>
    <w:basedOn w:val="TableNormal"/>
    <w:uiPriority w:val="47"/>
    <w:rsid w:val="00655139"/>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styleId="TableofFigures">
    <w:name w:val="table of figures"/>
    <w:basedOn w:val="Normal"/>
    <w:next w:val="Normal"/>
    <w:uiPriority w:val="99"/>
    <w:unhideWhenUsed/>
    <w:rsid w:val="0047035F"/>
    <w:rPr>
      <w:rFonts w:ascii="Arial" w:hAnsi="Arial"/>
      <w:i/>
    </w:rPr>
  </w:style>
  <w:style w:type="character" w:styleId="SubtleReference">
    <w:name w:val="Subtle Reference"/>
    <w:uiPriority w:val="31"/>
    <w:qFormat/>
    <w:rsid w:val="00703B7B"/>
    <w:rPr>
      <w:smallCaps/>
      <w:color w:val="5A5A5A"/>
    </w:rPr>
  </w:style>
  <w:style w:type="paragraph" w:styleId="Index1">
    <w:name w:val="index 1"/>
    <w:basedOn w:val="Index6"/>
    <w:next w:val="Normal"/>
    <w:autoRedefine/>
    <w:semiHidden/>
    <w:unhideWhenUsed/>
    <w:rsid w:val="00350F3D"/>
    <w:pPr>
      <w:ind w:left="220"/>
    </w:pPr>
  </w:style>
  <w:style w:type="paragraph" w:styleId="Index6">
    <w:name w:val="index 6"/>
    <w:basedOn w:val="Normal"/>
    <w:next w:val="Normal"/>
    <w:autoRedefine/>
    <w:semiHidden/>
    <w:unhideWhenUsed/>
    <w:rsid w:val="00350F3D"/>
    <w:pPr>
      <w:ind w:left="1320" w:hanging="220"/>
    </w:pPr>
  </w:style>
  <w:style w:type="paragraph" w:styleId="Revision">
    <w:name w:val="Revision"/>
    <w:hidden/>
    <w:uiPriority w:val="99"/>
    <w:semiHidden/>
    <w:rsid w:val="00AE729E"/>
    <w:rPr>
      <w:rFonts w:ascii="Calibri" w:hAnsi="Calibri"/>
      <w:sz w:val="22"/>
      <w:szCs w:val="24"/>
      <w:lang w:val="it-IT" w:eastAsia="it-IT" w:bidi="ar-SA"/>
    </w:rPr>
  </w:style>
  <w:style w:type="paragraph" w:customStyle="1" w:styleId="AnnexTableParagraph">
    <w:name w:val="Annex Table Paragraph"/>
    <w:basedOn w:val="Normal"/>
    <w:uiPriority w:val="1"/>
    <w:qFormat/>
    <w:rsid w:val="006D5E42"/>
    <w:pPr>
      <w:widowControl w:val="0"/>
      <w:spacing w:after="0"/>
      <w:jc w:val="center"/>
    </w:pPr>
    <w:rPr>
      <w:rFonts w:eastAsia="Calibri"/>
      <w:szCs w:val="22"/>
      <w:lang w:val="en-US" w:eastAsia="en-US"/>
    </w:rPr>
  </w:style>
  <w:style w:type="character" w:styleId="LineNumber">
    <w:name w:val="line number"/>
    <w:basedOn w:val="DefaultParagraphFont"/>
    <w:uiPriority w:val="99"/>
    <w:semiHidden/>
    <w:unhideWhenUsed/>
    <w:rsid w:val="003B1E44"/>
  </w:style>
  <w:style w:type="paragraph" w:styleId="ListBullet">
    <w:name w:val="List Bullet"/>
    <w:basedOn w:val="Normal"/>
    <w:rsid w:val="00D36FE0"/>
    <w:pPr>
      <w:numPr>
        <w:numId w:val="2"/>
      </w:numPr>
      <w:spacing w:after="240"/>
    </w:pPr>
    <w:rPr>
      <w:rFonts w:ascii="Times New Roman" w:hAnsi="Times New Roman"/>
      <w:sz w:val="24"/>
      <w:szCs w:val="20"/>
      <w:lang w:eastAsia="en-US"/>
    </w:rPr>
  </w:style>
  <w:style w:type="table" w:styleId="GridTable4-Accent5">
    <w:name w:val="Grid Table 4 Accent 5"/>
    <w:basedOn w:val="TableNormal"/>
    <w:uiPriority w:val="49"/>
    <w:rsid w:val="00DC2F7C"/>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5Dark-Accent1">
    <w:name w:val="Grid Table 5 Dark Accent 1"/>
    <w:basedOn w:val="TableNormal"/>
    <w:uiPriority w:val="50"/>
    <w:rsid w:val="00A9395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styleId="GridTable5Dark-Accent3">
    <w:name w:val="Grid Table 5 Dark Accent 3"/>
    <w:basedOn w:val="TableNormal"/>
    <w:uiPriority w:val="50"/>
    <w:rsid w:val="00A93955"/>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2-Accent3">
    <w:name w:val="Grid Table 2 Accent 3"/>
    <w:basedOn w:val="TableNormal"/>
    <w:uiPriority w:val="47"/>
    <w:rsid w:val="00A93955"/>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3-Accent3">
    <w:name w:val="Grid Table 3 Accent 3"/>
    <w:basedOn w:val="TableNormal"/>
    <w:uiPriority w:val="48"/>
    <w:rsid w:val="00A93955"/>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GridTable2-Accent1">
    <w:name w:val="Grid Table 2 Accent 1"/>
    <w:basedOn w:val="TableNormal"/>
    <w:uiPriority w:val="47"/>
    <w:rsid w:val="00A93955"/>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ListTable4-Accent3">
    <w:name w:val="List Table 4 Accent 3"/>
    <w:basedOn w:val="TableNormal"/>
    <w:uiPriority w:val="49"/>
    <w:rsid w:val="000B56B0"/>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0B56B0"/>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4-Accent5">
    <w:name w:val="List Table 4 Accent 5"/>
    <w:basedOn w:val="TableNormal"/>
    <w:uiPriority w:val="49"/>
    <w:rsid w:val="000B56B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ListTable4-Accent1">
    <w:name w:val="List Table 4 Accent 1"/>
    <w:basedOn w:val="TableNormal"/>
    <w:uiPriority w:val="49"/>
    <w:rsid w:val="007537A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7537A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ableText">
    <w:name w:val="Table Text"/>
    <w:basedOn w:val="Normal"/>
    <w:rsid w:val="00CC55E8"/>
    <w:pPr>
      <w:spacing w:after="0" w:line="280" w:lineRule="atLeast"/>
      <w:jc w:val="left"/>
    </w:pPr>
    <w:rPr>
      <w:rFonts w:ascii="Arial" w:hAnsi="Arial"/>
      <w:sz w:val="16"/>
      <w:lang w:eastAsia="en-US"/>
    </w:rPr>
  </w:style>
  <w:style w:type="character" w:customStyle="1" w:styleId="LightGrid-Accent3Char">
    <w:name w:val="Light Grid - Accent 3 Char"/>
    <w:link w:val="LightGrid-Accent3"/>
    <w:uiPriority w:val="34"/>
    <w:rsid w:val="004B791E"/>
    <w:rPr>
      <w:rFonts w:ascii="Arial" w:eastAsia="Calibri" w:hAnsi="Arial"/>
      <w:sz w:val="22"/>
      <w:szCs w:val="22"/>
      <w:lang w:val="en-GB" w:eastAsia="en-US" w:bidi="ar-SA"/>
    </w:rPr>
  </w:style>
  <w:style w:type="table" w:styleId="LightGrid-Accent3">
    <w:name w:val="Light Grid Accent 3"/>
    <w:basedOn w:val="TableNormal"/>
    <w:link w:val="LightGrid-Accent3Char"/>
    <w:uiPriority w:val="34"/>
    <w:semiHidden/>
    <w:unhideWhenUsed/>
    <w:rsid w:val="004B791E"/>
    <w:rPr>
      <w:rFonts w:ascii="Arial" w:eastAsia="Calibri" w:hAnsi="Arial"/>
      <w:sz w:val="22"/>
      <w:szCs w:val="22"/>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lastCol">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MediumGrid2Char1">
    <w:name w:val="Medium Grid 2 Char1"/>
    <w:link w:val="MediumGrid2"/>
    <w:rsid w:val="004B791E"/>
    <w:rPr>
      <w:sz w:val="22"/>
      <w:szCs w:val="22"/>
      <w:lang w:val="en-ZA" w:eastAsia="en-US"/>
    </w:rPr>
  </w:style>
  <w:style w:type="table" w:styleId="MediumGrid2">
    <w:name w:val="Medium Grid 2"/>
    <w:basedOn w:val="TableNormal"/>
    <w:link w:val="MediumGrid2Char1"/>
    <w:semiHidden/>
    <w:unhideWhenUsed/>
    <w:rsid w:val="004B791E"/>
    <w:rPr>
      <w:sz w:val="22"/>
      <w:szCs w:val="22"/>
      <w:lang w:val="en-Z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IntenseQuote">
    <w:name w:val="Intense Quote"/>
    <w:basedOn w:val="Normal"/>
    <w:next w:val="Normal"/>
    <w:link w:val="IntenseQuoteChar"/>
    <w:uiPriority w:val="30"/>
    <w:qFormat/>
    <w:rsid w:val="00101E87"/>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101E87"/>
    <w:rPr>
      <w:rFonts w:ascii="Calibri" w:hAnsi="Calibri"/>
      <w:i/>
      <w:iCs/>
      <w:color w:val="4472C4"/>
      <w:sz w:val="22"/>
      <w:szCs w:val="24"/>
      <w:lang w:val="it-IT" w:eastAsia="it-IT"/>
    </w:rPr>
  </w:style>
  <w:style w:type="paragraph" w:customStyle="1" w:styleId="En-ttetableaugauche">
    <w:name w:val="En-tête tableau gauche"/>
    <w:basedOn w:val="Normal"/>
    <w:rsid w:val="00A36ECD"/>
    <w:pPr>
      <w:widowControl w:val="0"/>
      <w:suppressAutoHyphens/>
      <w:spacing w:before="60" w:after="20"/>
      <w:ind w:left="57"/>
      <w:jc w:val="left"/>
    </w:pPr>
    <w:rPr>
      <w:rFonts w:ascii="Arial" w:hAnsi="Arial" w:cs="Arial"/>
      <w:b/>
      <w:color w:val="808080"/>
      <w:sz w:val="18"/>
      <w:szCs w:val="20"/>
      <w:lang w:eastAsia="fr-FR"/>
    </w:rPr>
  </w:style>
  <w:style w:type="paragraph" w:customStyle="1" w:styleId="NOperation-reference">
    <w:name w:val="N° Operation - reference"/>
    <w:basedOn w:val="Normal"/>
    <w:rsid w:val="00A36ECD"/>
    <w:pPr>
      <w:widowControl w:val="0"/>
      <w:spacing w:before="60"/>
    </w:pPr>
    <w:rPr>
      <w:rFonts w:ascii="Arial" w:hAnsi="Arial"/>
      <w:b/>
      <w:noProof/>
      <w:sz w:val="18"/>
      <w:szCs w:val="18"/>
      <w:lang w:eastAsia="fr-FR"/>
    </w:rPr>
  </w:style>
  <w:style w:type="paragraph" w:customStyle="1" w:styleId="Soustitrequalit">
    <w:name w:val="Sous titre qualité"/>
    <w:basedOn w:val="Normal"/>
    <w:rsid w:val="00A36ECD"/>
    <w:pPr>
      <w:tabs>
        <w:tab w:val="left" w:pos="-5670"/>
        <w:tab w:val="left" w:pos="8505"/>
      </w:tabs>
      <w:spacing w:before="240" w:after="240"/>
      <w:ind w:left="57"/>
    </w:pPr>
    <w:rPr>
      <w:rFonts w:ascii="Arial" w:hAnsi="Arial" w:cs="Arial"/>
      <w:color w:val="808080"/>
      <w:lang w:eastAsia="fr-FR"/>
    </w:rPr>
  </w:style>
  <w:style w:type="paragraph" w:customStyle="1" w:styleId="TexteTableau9ptsGrasFonc">
    <w:name w:val="Texte Tableau 9 pts Gras Foncé"/>
    <w:basedOn w:val="Normal"/>
    <w:rsid w:val="00A36ECD"/>
    <w:pPr>
      <w:spacing w:before="60" w:after="40"/>
      <w:jc w:val="left"/>
    </w:pPr>
    <w:rPr>
      <w:rFonts w:ascii="Arial" w:hAnsi="Arial"/>
      <w:b/>
      <w:color w:val="333333"/>
      <w:sz w:val="18"/>
      <w:szCs w:val="32"/>
      <w:lang w:eastAsia="fr-FR"/>
    </w:rPr>
  </w:style>
  <w:style w:type="paragraph" w:customStyle="1" w:styleId="TexteTableau9ptsNormal">
    <w:name w:val="Texte Tableau 9 pts Normal"/>
    <w:basedOn w:val="Normal"/>
    <w:link w:val="TexteTableau9ptsNormalCar"/>
    <w:rsid w:val="00A36ECD"/>
    <w:pPr>
      <w:spacing w:before="60" w:after="40"/>
      <w:jc w:val="left"/>
    </w:pPr>
    <w:rPr>
      <w:rFonts w:ascii="Arial" w:hAnsi="Arial"/>
      <w:sz w:val="18"/>
      <w:szCs w:val="32"/>
      <w:lang w:eastAsia="fr-FR"/>
    </w:rPr>
  </w:style>
  <w:style w:type="character" w:customStyle="1" w:styleId="TexteTableau9ptsNormalCar">
    <w:name w:val="Texte Tableau 9 pts Normal Car"/>
    <w:link w:val="TexteTableau9ptsNormal"/>
    <w:rsid w:val="00A36ECD"/>
    <w:rPr>
      <w:rFonts w:ascii="Arial" w:hAnsi="Arial"/>
      <w:sz w:val="18"/>
      <w:szCs w:val="32"/>
      <w:lang w:val="en-GB" w:eastAsia="fr-FR"/>
    </w:rPr>
  </w:style>
  <w:style w:type="paragraph" w:styleId="Bibliography">
    <w:name w:val="Bibliography"/>
    <w:basedOn w:val="Normal"/>
    <w:next w:val="Normal"/>
    <w:uiPriority w:val="37"/>
    <w:unhideWhenUsed/>
    <w:rsid w:val="00C44074"/>
  </w:style>
  <w:style w:type="paragraph" w:customStyle="1" w:styleId="Pa28">
    <w:name w:val="Pa28"/>
    <w:basedOn w:val="Default"/>
    <w:next w:val="Default"/>
    <w:uiPriority w:val="99"/>
    <w:rsid w:val="000033FC"/>
    <w:pPr>
      <w:spacing w:line="221" w:lineRule="atLeast"/>
    </w:pPr>
    <w:rPr>
      <w:rFonts w:ascii="Myriad Pro" w:hAnsi="Myriad Pro"/>
      <w:color w:val="auto"/>
      <w:lang w:val="en-US" w:eastAsia="en-GB"/>
    </w:rPr>
  </w:style>
  <w:style w:type="character" w:customStyle="1" w:styleId="A8">
    <w:name w:val="A8"/>
    <w:uiPriority w:val="99"/>
    <w:rsid w:val="000033FC"/>
    <w:rPr>
      <w:rFonts w:cs="Myriad Pro"/>
      <w:color w:val="000000"/>
      <w:sz w:val="18"/>
      <w:szCs w:val="18"/>
    </w:rPr>
  </w:style>
  <w:style w:type="paragraph" w:styleId="ListBullet2">
    <w:name w:val="List Bullet 2"/>
    <w:basedOn w:val="Normal"/>
    <w:unhideWhenUsed/>
    <w:rsid w:val="008E65CB"/>
    <w:pPr>
      <w:numPr>
        <w:numId w:val="3"/>
      </w:numPr>
      <w:tabs>
        <w:tab w:val="clear" w:pos="643"/>
        <w:tab w:val="num" w:pos="360"/>
      </w:tabs>
      <w:ind w:left="0" w:firstLine="0"/>
      <w:contextualSpacing/>
    </w:pPr>
    <w:rPr>
      <w:rFonts w:ascii="Calibri Light" w:hAnsi="Calibri Light"/>
      <w:sz w:val="20"/>
      <w:szCs w:val="22"/>
      <w:lang w:eastAsia="en-GB"/>
    </w:rPr>
  </w:style>
  <w:style w:type="paragraph" w:styleId="Subtitle">
    <w:name w:val="Subtitle"/>
    <w:basedOn w:val="Normal"/>
    <w:next w:val="Normal"/>
    <w:link w:val="SubtitleChar"/>
    <w:qFormat/>
    <w:rsid w:val="008E65CB"/>
    <w:pPr>
      <w:numPr>
        <w:ilvl w:val="1"/>
      </w:numPr>
      <w:spacing w:after="160"/>
    </w:pPr>
    <w:rPr>
      <w:rFonts w:asciiTheme="minorHAnsi" w:eastAsiaTheme="minorEastAsia" w:hAnsiTheme="minorHAnsi" w:cstheme="minorBidi"/>
      <w:color w:val="5A5A5A" w:themeColor="text1" w:themeTint="A5"/>
      <w:spacing w:val="15"/>
      <w:szCs w:val="22"/>
      <w:lang w:eastAsia="en-GB"/>
    </w:rPr>
  </w:style>
  <w:style w:type="character" w:customStyle="1" w:styleId="SubtitleChar">
    <w:name w:val="Subtitle Char"/>
    <w:basedOn w:val="DefaultParagraphFont"/>
    <w:link w:val="Subtitle"/>
    <w:rsid w:val="008E65CB"/>
    <w:rPr>
      <w:rFonts w:asciiTheme="minorHAnsi" w:eastAsiaTheme="minorEastAsia" w:hAnsiTheme="minorHAnsi" w:cstheme="minorBidi"/>
      <w:color w:val="5A5A5A" w:themeColor="text1" w:themeTint="A5"/>
      <w:spacing w:val="15"/>
      <w:sz w:val="22"/>
      <w:szCs w:val="22"/>
      <w:lang w:bidi="ar-SA"/>
    </w:rPr>
  </w:style>
  <w:style w:type="paragraph" w:styleId="Index4">
    <w:name w:val="index 4"/>
    <w:basedOn w:val="Normal"/>
    <w:next w:val="Normal"/>
    <w:autoRedefine/>
    <w:uiPriority w:val="99"/>
    <w:semiHidden/>
    <w:unhideWhenUsed/>
    <w:rsid w:val="008E65CB"/>
    <w:pPr>
      <w:spacing w:after="0"/>
      <w:ind w:left="800" w:hanging="200"/>
    </w:pPr>
    <w:rPr>
      <w:rFonts w:ascii="Calibri Light" w:hAnsi="Calibri Light"/>
      <w:i/>
      <w:sz w:val="20"/>
      <w:szCs w:val="22"/>
      <w:lang w:eastAsia="en-GB"/>
    </w:rPr>
  </w:style>
  <w:style w:type="paragraph" w:styleId="HTMLPreformatted">
    <w:name w:val="HTML Preformatted"/>
    <w:basedOn w:val="Normal"/>
    <w:link w:val="HTMLPreformattedChar"/>
    <w:uiPriority w:val="99"/>
    <w:semiHidden/>
    <w:unhideWhenUsed/>
    <w:rsid w:val="008E65CB"/>
    <w:pPr>
      <w:spacing w:after="0"/>
    </w:pPr>
    <w:rPr>
      <w:rFonts w:ascii="Consolas" w:hAnsi="Consolas"/>
      <w:sz w:val="20"/>
      <w:szCs w:val="20"/>
      <w:lang w:eastAsia="en-GB"/>
    </w:rPr>
  </w:style>
  <w:style w:type="character" w:customStyle="1" w:styleId="HTMLPreformattedChar">
    <w:name w:val="HTML Preformatted Char"/>
    <w:basedOn w:val="DefaultParagraphFont"/>
    <w:link w:val="HTMLPreformatted"/>
    <w:uiPriority w:val="99"/>
    <w:semiHidden/>
    <w:rsid w:val="008E65CB"/>
    <w:rPr>
      <w:rFonts w:ascii="Consolas" w:hAnsi="Consolas"/>
      <w:lang w:bidi="ar-SA"/>
    </w:rPr>
  </w:style>
  <w:style w:type="table" w:styleId="PlainTable3">
    <w:name w:val="Plain Table 3"/>
    <w:basedOn w:val="TableNormal"/>
    <w:uiPriority w:val="43"/>
    <w:rsid w:val="008E65CB"/>
    <w:rPr>
      <w:rFonts w:asciiTheme="minorHAnsi" w:hAnsiTheme="minorHAnsi"/>
      <w:sz w:val="22"/>
      <w:szCs w:val="22"/>
      <w:lang w:bidi="ar-S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8E65CB"/>
    <w:rPr>
      <w:rFonts w:asciiTheme="minorHAnsi" w:hAnsiTheme="minorHAnsi"/>
      <w:sz w:val="22"/>
      <w:szCs w:val="22"/>
      <w:lang w:bidi="ar-S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E65CB"/>
    <w:rPr>
      <w:rFonts w:asciiTheme="minorHAnsi" w:hAnsiTheme="minorHAnsi"/>
      <w:sz w:val="22"/>
      <w:szCs w:val="22"/>
      <w:lang w:bidi="ar-S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dex9">
    <w:name w:val="index 9"/>
    <w:basedOn w:val="Normal"/>
    <w:next w:val="Normal"/>
    <w:autoRedefine/>
    <w:semiHidden/>
    <w:unhideWhenUsed/>
    <w:rsid w:val="008E65CB"/>
    <w:pPr>
      <w:spacing w:after="240"/>
      <w:ind w:left="2160" w:hanging="240"/>
    </w:pPr>
    <w:rPr>
      <w:rFonts w:ascii="Times New Roman" w:hAnsi="Times New Roman"/>
      <w:sz w:val="24"/>
      <w:szCs w:val="20"/>
      <w:lang w:eastAsia="en-GB"/>
    </w:rPr>
  </w:style>
  <w:style w:type="paragraph" w:styleId="NormalIndent">
    <w:name w:val="Normal Indent"/>
    <w:basedOn w:val="Normal"/>
    <w:unhideWhenUsed/>
    <w:rsid w:val="008E65CB"/>
    <w:pPr>
      <w:spacing w:before="60" w:after="60" w:line="264" w:lineRule="auto"/>
      <w:ind w:left="720"/>
    </w:pPr>
    <w:rPr>
      <w:rFonts w:ascii="Arial" w:hAnsi="Arial" w:cs="Arial"/>
      <w:iCs/>
      <w:sz w:val="20"/>
      <w:szCs w:val="20"/>
      <w:lang w:eastAsia="fr-BE"/>
    </w:rPr>
  </w:style>
  <w:style w:type="paragraph" w:styleId="List">
    <w:name w:val="List"/>
    <w:basedOn w:val="Normal"/>
    <w:unhideWhenUsed/>
    <w:rsid w:val="008E65CB"/>
    <w:pPr>
      <w:spacing w:before="40" w:after="240" w:line="300" w:lineRule="auto"/>
      <w:ind w:left="283" w:hanging="283"/>
    </w:pPr>
    <w:rPr>
      <w:rFonts w:ascii="Arial" w:hAnsi="Arial"/>
      <w:sz w:val="20"/>
      <w:szCs w:val="20"/>
      <w:lang w:eastAsia="en-US"/>
    </w:rPr>
  </w:style>
  <w:style w:type="paragraph" w:styleId="List2">
    <w:name w:val="List 2"/>
    <w:basedOn w:val="Normal"/>
    <w:unhideWhenUsed/>
    <w:rsid w:val="008E65CB"/>
    <w:pPr>
      <w:spacing w:before="40" w:after="40" w:line="300" w:lineRule="auto"/>
      <w:ind w:left="720" w:hanging="360"/>
    </w:pPr>
    <w:rPr>
      <w:rFonts w:ascii="Arial" w:hAnsi="Arial"/>
      <w:szCs w:val="20"/>
      <w:lang w:eastAsia="en-US"/>
    </w:rPr>
  </w:style>
  <w:style w:type="paragraph" w:styleId="ListBullet3">
    <w:name w:val="List Bullet 3"/>
    <w:basedOn w:val="Normal"/>
    <w:autoRedefine/>
    <w:unhideWhenUsed/>
    <w:rsid w:val="008E65CB"/>
    <w:pPr>
      <w:numPr>
        <w:numId w:val="4"/>
      </w:numPr>
      <w:tabs>
        <w:tab w:val="num" w:pos="926"/>
      </w:tabs>
      <w:spacing w:before="40" w:after="40" w:line="300" w:lineRule="auto"/>
      <w:ind w:left="926" w:hanging="623"/>
    </w:pPr>
    <w:rPr>
      <w:rFonts w:ascii="Arial" w:eastAsia="Calibri" w:hAnsi="Arial"/>
      <w:sz w:val="20"/>
      <w:szCs w:val="20"/>
      <w:lang w:eastAsia="fr-BE"/>
    </w:rPr>
  </w:style>
  <w:style w:type="paragraph" w:styleId="BodyText3">
    <w:name w:val="Body Text 3"/>
    <w:basedOn w:val="Normal"/>
    <w:link w:val="BodyText3Char"/>
    <w:unhideWhenUsed/>
    <w:rsid w:val="008E65CB"/>
    <w:pPr>
      <w:spacing w:line="276" w:lineRule="auto"/>
      <w:jc w:val="left"/>
    </w:pPr>
    <w:rPr>
      <w:rFonts w:ascii="Arial" w:eastAsia="Calibri" w:hAnsi="Arial"/>
      <w:sz w:val="16"/>
      <w:szCs w:val="16"/>
      <w:lang w:val="en-US" w:eastAsia="en-US"/>
    </w:rPr>
  </w:style>
  <w:style w:type="character" w:customStyle="1" w:styleId="BodyText3Char">
    <w:name w:val="Body Text 3 Char"/>
    <w:basedOn w:val="DefaultParagraphFont"/>
    <w:link w:val="BodyText3"/>
    <w:rsid w:val="008E65CB"/>
    <w:rPr>
      <w:rFonts w:ascii="Arial" w:eastAsia="Calibri" w:hAnsi="Arial"/>
      <w:sz w:val="16"/>
      <w:szCs w:val="16"/>
      <w:lang w:val="en-US" w:eastAsia="en-US" w:bidi="ar-SA"/>
    </w:rPr>
  </w:style>
  <w:style w:type="paragraph" w:styleId="BlockText">
    <w:name w:val="Block Text"/>
    <w:basedOn w:val="Normal"/>
    <w:unhideWhenUsed/>
    <w:rsid w:val="008E65CB"/>
    <w:pPr>
      <w:tabs>
        <w:tab w:val="left" w:pos="567"/>
        <w:tab w:val="left" w:pos="2835"/>
      </w:tabs>
      <w:overflowPunct w:val="0"/>
      <w:autoSpaceDE w:val="0"/>
      <w:autoSpaceDN w:val="0"/>
      <w:adjustRightInd w:val="0"/>
      <w:spacing w:before="40" w:after="40" w:line="300" w:lineRule="auto"/>
      <w:ind w:left="2835" w:right="-765"/>
    </w:pPr>
    <w:rPr>
      <w:rFonts w:ascii="Arial" w:hAnsi="Arial"/>
      <w:sz w:val="20"/>
      <w:szCs w:val="20"/>
      <w:lang w:eastAsia="en-US"/>
    </w:rPr>
  </w:style>
  <w:style w:type="table" w:styleId="TableList1">
    <w:name w:val="Table List 1"/>
    <w:basedOn w:val="TableNormal"/>
    <w:unhideWhenUsed/>
    <w:rsid w:val="008E65CB"/>
    <w:rPr>
      <w:lang w:val="en-US" w:eastAsia="en-US" w:bidi="ar-SA"/>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stTable3-Accent1">
    <w:name w:val="List Table 3 Accent 1"/>
    <w:basedOn w:val="TableNormal"/>
    <w:uiPriority w:val="48"/>
    <w:rsid w:val="008E65CB"/>
    <w:rPr>
      <w:rFonts w:asciiTheme="minorHAnsi" w:hAnsiTheme="minorHAnsi"/>
      <w:sz w:val="22"/>
      <w:szCs w:val="22"/>
      <w:lang w:bidi="ar-SA"/>
    </w:r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UnresolvedMention1">
    <w:name w:val="Unresolved Mention1"/>
    <w:basedOn w:val="DefaultParagraphFont"/>
    <w:uiPriority w:val="99"/>
    <w:semiHidden/>
    <w:unhideWhenUsed/>
    <w:rsid w:val="003833B0"/>
    <w:rPr>
      <w:color w:val="605E5C"/>
      <w:shd w:val="clear" w:color="auto" w:fill="E1DFDD"/>
    </w:rPr>
  </w:style>
  <w:style w:type="paragraph" w:customStyle="1" w:styleId="AnnexTableTitleBlue">
    <w:name w:val="Annex Table Title Blue"/>
    <w:basedOn w:val="AnnexTableParagraph"/>
    <w:qFormat/>
    <w:rsid w:val="00C77497"/>
    <w:pPr>
      <w:keepNext/>
      <w:shd w:val="clear" w:color="auto" w:fill="002060"/>
    </w:pPr>
    <w:rPr>
      <w:b/>
      <w:bCs/>
      <w:color w:val="FFFFFF" w:themeColor="background1"/>
    </w:rPr>
  </w:style>
  <w:style w:type="paragraph" w:customStyle="1" w:styleId="AnnexTableTitleBold">
    <w:name w:val="Annex Table Title Bold"/>
    <w:basedOn w:val="AnnexTableParagraph"/>
    <w:qFormat/>
    <w:rsid w:val="00C77497"/>
    <w:pPr>
      <w:pBdr>
        <w:top w:val="single" w:sz="2" w:space="1" w:color="002060"/>
        <w:bottom w:val="single" w:sz="2" w:space="1" w:color="002060"/>
      </w:pBdr>
      <w:jc w:val="left"/>
    </w:pPr>
    <w:rPr>
      <w:b/>
      <w:bCs/>
    </w:rPr>
  </w:style>
  <w:style w:type="paragraph" w:customStyle="1" w:styleId="AnnexTableLeft">
    <w:name w:val="Annex Table Left"/>
    <w:basedOn w:val="AnnexTableParagraph"/>
    <w:qFormat/>
    <w:rsid w:val="00C77497"/>
    <w:pPr>
      <w:jc w:val="left"/>
    </w:pPr>
  </w:style>
  <w:style w:type="paragraph" w:customStyle="1" w:styleId="AnnexTableRef">
    <w:name w:val="Annex Table Ref"/>
    <w:basedOn w:val="AnnexTableLeft"/>
    <w:qFormat/>
    <w:rsid w:val="00C77497"/>
    <w:pPr>
      <w:pBdr>
        <w:top w:val="single" w:sz="2" w:space="1" w:color="002060"/>
      </w:pBdr>
    </w:pPr>
    <w:rPr>
      <w:i/>
      <w:iCs/>
    </w:rPr>
  </w:style>
  <w:style w:type="paragraph" w:customStyle="1" w:styleId="title-bold">
    <w:name w:val="title-bold"/>
    <w:basedOn w:val="Normal"/>
    <w:rsid w:val="009B5E67"/>
    <w:pPr>
      <w:spacing w:before="100" w:beforeAutospacing="1" w:after="100" w:afterAutospacing="1"/>
      <w:jc w:val="left"/>
    </w:pPr>
    <w:rPr>
      <w:rFonts w:ascii="Times New Roman" w:hAnsi="Times New Roman"/>
      <w:sz w:val="24"/>
      <w:lang w:val="pl-PL" w:eastAsia="pl-PL"/>
    </w:rPr>
  </w:style>
  <w:style w:type="character" w:customStyle="1" w:styleId="UnresolvedMention2">
    <w:name w:val="Unresolved Mention2"/>
    <w:basedOn w:val="DefaultParagraphFont"/>
    <w:uiPriority w:val="99"/>
    <w:semiHidden/>
    <w:unhideWhenUsed/>
    <w:rsid w:val="00B741F4"/>
    <w:rPr>
      <w:color w:val="605E5C"/>
      <w:shd w:val="clear" w:color="auto" w:fill="E1DFDD"/>
    </w:rPr>
  </w:style>
  <w:style w:type="paragraph" w:styleId="EndnoteText">
    <w:name w:val="endnote text"/>
    <w:basedOn w:val="Normal"/>
    <w:link w:val="EndnoteTextChar"/>
    <w:semiHidden/>
    <w:unhideWhenUsed/>
    <w:rsid w:val="001E2C36"/>
    <w:pPr>
      <w:spacing w:after="0"/>
    </w:pPr>
    <w:rPr>
      <w:sz w:val="20"/>
      <w:szCs w:val="20"/>
    </w:rPr>
  </w:style>
  <w:style w:type="character" w:customStyle="1" w:styleId="EndnoteTextChar">
    <w:name w:val="Endnote Text Char"/>
    <w:basedOn w:val="DefaultParagraphFont"/>
    <w:link w:val="EndnoteText"/>
    <w:semiHidden/>
    <w:rsid w:val="001E2C36"/>
    <w:rPr>
      <w:rFonts w:ascii="Calibri" w:hAnsi="Calibri"/>
      <w:lang w:eastAsia="it-IT" w:bidi="ar-SA"/>
    </w:rPr>
  </w:style>
  <w:style w:type="character" w:styleId="EndnoteReference">
    <w:name w:val="endnote reference"/>
    <w:basedOn w:val="DefaultParagraphFont"/>
    <w:semiHidden/>
    <w:unhideWhenUsed/>
    <w:rsid w:val="001E2C36"/>
    <w:rPr>
      <w:vertAlign w:val="superscript"/>
    </w:rPr>
  </w:style>
  <w:style w:type="character" w:customStyle="1" w:styleId="hgkelc">
    <w:name w:val="hgkelc"/>
    <w:basedOn w:val="DefaultParagraphFont"/>
    <w:rsid w:val="00C40182"/>
  </w:style>
  <w:style w:type="paragraph" w:customStyle="1" w:styleId="safetymanagementpillarssafetymanagementherotexttleds">
    <w:name w:val="safetymanagementpillars_safetymanagementhero__text__tleds"/>
    <w:basedOn w:val="Normal"/>
    <w:rsid w:val="00B5363F"/>
    <w:pPr>
      <w:spacing w:before="100" w:beforeAutospacing="1" w:after="100" w:afterAutospacing="1"/>
      <w:jc w:val="left"/>
    </w:pPr>
    <w:rPr>
      <w:rFonts w:ascii="Times New Roman" w:hAnsi="Times New Roman"/>
      <w:sz w:val="24"/>
      <w:lang w:val="pl-PL" w:eastAsia="pl-PL"/>
    </w:rPr>
  </w:style>
  <w:style w:type="character" w:customStyle="1" w:styleId="UnresolvedMention3">
    <w:name w:val="Unresolved Mention3"/>
    <w:basedOn w:val="DefaultParagraphFont"/>
    <w:uiPriority w:val="99"/>
    <w:semiHidden/>
    <w:unhideWhenUsed/>
    <w:rsid w:val="00D410B7"/>
    <w:rPr>
      <w:color w:val="605E5C"/>
      <w:shd w:val="clear" w:color="auto" w:fill="E1DFDD"/>
    </w:rPr>
  </w:style>
  <w:style w:type="character" w:customStyle="1" w:styleId="UnresolvedMention4">
    <w:name w:val="Unresolved Mention4"/>
    <w:basedOn w:val="DefaultParagraphFont"/>
    <w:uiPriority w:val="99"/>
    <w:semiHidden/>
    <w:unhideWhenUsed/>
    <w:rsid w:val="00AB7DDE"/>
    <w:rPr>
      <w:color w:val="605E5C"/>
      <w:shd w:val="clear" w:color="auto" w:fill="E1DFDD"/>
    </w:rPr>
  </w:style>
  <w:style w:type="paragraph" w:customStyle="1" w:styleId="00Nabrajanja">
    <w:name w:val="00. Nabrajanja"/>
    <w:basedOn w:val="Normal"/>
    <w:link w:val="00NabrajanjaChar"/>
    <w:qFormat/>
    <w:rsid w:val="00D11C26"/>
    <w:pPr>
      <w:widowControl w:val="0"/>
      <w:numPr>
        <w:numId w:val="8"/>
      </w:numPr>
      <w:spacing w:after="60"/>
      <w:ind w:left="567" w:hanging="425"/>
    </w:pPr>
    <w:rPr>
      <w:rFonts w:ascii="Times New Roman" w:hAnsi="Times New Roman"/>
      <w:sz w:val="24"/>
      <w:szCs w:val="22"/>
      <w:lang w:val="en" w:eastAsia="en-US"/>
    </w:rPr>
  </w:style>
  <w:style w:type="character" w:customStyle="1" w:styleId="00NabrajanjaChar">
    <w:name w:val="00. Nabrajanja Char"/>
    <w:link w:val="00Nabrajanja"/>
    <w:rsid w:val="00D11C26"/>
    <w:rPr>
      <w:sz w:val="24"/>
      <w:szCs w:val="22"/>
      <w:lang w:val="en" w:eastAsia="en-US" w:bidi="ar-SA"/>
    </w:rPr>
  </w:style>
  <w:style w:type="character" w:customStyle="1" w:styleId="UnresolvedMention5">
    <w:name w:val="Unresolved Mention5"/>
    <w:basedOn w:val="DefaultParagraphFont"/>
    <w:uiPriority w:val="99"/>
    <w:semiHidden/>
    <w:unhideWhenUsed/>
    <w:rsid w:val="00AF18A4"/>
    <w:rPr>
      <w:color w:val="605E5C"/>
      <w:shd w:val="clear" w:color="auto" w:fill="E1DFDD"/>
    </w:rPr>
  </w:style>
  <w:style w:type="character" w:customStyle="1" w:styleId="v9tjod">
    <w:name w:val="v9tjod"/>
    <w:basedOn w:val="DefaultParagraphFont"/>
    <w:rsid w:val="000E59B2"/>
  </w:style>
  <w:style w:type="character" w:customStyle="1" w:styleId="UnresolvedMention6">
    <w:name w:val="Unresolved Mention6"/>
    <w:basedOn w:val="DefaultParagraphFont"/>
    <w:uiPriority w:val="99"/>
    <w:semiHidden/>
    <w:unhideWhenUsed/>
    <w:rsid w:val="006D52BD"/>
    <w:rPr>
      <w:color w:val="605E5C"/>
      <w:shd w:val="clear" w:color="auto" w:fill="E1DFDD"/>
    </w:rPr>
  </w:style>
  <w:style w:type="character" w:customStyle="1" w:styleId="UnresolvedMention7">
    <w:name w:val="Unresolved Mention7"/>
    <w:basedOn w:val="DefaultParagraphFont"/>
    <w:uiPriority w:val="99"/>
    <w:semiHidden/>
    <w:unhideWhenUsed/>
    <w:rsid w:val="00743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9084">
      <w:bodyDiv w:val="1"/>
      <w:marLeft w:val="0"/>
      <w:marRight w:val="0"/>
      <w:marTop w:val="0"/>
      <w:marBottom w:val="0"/>
      <w:divBdr>
        <w:top w:val="none" w:sz="0" w:space="0" w:color="auto"/>
        <w:left w:val="none" w:sz="0" w:space="0" w:color="auto"/>
        <w:bottom w:val="none" w:sz="0" w:space="0" w:color="auto"/>
        <w:right w:val="none" w:sz="0" w:space="0" w:color="auto"/>
      </w:divBdr>
      <w:divsChild>
        <w:div w:id="1248733900">
          <w:marLeft w:val="0"/>
          <w:marRight w:val="0"/>
          <w:marTop w:val="0"/>
          <w:marBottom w:val="0"/>
          <w:divBdr>
            <w:top w:val="none" w:sz="0" w:space="0" w:color="auto"/>
            <w:left w:val="none" w:sz="0" w:space="0" w:color="auto"/>
            <w:bottom w:val="none" w:sz="0" w:space="0" w:color="auto"/>
            <w:right w:val="none" w:sz="0" w:space="0" w:color="auto"/>
          </w:divBdr>
          <w:divsChild>
            <w:div w:id="609359849">
              <w:marLeft w:val="0"/>
              <w:marRight w:val="0"/>
              <w:marTop w:val="0"/>
              <w:marBottom w:val="0"/>
              <w:divBdr>
                <w:top w:val="none" w:sz="0" w:space="0" w:color="auto"/>
                <w:left w:val="none" w:sz="0" w:space="0" w:color="auto"/>
                <w:bottom w:val="none" w:sz="0" w:space="0" w:color="auto"/>
                <w:right w:val="none" w:sz="0" w:space="0" w:color="auto"/>
              </w:divBdr>
            </w:div>
          </w:divsChild>
        </w:div>
        <w:div w:id="9256468">
          <w:marLeft w:val="0"/>
          <w:marRight w:val="0"/>
          <w:marTop w:val="0"/>
          <w:marBottom w:val="0"/>
          <w:divBdr>
            <w:top w:val="none" w:sz="0" w:space="0" w:color="auto"/>
            <w:left w:val="none" w:sz="0" w:space="0" w:color="auto"/>
            <w:bottom w:val="none" w:sz="0" w:space="0" w:color="auto"/>
            <w:right w:val="none" w:sz="0" w:space="0" w:color="auto"/>
          </w:divBdr>
          <w:divsChild>
            <w:div w:id="1492520744">
              <w:marLeft w:val="0"/>
              <w:marRight w:val="0"/>
              <w:marTop w:val="0"/>
              <w:marBottom w:val="0"/>
              <w:divBdr>
                <w:top w:val="none" w:sz="0" w:space="0" w:color="auto"/>
                <w:left w:val="none" w:sz="0" w:space="0" w:color="auto"/>
                <w:bottom w:val="none" w:sz="0" w:space="0" w:color="auto"/>
                <w:right w:val="none" w:sz="0" w:space="0" w:color="auto"/>
              </w:divBdr>
            </w:div>
          </w:divsChild>
        </w:div>
        <w:div w:id="1259484570">
          <w:marLeft w:val="0"/>
          <w:marRight w:val="0"/>
          <w:marTop w:val="0"/>
          <w:marBottom w:val="0"/>
          <w:divBdr>
            <w:top w:val="none" w:sz="0" w:space="0" w:color="auto"/>
            <w:left w:val="none" w:sz="0" w:space="0" w:color="auto"/>
            <w:bottom w:val="none" w:sz="0" w:space="0" w:color="auto"/>
            <w:right w:val="none" w:sz="0" w:space="0" w:color="auto"/>
          </w:divBdr>
          <w:divsChild>
            <w:div w:id="524292636">
              <w:marLeft w:val="0"/>
              <w:marRight w:val="0"/>
              <w:marTop w:val="0"/>
              <w:marBottom w:val="0"/>
              <w:divBdr>
                <w:top w:val="none" w:sz="0" w:space="0" w:color="auto"/>
                <w:left w:val="none" w:sz="0" w:space="0" w:color="auto"/>
                <w:bottom w:val="none" w:sz="0" w:space="0" w:color="auto"/>
                <w:right w:val="none" w:sz="0" w:space="0" w:color="auto"/>
              </w:divBdr>
            </w:div>
          </w:divsChild>
        </w:div>
        <w:div w:id="1279724958">
          <w:marLeft w:val="0"/>
          <w:marRight w:val="0"/>
          <w:marTop w:val="0"/>
          <w:marBottom w:val="0"/>
          <w:divBdr>
            <w:top w:val="none" w:sz="0" w:space="0" w:color="auto"/>
            <w:left w:val="none" w:sz="0" w:space="0" w:color="auto"/>
            <w:bottom w:val="none" w:sz="0" w:space="0" w:color="auto"/>
            <w:right w:val="none" w:sz="0" w:space="0" w:color="auto"/>
          </w:divBdr>
          <w:divsChild>
            <w:div w:id="1614552612">
              <w:marLeft w:val="0"/>
              <w:marRight w:val="0"/>
              <w:marTop w:val="0"/>
              <w:marBottom w:val="0"/>
              <w:divBdr>
                <w:top w:val="none" w:sz="0" w:space="0" w:color="auto"/>
                <w:left w:val="none" w:sz="0" w:space="0" w:color="auto"/>
                <w:bottom w:val="none" w:sz="0" w:space="0" w:color="auto"/>
                <w:right w:val="none" w:sz="0" w:space="0" w:color="auto"/>
              </w:divBdr>
            </w:div>
          </w:divsChild>
        </w:div>
        <w:div w:id="15083539">
          <w:marLeft w:val="0"/>
          <w:marRight w:val="0"/>
          <w:marTop w:val="0"/>
          <w:marBottom w:val="0"/>
          <w:divBdr>
            <w:top w:val="none" w:sz="0" w:space="0" w:color="auto"/>
            <w:left w:val="none" w:sz="0" w:space="0" w:color="auto"/>
            <w:bottom w:val="none" w:sz="0" w:space="0" w:color="auto"/>
            <w:right w:val="none" w:sz="0" w:space="0" w:color="auto"/>
          </w:divBdr>
          <w:divsChild>
            <w:div w:id="1988699869">
              <w:marLeft w:val="0"/>
              <w:marRight w:val="0"/>
              <w:marTop w:val="0"/>
              <w:marBottom w:val="0"/>
              <w:divBdr>
                <w:top w:val="none" w:sz="0" w:space="0" w:color="auto"/>
                <w:left w:val="none" w:sz="0" w:space="0" w:color="auto"/>
                <w:bottom w:val="none" w:sz="0" w:space="0" w:color="auto"/>
                <w:right w:val="none" w:sz="0" w:space="0" w:color="auto"/>
              </w:divBdr>
            </w:div>
          </w:divsChild>
        </w:div>
        <w:div w:id="932588521">
          <w:marLeft w:val="0"/>
          <w:marRight w:val="0"/>
          <w:marTop w:val="0"/>
          <w:marBottom w:val="0"/>
          <w:divBdr>
            <w:top w:val="none" w:sz="0" w:space="0" w:color="auto"/>
            <w:left w:val="none" w:sz="0" w:space="0" w:color="auto"/>
            <w:bottom w:val="none" w:sz="0" w:space="0" w:color="auto"/>
            <w:right w:val="none" w:sz="0" w:space="0" w:color="auto"/>
          </w:divBdr>
          <w:divsChild>
            <w:div w:id="2135705773">
              <w:marLeft w:val="0"/>
              <w:marRight w:val="0"/>
              <w:marTop w:val="0"/>
              <w:marBottom w:val="0"/>
              <w:divBdr>
                <w:top w:val="none" w:sz="0" w:space="0" w:color="auto"/>
                <w:left w:val="none" w:sz="0" w:space="0" w:color="auto"/>
                <w:bottom w:val="none" w:sz="0" w:space="0" w:color="auto"/>
                <w:right w:val="none" w:sz="0" w:space="0" w:color="auto"/>
              </w:divBdr>
            </w:div>
          </w:divsChild>
        </w:div>
        <w:div w:id="35787646">
          <w:marLeft w:val="0"/>
          <w:marRight w:val="0"/>
          <w:marTop w:val="0"/>
          <w:marBottom w:val="0"/>
          <w:divBdr>
            <w:top w:val="none" w:sz="0" w:space="0" w:color="auto"/>
            <w:left w:val="none" w:sz="0" w:space="0" w:color="auto"/>
            <w:bottom w:val="none" w:sz="0" w:space="0" w:color="auto"/>
            <w:right w:val="none" w:sz="0" w:space="0" w:color="auto"/>
          </w:divBdr>
          <w:divsChild>
            <w:div w:id="372924369">
              <w:marLeft w:val="0"/>
              <w:marRight w:val="0"/>
              <w:marTop w:val="0"/>
              <w:marBottom w:val="0"/>
              <w:divBdr>
                <w:top w:val="none" w:sz="0" w:space="0" w:color="auto"/>
                <w:left w:val="none" w:sz="0" w:space="0" w:color="auto"/>
                <w:bottom w:val="none" w:sz="0" w:space="0" w:color="auto"/>
                <w:right w:val="none" w:sz="0" w:space="0" w:color="auto"/>
              </w:divBdr>
            </w:div>
          </w:divsChild>
        </w:div>
        <w:div w:id="306058875">
          <w:marLeft w:val="0"/>
          <w:marRight w:val="0"/>
          <w:marTop w:val="0"/>
          <w:marBottom w:val="0"/>
          <w:divBdr>
            <w:top w:val="none" w:sz="0" w:space="0" w:color="auto"/>
            <w:left w:val="none" w:sz="0" w:space="0" w:color="auto"/>
            <w:bottom w:val="none" w:sz="0" w:space="0" w:color="auto"/>
            <w:right w:val="none" w:sz="0" w:space="0" w:color="auto"/>
          </w:divBdr>
          <w:divsChild>
            <w:div w:id="16573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2493">
      <w:bodyDiv w:val="1"/>
      <w:marLeft w:val="0"/>
      <w:marRight w:val="0"/>
      <w:marTop w:val="0"/>
      <w:marBottom w:val="0"/>
      <w:divBdr>
        <w:top w:val="none" w:sz="0" w:space="0" w:color="auto"/>
        <w:left w:val="none" w:sz="0" w:space="0" w:color="auto"/>
        <w:bottom w:val="none" w:sz="0" w:space="0" w:color="auto"/>
        <w:right w:val="none" w:sz="0" w:space="0" w:color="auto"/>
      </w:divBdr>
    </w:div>
    <w:div w:id="35854232">
      <w:bodyDiv w:val="1"/>
      <w:marLeft w:val="0"/>
      <w:marRight w:val="0"/>
      <w:marTop w:val="0"/>
      <w:marBottom w:val="0"/>
      <w:divBdr>
        <w:top w:val="none" w:sz="0" w:space="0" w:color="auto"/>
        <w:left w:val="none" w:sz="0" w:space="0" w:color="auto"/>
        <w:bottom w:val="none" w:sz="0" w:space="0" w:color="auto"/>
        <w:right w:val="none" w:sz="0" w:space="0" w:color="auto"/>
      </w:divBdr>
    </w:div>
    <w:div w:id="46881083">
      <w:bodyDiv w:val="1"/>
      <w:marLeft w:val="0"/>
      <w:marRight w:val="0"/>
      <w:marTop w:val="0"/>
      <w:marBottom w:val="0"/>
      <w:divBdr>
        <w:top w:val="none" w:sz="0" w:space="0" w:color="auto"/>
        <w:left w:val="none" w:sz="0" w:space="0" w:color="auto"/>
        <w:bottom w:val="none" w:sz="0" w:space="0" w:color="auto"/>
        <w:right w:val="none" w:sz="0" w:space="0" w:color="auto"/>
      </w:divBdr>
    </w:div>
    <w:div w:id="48381300">
      <w:bodyDiv w:val="1"/>
      <w:marLeft w:val="0"/>
      <w:marRight w:val="0"/>
      <w:marTop w:val="0"/>
      <w:marBottom w:val="0"/>
      <w:divBdr>
        <w:top w:val="none" w:sz="0" w:space="0" w:color="auto"/>
        <w:left w:val="none" w:sz="0" w:space="0" w:color="auto"/>
        <w:bottom w:val="none" w:sz="0" w:space="0" w:color="auto"/>
        <w:right w:val="none" w:sz="0" w:space="0" w:color="auto"/>
      </w:divBdr>
    </w:div>
    <w:div w:id="54666033">
      <w:bodyDiv w:val="1"/>
      <w:marLeft w:val="0"/>
      <w:marRight w:val="0"/>
      <w:marTop w:val="0"/>
      <w:marBottom w:val="0"/>
      <w:divBdr>
        <w:top w:val="none" w:sz="0" w:space="0" w:color="auto"/>
        <w:left w:val="none" w:sz="0" w:space="0" w:color="auto"/>
        <w:bottom w:val="none" w:sz="0" w:space="0" w:color="auto"/>
        <w:right w:val="none" w:sz="0" w:space="0" w:color="auto"/>
      </w:divBdr>
    </w:div>
    <w:div w:id="60643060">
      <w:bodyDiv w:val="1"/>
      <w:marLeft w:val="0"/>
      <w:marRight w:val="0"/>
      <w:marTop w:val="0"/>
      <w:marBottom w:val="0"/>
      <w:divBdr>
        <w:top w:val="none" w:sz="0" w:space="0" w:color="auto"/>
        <w:left w:val="none" w:sz="0" w:space="0" w:color="auto"/>
        <w:bottom w:val="none" w:sz="0" w:space="0" w:color="auto"/>
        <w:right w:val="none" w:sz="0" w:space="0" w:color="auto"/>
      </w:divBdr>
    </w:div>
    <w:div w:id="61950249">
      <w:marLeft w:val="0"/>
      <w:marRight w:val="0"/>
      <w:marTop w:val="0"/>
      <w:marBottom w:val="0"/>
      <w:divBdr>
        <w:top w:val="none" w:sz="0" w:space="0" w:color="auto"/>
        <w:left w:val="none" w:sz="0" w:space="0" w:color="auto"/>
        <w:bottom w:val="none" w:sz="0" w:space="0" w:color="auto"/>
        <w:right w:val="none" w:sz="0" w:space="0" w:color="auto"/>
      </w:divBdr>
      <w:divsChild>
        <w:div w:id="1563172930">
          <w:marLeft w:val="0"/>
          <w:marRight w:val="0"/>
          <w:marTop w:val="0"/>
          <w:marBottom w:val="0"/>
          <w:divBdr>
            <w:top w:val="none" w:sz="0" w:space="0" w:color="auto"/>
            <w:left w:val="none" w:sz="0" w:space="0" w:color="auto"/>
            <w:bottom w:val="none" w:sz="0" w:space="0" w:color="auto"/>
            <w:right w:val="none" w:sz="0" w:space="0" w:color="auto"/>
          </w:divBdr>
        </w:div>
      </w:divsChild>
    </w:div>
    <w:div w:id="63726450">
      <w:bodyDiv w:val="1"/>
      <w:marLeft w:val="0"/>
      <w:marRight w:val="0"/>
      <w:marTop w:val="0"/>
      <w:marBottom w:val="0"/>
      <w:divBdr>
        <w:top w:val="none" w:sz="0" w:space="0" w:color="auto"/>
        <w:left w:val="none" w:sz="0" w:space="0" w:color="auto"/>
        <w:bottom w:val="none" w:sz="0" w:space="0" w:color="auto"/>
        <w:right w:val="none" w:sz="0" w:space="0" w:color="auto"/>
      </w:divBdr>
    </w:div>
    <w:div w:id="75438679">
      <w:bodyDiv w:val="1"/>
      <w:marLeft w:val="0"/>
      <w:marRight w:val="0"/>
      <w:marTop w:val="0"/>
      <w:marBottom w:val="0"/>
      <w:divBdr>
        <w:top w:val="none" w:sz="0" w:space="0" w:color="auto"/>
        <w:left w:val="none" w:sz="0" w:space="0" w:color="auto"/>
        <w:bottom w:val="none" w:sz="0" w:space="0" w:color="auto"/>
        <w:right w:val="none" w:sz="0" w:space="0" w:color="auto"/>
      </w:divBdr>
    </w:div>
    <w:div w:id="75979270">
      <w:bodyDiv w:val="1"/>
      <w:marLeft w:val="0"/>
      <w:marRight w:val="0"/>
      <w:marTop w:val="0"/>
      <w:marBottom w:val="0"/>
      <w:divBdr>
        <w:top w:val="none" w:sz="0" w:space="0" w:color="auto"/>
        <w:left w:val="none" w:sz="0" w:space="0" w:color="auto"/>
        <w:bottom w:val="none" w:sz="0" w:space="0" w:color="auto"/>
        <w:right w:val="none" w:sz="0" w:space="0" w:color="auto"/>
      </w:divBdr>
      <w:divsChild>
        <w:div w:id="484780250">
          <w:marLeft w:val="0"/>
          <w:marRight w:val="0"/>
          <w:marTop w:val="0"/>
          <w:marBottom w:val="0"/>
          <w:divBdr>
            <w:top w:val="none" w:sz="0" w:space="0" w:color="auto"/>
            <w:left w:val="none" w:sz="0" w:space="0" w:color="auto"/>
            <w:bottom w:val="none" w:sz="0" w:space="0" w:color="auto"/>
            <w:right w:val="none" w:sz="0" w:space="0" w:color="auto"/>
          </w:divBdr>
          <w:divsChild>
            <w:div w:id="1996109558">
              <w:marLeft w:val="0"/>
              <w:marRight w:val="0"/>
              <w:marTop w:val="0"/>
              <w:marBottom w:val="0"/>
              <w:divBdr>
                <w:top w:val="none" w:sz="0" w:space="0" w:color="auto"/>
                <w:left w:val="none" w:sz="0" w:space="0" w:color="auto"/>
                <w:bottom w:val="none" w:sz="0" w:space="0" w:color="auto"/>
                <w:right w:val="none" w:sz="0" w:space="0" w:color="auto"/>
              </w:divBdr>
            </w:div>
          </w:divsChild>
        </w:div>
        <w:div w:id="1189952809">
          <w:marLeft w:val="0"/>
          <w:marRight w:val="0"/>
          <w:marTop w:val="0"/>
          <w:marBottom w:val="0"/>
          <w:divBdr>
            <w:top w:val="none" w:sz="0" w:space="0" w:color="auto"/>
            <w:left w:val="none" w:sz="0" w:space="0" w:color="auto"/>
            <w:bottom w:val="none" w:sz="0" w:space="0" w:color="auto"/>
            <w:right w:val="none" w:sz="0" w:space="0" w:color="auto"/>
          </w:divBdr>
          <w:divsChild>
            <w:div w:id="1419133104">
              <w:marLeft w:val="0"/>
              <w:marRight w:val="0"/>
              <w:marTop w:val="0"/>
              <w:marBottom w:val="0"/>
              <w:divBdr>
                <w:top w:val="none" w:sz="0" w:space="0" w:color="auto"/>
                <w:left w:val="none" w:sz="0" w:space="0" w:color="auto"/>
                <w:bottom w:val="none" w:sz="0" w:space="0" w:color="auto"/>
                <w:right w:val="none" w:sz="0" w:space="0" w:color="auto"/>
              </w:divBdr>
            </w:div>
          </w:divsChild>
        </w:div>
        <w:div w:id="1281381776">
          <w:marLeft w:val="0"/>
          <w:marRight w:val="0"/>
          <w:marTop w:val="0"/>
          <w:marBottom w:val="0"/>
          <w:divBdr>
            <w:top w:val="none" w:sz="0" w:space="0" w:color="auto"/>
            <w:left w:val="none" w:sz="0" w:space="0" w:color="auto"/>
            <w:bottom w:val="none" w:sz="0" w:space="0" w:color="auto"/>
            <w:right w:val="none" w:sz="0" w:space="0" w:color="auto"/>
          </w:divBdr>
          <w:divsChild>
            <w:div w:id="1960867457">
              <w:marLeft w:val="0"/>
              <w:marRight w:val="0"/>
              <w:marTop w:val="0"/>
              <w:marBottom w:val="0"/>
              <w:divBdr>
                <w:top w:val="none" w:sz="0" w:space="0" w:color="auto"/>
                <w:left w:val="none" w:sz="0" w:space="0" w:color="auto"/>
                <w:bottom w:val="none" w:sz="0" w:space="0" w:color="auto"/>
                <w:right w:val="none" w:sz="0" w:space="0" w:color="auto"/>
              </w:divBdr>
            </w:div>
          </w:divsChild>
        </w:div>
        <w:div w:id="1810398846">
          <w:marLeft w:val="0"/>
          <w:marRight w:val="0"/>
          <w:marTop w:val="0"/>
          <w:marBottom w:val="0"/>
          <w:divBdr>
            <w:top w:val="none" w:sz="0" w:space="0" w:color="auto"/>
            <w:left w:val="none" w:sz="0" w:space="0" w:color="auto"/>
            <w:bottom w:val="none" w:sz="0" w:space="0" w:color="auto"/>
            <w:right w:val="none" w:sz="0" w:space="0" w:color="auto"/>
          </w:divBdr>
          <w:divsChild>
            <w:div w:id="256639139">
              <w:marLeft w:val="0"/>
              <w:marRight w:val="0"/>
              <w:marTop w:val="0"/>
              <w:marBottom w:val="0"/>
              <w:divBdr>
                <w:top w:val="none" w:sz="0" w:space="0" w:color="auto"/>
                <w:left w:val="none" w:sz="0" w:space="0" w:color="auto"/>
                <w:bottom w:val="none" w:sz="0" w:space="0" w:color="auto"/>
                <w:right w:val="none" w:sz="0" w:space="0" w:color="auto"/>
              </w:divBdr>
            </w:div>
          </w:divsChild>
        </w:div>
        <w:div w:id="689837374">
          <w:marLeft w:val="0"/>
          <w:marRight w:val="0"/>
          <w:marTop w:val="0"/>
          <w:marBottom w:val="0"/>
          <w:divBdr>
            <w:top w:val="none" w:sz="0" w:space="0" w:color="auto"/>
            <w:left w:val="none" w:sz="0" w:space="0" w:color="auto"/>
            <w:bottom w:val="none" w:sz="0" w:space="0" w:color="auto"/>
            <w:right w:val="none" w:sz="0" w:space="0" w:color="auto"/>
          </w:divBdr>
          <w:divsChild>
            <w:div w:id="1331710138">
              <w:marLeft w:val="0"/>
              <w:marRight w:val="0"/>
              <w:marTop w:val="0"/>
              <w:marBottom w:val="0"/>
              <w:divBdr>
                <w:top w:val="none" w:sz="0" w:space="0" w:color="auto"/>
                <w:left w:val="none" w:sz="0" w:space="0" w:color="auto"/>
                <w:bottom w:val="none" w:sz="0" w:space="0" w:color="auto"/>
                <w:right w:val="none" w:sz="0" w:space="0" w:color="auto"/>
              </w:divBdr>
            </w:div>
          </w:divsChild>
        </w:div>
        <w:div w:id="307172195">
          <w:marLeft w:val="0"/>
          <w:marRight w:val="0"/>
          <w:marTop w:val="0"/>
          <w:marBottom w:val="0"/>
          <w:divBdr>
            <w:top w:val="none" w:sz="0" w:space="0" w:color="auto"/>
            <w:left w:val="none" w:sz="0" w:space="0" w:color="auto"/>
            <w:bottom w:val="none" w:sz="0" w:space="0" w:color="auto"/>
            <w:right w:val="none" w:sz="0" w:space="0" w:color="auto"/>
          </w:divBdr>
          <w:divsChild>
            <w:div w:id="2035496951">
              <w:marLeft w:val="0"/>
              <w:marRight w:val="0"/>
              <w:marTop w:val="0"/>
              <w:marBottom w:val="0"/>
              <w:divBdr>
                <w:top w:val="none" w:sz="0" w:space="0" w:color="auto"/>
                <w:left w:val="none" w:sz="0" w:space="0" w:color="auto"/>
                <w:bottom w:val="none" w:sz="0" w:space="0" w:color="auto"/>
                <w:right w:val="none" w:sz="0" w:space="0" w:color="auto"/>
              </w:divBdr>
            </w:div>
          </w:divsChild>
        </w:div>
        <w:div w:id="1181626386">
          <w:marLeft w:val="0"/>
          <w:marRight w:val="0"/>
          <w:marTop w:val="0"/>
          <w:marBottom w:val="0"/>
          <w:divBdr>
            <w:top w:val="none" w:sz="0" w:space="0" w:color="auto"/>
            <w:left w:val="none" w:sz="0" w:space="0" w:color="auto"/>
            <w:bottom w:val="none" w:sz="0" w:space="0" w:color="auto"/>
            <w:right w:val="none" w:sz="0" w:space="0" w:color="auto"/>
          </w:divBdr>
          <w:divsChild>
            <w:div w:id="1559314965">
              <w:marLeft w:val="0"/>
              <w:marRight w:val="0"/>
              <w:marTop w:val="0"/>
              <w:marBottom w:val="0"/>
              <w:divBdr>
                <w:top w:val="none" w:sz="0" w:space="0" w:color="auto"/>
                <w:left w:val="none" w:sz="0" w:space="0" w:color="auto"/>
                <w:bottom w:val="none" w:sz="0" w:space="0" w:color="auto"/>
                <w:right w:val="none" w:sz="0" w:space="0" w:color="auto"/>
              </w:divBdr>
            </w:div>
          </w:divsChild>
        </w:div>
        <w:div w:id="750666313">
          <w:marLeft w:val="0"/>
          <w:marRight w:val="0"/>
          <w:marTop w:val="0"/>
          <w:marBottom w:val="0"/>
          <w:divBdr>
            <w:top w:val="none" w:sz="0" w:space="0" w:color="auto"/>
            <w:left w:val="none" w:sz="0" w:space="0" w:color="auto"/>
            <w:bottom w:val="none" w:sz="0" w:space="0" w:color="auto"/>
            <w:right w:val="none" w:sz="0" w:space="0" w:color="auto"/>
          </w:divBdr>
          <w:divsChild>
            <w:div w:id="111806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4448">
      <w:bodyDiv w:val="1"/>
      <w:marLeft w:val="0"/>
      <w:marRight w:val="0"/>
      <w:marTop w:val="0"/>
      <w:marBottom w:val="0"/>
      <w:divBdr>
        <w:top w:val="none" w:sz="0" w:space="0" w:color="auto"/>
        <w:left w:val="none" w:sz="0" w:space="0" w:color="auto"/>
        <w:bottom w:val="none" w:sz="0" w:space="0" w:color="auto"/>
        <w:right w:val="none" w:sz="0" w:space="0" w:color="auto"/>
      </w:divBdr>
    </w:div>
    <w:div w:id="86393864">
      <w:bodyDiv w:val="1"/>
      <w:marLeft w:val="0"/>
      <w:marRight w:val="0"/>
      <w:marTop w:val="0"/>
      <w:marBottom w:val="0"/>
      <w:divBdr>
        <w:top w:val="none" w:sz="0" w:space="0" w:color="auto"/>
        <w:left w:val="none" w:sz="0" w:space="0" w:color="auto"/>
        <w:bottom w:val="none" w:sz="0" w:space="0" w:color="auto"/>
        <w:right w:val="none" w:sz="0" w:space="0" w:color="auto"/>
      </w:divBdr>
    </w:div>
    <w:div w:id="94833525">
      <w:bodyDiv w:val="1"/>
      <w:marLeft w:val="0"/>
      <w:marRight w:val="0"/>
      <w:marTop w:val="0"/>
      <w:marBottom w:val="0"/>
      <w:divBdr>
        <w:top w:val="none" w:sz="0" w:space="0" w:color="auto"/>
        <w:left w:val="none" w:sz="0" w:space="0" w:color="auto"/>
        <w:bottom w:val="none" w:sz="0" w:space="0" w:color="auto"/>
        <w:right w:val="none" w:sz="0" w:space="0" w:color="auto"/>
      </w:divBdr>
    </w:div>
    <w:div w:id="99566230">
      <w:bodyDiv w:val="1"/>
      <w:marLeft w:val="0"/>
      <w:marRight w:val="0"/>
      <w:marTop w:val="0"/>
      <w:marBottom w:val="0"/>
      <w:divBdr>
        <w:top w:val="none" w:sz="0" w:space="0" w:color="auto"/>
        <w:left w:val="none" w:sz="0" w:space="0" w:color="auto"/>
        <w:bottom w:val="none" w:sz="0" w:space="0" w:color="auto"/>
        <w:right w:val="none" w:sz="0" w:space="0" w:color="auto"/>
      </w:divBdr>
    </w:div>
    <w:div w:id="100927537">
      <w:bodyDiv w:val="1"/>
      <w:marLeft w:val="0"/>
      <w:marRight w:val="0"/>
      <w:marTop w:val="0"/>
      <w:marBottom w:val="0"/>
      <w:divBdr>
        <w:top w:val="none" w:sz="0" w:space="0" w:color="auto"/>
        <w:left w:val="none" w:sz="0" w:space="0" w:color="auto"/>
        <w:bottom w:val="none" w:sz="0" w:space="0" w:color="auto"/>
        <w:right w:val="none" w:sz="0" w:space="0" w:color="auto"/>
      </w:divBdr>
    </w:div>
    <w:div w:id="101925181">
      <w:bodyDiv w:val="1"/>
      <w:marLeft w:val="0"/>
      <w:marRight w:val="0"/>
      <w:marTop w:val="0"/>
      <w:marBottom w:val="0"/>
      <w:divBdr>
        <w:top w:val="none" w:sz="0" w:space="0" w:color="auto"/>
        <w:left w:val="none" w:sz="0" w:space="0" w:color="auto"/>
        <w:bottom w:val="none" w:sz="0" w:space="0" w:color="auto"/>
        <w:right w:val="none" w:sz="0" w:space="0" w:color="auto"/>
      </w:divBdr>
    </w:div>
    <w:div w:id="103235540">
      <w:bodyDiv w:val="1"/>
      <w:marLeft w:val="0"/>
      <w:marRight w:val="0"/>
      <w:marTop w:val="0"/>
      <w:marBottom w:val="0"/>
      <w:divBdr>
        <w:top w:val="none" w:sz="0" w:space="0" w:color="auto"/>
        <w:left w:val="none" w:sz="0" w:space="0" w:color="auto"/>
        <w:bottom w:val="none" w:sz="0" w:space="0" w:color="auto"/>
        <w:right w:val="none" w:sz="0" w:space="0" w:color="auto"/>
      </w:divBdr>
    </w:div>
    <w:div w:id="109781626">
      <w:bodyDiv w:val="1"/>
      <w:marLeft w:val="0"/>
      <w:marRight w:val="0"/>
      <w:marTop w:val="0"/>
      <w:marBottom w:val="0"/>
      <w:divBdr>
        <w:top w:val="none" w:sz="0" w:space="0" w:color="auto"/>
        <w:left w:val="none" w:sz="0" w:space="0" w:color="auto"/>
        <w:bottom w:val="none" w:sz="0" w:space="0" w:color="auto"/>
        <w:right w:val="none" w:sz="0" w:space="0" w:color="auto"/>
      </w:divBdr>
    </w:div>
    <w:div w:id="115758324">
      <w:bodyDiv w:val="1"/>
      <w:marLeft w:val="0"/>
      <w:marRight w:val="0"/>
      <w:marTop w:val="0"/>
      <w:marBottom w:val="0"/>
      <w:divBdr>
        <w:top w:val="none" w:sz="0" w:space="0" w:color="auto"/>
        <w:left w:val="none" w:sz="0" w:space="0" w:color="auto"/>
        <w:bottom w:val="none" w:sz="0" w:space="0" w:color="auto"/>
        <w:right w:val="none" w:sz="0" w:space="0" w:color="auto"/>
      </w:divBdr>
    </w:div>
    <w:div w:id="124813094">
      <w:bodyDiv w:val="1"/>
      <w:marLeft w:val="0"/>
      <w:marRight w:val="0"/>
      <w:marTop w:val="0"/>
      <w:marBottom w:val="0"/>
      <w:divBdr>
        <w:top w:val="none" w:sz="0" w:space="0" w:color="auto"/>
        <w:left w:val="none" w:sz="0" w:space="0" w:color="auto"/>
        <w:bottom w:val="none" w:sz="0" w:space="0" w:color="auto"/>
        <w:right w:val="none" w:sz="0" w:space="0" w:color="auto"/>
      </w:divBdr>
    </w:div>
    <w:div w:id="130831002">
      <w:bodyDiv w:val="1"/>
      <w:marLeft w:val="0"/>
      <w:marRight w:val="0"/>
      <w:marTop w:val="0"/>
      <w:marBottom w:val="0"/>
      <w:divBdr>
        <w:top w:val="none" w:sz="0" w:space="0" w:color="auto"/>
        <w:left w:val="none" w:sz="0" w:space="0" w:color="auto"/>
        <w:bottom w:val="none" w:sz="0" w:space="0" w:color="auto"/>
        <w:right w:val="none" w:sz="0" w:space="0" w:color="auto"/>
      </w:divBdr>
    </w:div>
    <w:div w:id="134571295">
      <w:bodyDiv w:val="1"/>
      <w:marLeft w:val="0"/>
      <w:marRight w:val="0"/>
      <w:marTop w:val="0"/>
      <w:marBottom w:val="0"/>
      <w:divBdr>
        <w:top w:val="none" w:sz="0" w:space="0" w:color="auto"/>
        <w:left w:val="none" w:sz="0" w:space="0" w:color="auto"/>
        <w:bottom w:val="none" w:sz="0" w:space="0" w:color="auto"/>
        <w:right w:val="none" w:sz="0" w:space="0" w:color="auto"/>
      </w:divBdr>
    </w:div>
    <w:div w:id="137378355">
      <w:bodyDiv w:val="1"/>
      <w:marLeft w:val="0"/>
      <w:marRight w:val="0"/>
      <w:marTop w:val="0"/>
      <w:marBottom w:val="0"/>
      <w:divBdr>
        <w:top w:val="none" w:sz="0" w:space="0" w:color="auto"/>
        <w:left w:val="none" w:sz="0" w:space="0" w:color="auto"/>
        <w:bottom w:val="none" w:sz="0" w:space="0" w:color="auto"/>
        <w:right w:val="none" w:sz="0" w:space="0" w:color="auto"/>
      </w:divBdr>
    </w:div>
    <w:div w:id="137653944">
      <w:bodyDiv w:val="1"/>
      <w:marLeft w:val="0"/>
      <w:marRight w:val="0"/>
      <w:marTop w:val="0"/>
      <w:marBottom w:val="0"/>
      <w:divBdr>
        <w:top w:val="none" w:sz="0" w:space="0" w:color="auto"/>
        <w:left w:val="none" w:sz="0" w:space="0" w:color="auto"/>
        <w:bottom w:val="none" w:sz="0" w:space="0" w:color="auto"/>
        <w:right w:val="none" w:sz="0" w:space="0" w:color="auto"/>
      </w:divBdr>
    </w:div>
    <w:div w:id="142477597">
      <w:bodyDiv w:val="1"/>
      <w:marLeft w:val="0"/>
      <w:marRight w:val="0"/>
      <w:marTop w:val="0"/>
      <w:marBottom w:val="0"/>
      <w:divBdr>
        <w:top w:val="none" w:sz="0" w:space="0" w:color="auto"/>
        <w:left w:val="none" w:sz="0" w:space="0" w:color="auto"/>
        <w:bottom w:val="none" w:sz="0" w:space="0" w:color="auto"/>
        <w:right w:val="none" w:sz="0" w:space="0" w:color="auto"/>
      </w:divBdr>
      <w:divsChild>
        <w:div w:id="1644847104">
          <w:marLeft w:val="0"/>
          <w:marRight w:val="0"/>
          <w:marTop w:val="0"/>
          <w:marBottom w:val="0"/>
          <w:divBdr>
            <w:top w:val="none" w:sz="0" w:space="0" w:color="auto"/>
            <w:left w:val="none" w:sz="0" w:space="0" w:color="auto"/>
            <w:bottom w:val="none" w:sz="0" w:space="0" w:color="auto"/>
            <w:right w:val="none" w:sz="0" w:space="0" w:color="auto"/>
          </w:divBdr>
        </w:div>
      </w:divsChild>
    </w:div>
    <w:div w:id="145635478">
      <w:bodyDiv w:val="1"/>
      <w:marLeft w:val="0"/>
      <w:marRight w:val="0"/>
      <w:marTop w:val="0"/>
      <w:marBottom w:val="0"/>
      <w:divBdr>
        <w:top w:val="none" w:sz="0" w:space="0" w:color="auto"/>
        <w:left w:val="none" w:sz="0" w:space="0" w:color="auto"/>
        <w:bottom w:val="none" w:sz="0" w:space="0" w:color="auto"/>
        <w:right w:val="none" w:sz="0" w:space="0" w:color="auto"/>
      </w:divBdr>
    </w:div>
    <w:div w:id="155803617">
      <w:bodyDiv w:val="1"/>
      <w:marLeft w:val="0"/>
      <w:marRight w:val="0"/>
      <w:marTop w:val="0"/>
      <w:marBottom w:val="0"/>
      <w:divBdr>
        <w:top w:val="none" w:sz="0" w:space="0" w:color="auto"/>
        <w:left w:val="none" w:sz="0" w:space="0" w:color="auto"/>
        <w:bottom w:val="none" w:sz="0" w:space="0" w:color="auto"/>
        <w:right w:val="none" w:sz="0" w:space="0" w:color="auto"/>
      </w:divBdr>
    </w:div>
    <w:div w:id="157887932">
      <w:bodyDiv w:val="1"/>
      <w:marLeft w:val="0"/>
      <w:marRight w:val="0"/>
      <w:marTop w:val="0"/>
      <w:marBottom w:val="0"/>
      <w:divBdr>
        <w:top w:val="none" w:sz="0" w:space="0" w:color="auto"/>
        <w:left w:val="none" w:sz="0" w:space="0" w:color="auto"/>
        <w:bottom w:val="none" w:sz="0" w:space="0" w:color="auto"/>
        <w:right w:val="none" w:sz="0" w:space="0" w:color="auto"/>
      </w:divBdr>
    </w:div>
    <w:div w:id="162858478">
      <w:bodyDiv w:val="1"/>
      <w:marLeft w:val="0"/>
      <w:marRight w:val="0"/>
      <w:marTop w:val="0"/>
      <w:marBottom w:val="0"/>
      <w:divBdr>
        <w:top w:val="none" w:sz="0" w:space="0" w:color="auto"/>
        <w:left w:val="none" w:sz="0" w:space="0" w:color="auto"/>
        <w:bottom w:val="none" w:sz="0" w:space="0" w:color="auto"/>
        <w:right w:val="none" w:sz="0" w:space="0" w:color="auto"/>
      </w:divBdr>
    </w:div>
    <w:div w:id="166287515">
      <w:bodyDiv w:val="1"/>
      <w:marLeft w:val="0"/>
      <w:marRight w:val="0"/>
      <w:marTop w:val="0"/>
      <w:marBottom w:val="0"/>
      <w:divBdr>
        <w:top w:val="none" w:sz="0" w:space="0" w:color="auto"/>
        <w:left w:val="none" w:sz="0" w:space="0" w:color="auto"/>
        <w:bottom w:val="none" w:sz="0" w:space="0" w:color="auto"/>
        <w:right w:val="none" w:sz="0" w:space="0" w:color="auto"/>
      </w:divBdr>
    </w:div>
    <w:div w:id="179009878">
      <w:bodyDiv w:val="1"/>
      <w:marLeft w:val="0"/>
      <w:marRight w:val="0"/>
      <w:marTop w:val="0"/>
      <w:marBottom w:val="0"/>
      <w:divBdr>
        <w:top w:val="none" w:sz="0" w:space="0" w:color="auto"/>
        <w:left w:val="none" w:sz="0" w:space="0" w:color="auto"/>
        <w:bottom w:val="none" w:sz="0" w:space="0" w:color="auto"/>
        <w:right w:val="none" w:sz="0" w:space="0" w:color="auto"/>
      </w:divBdr>
    </w:div>
    <w:div w:id="184634580">
      <w:bodyDiv w:val="1"/>
      <w:marLeft w:val="0"/>
      <w:marRight w:val="0"/>
      <w:marTop w:val="0"/>
      <w:marBottom w:val="0"/>
      <w:divBdr>
        <w:top w:val="none" w:sz="0" w:space="0" w:color="auto"/>
        <w:left w:val="none" w:sz="0" w:space="0" w:color="auto"/>
        <w:bottom w:val="none" w:sz="0" w:space="0" w:color="auto"/>
        <w:right w:val="none" w:sz="0" w:space="0" w:color="auto"/>
      </w:divBdr>
    </w:div>
    <w:div w:id="185868856">
      <w:bodyDiv w:val="1"/>
      <w:marLeft w:val="0"/>
      <w:marRight w:val="0"/>
      <w:marTop w:val="0"/>
      <w:marBottom w:val="0"/>
      <w:divBdr>
        <w:top w:val="none" w:sz="0" w:space="0" w:color="auto"/>
        <w:left w:val="none" w:sz="0" w:space="0" w:color="auto"/>
        <w:bottom w:val="none" w:sz="0" w:space="0" w:color="auto"/>
        <w:right w:val="none" w:sz="0" w:space="0" w:color="auto"/>
      </w:divBdr>
    </w:div>
    <w:div w:id="190192318">
      <w:bodyDiv w:val="1"/>
      <w:marLeft w:val="0"/>
      <w:marRight w:val="0"/>
      <w:marTop w:val="0"/>
      <w:marBottom w:val="0"/>
      <w:divBdr>
        <w:top w:val="none" w:sz="0" w:space="0" w:color="auto"/>
        <w:left w:val="none" w:sz="0" w:space="0" w:color="auto"/>
        <w:bottom w:val="none" w:sz="0" w:space="0" w:color="auto"/>
        <w:right w:val="none" w:sz="0" w:space="0" w:color="auto"/>
      </w:divBdr>
    </w:div>
    <w:div w:id="190805356">
      <w:bodyDiv w:val="1"/>
      <w:marLeft w:val="0"/>
      <w:marRight w:val="0"/>
      <w:marTop w:val="0"/>
      <w:marBottom w:val="0"/>
      <w:divBdr>
        <w:top w:val="none" w:sz="0" w:space="0" w:color="auto"/>
        <w:left w:val="none" w:sz="0" w:space="0" w:color="auto"/>
        <w:bottom w:val="none" w:sz="0" w:space="0" w:color="auto"/>
        <w:right w:val="none" w:sz="0" w:space="0" w:color="auto"/>
      </w:divBdr>
    </w:div>
    <w:div w:id="191264830">
      <w:bodyDiv w:val="1"/>
      <w:marLeft w:val="0"/>
      <w:marRight w:val="0"/>
      <w:marTop w:val="0"/>
      <w:marBottom w:val="0"/>
      <w:divBdr>
        <w:top w:val="none" w:sz="0" w:space="0" w:color="auto"/>
        <w:left w:val="none" w:sz="0" w:space="0" w:color="auto"/>
        <w:bottom w:val="none" w:sz="0" w:space="0" w:color="auto"/>
        <w:right w:val="none" w:sz="0" w:space="0" w:color="auto"/>
      </w:divBdr>
    </w:div>
    <w:div w:id="193270778">
      <w:bodyDiv w:val="1"/>
      <w:marLeft w:val="0"/>
      <w:marRight w:val="0"/>
      <w:marTop w:val="0"/>
      <w:marBottom w:val="0"/>
      <w:divBdr>
        <w:top w:val="none" w:sz="0" w:space="0" w:color="auto"/>
        <w:left w:val="none" w:sz="0" w:space="0" w:color="auto"/>
        <w:bottom w:val="none" w:sz="0" w:space="0" w:color="auto"/>
        <w:right w:val="none" w:sz="0" w:space="0" w:color="auto"/>
      </w:divBdr>
    </w:div>
    <w:div w:id="193423270">
      <w:bodyDiv w:val="1"/>
      <w:marLeft w:val="0"/>
      <w:marRight w:val="0"/>
      <w:marTop w:val="0"/>
      <w:marBottom w:val="0"/>
      <w:divBdr>
        <w:top w:val="none" w:sz="0" w:space="0" w:color="auto"/>
        <w:left w:val="none" w:sz="0" w:space="0" w:color="auto"/>
        <w:bottom w:val="none" w:sz="0" w:space="0" w:color="auto"/>
        <w:right w:val="none" w:sz="0" w:space="0" w:color="auto"/>
      </w:divBdr>
    </w:div>
    <w:div w:id="198709607">
      <w:bodyDiv w:val="1"/>
      <w:marLeft w:val="0"/>
      <w:marRight w:val="0"/>
      <w:marTop w:val="0"/>
      <w:marBottom w:val="0"/>
      <w:divBdr>
        <w:top w:val="none" w:sz="0" w:space="0" w:color="auto"/>
        <w:left w:val="none" w:sz="0" w:space="0" w:color="auto"/>
        <w:bottom w:val="none" w:sz="0" w:space="0" w:color="auto"/>
        <w:right w:val="none" w:sz="0" w:space="0" w:color="auto"/>
      </w:divBdr>
    </w:div>
    <w:div w:id="206913974">
      <w:bodyDiv w:val="1"/>
      <w:marLeft w:val="0"/>
      <w:marRight w:val="0"/>
      <w:marTop w:val="0"/>
      <w:marBottom w:val="0"/>
      <w:divBdr>
        <w:top w:val="none" w:sz="0" w:space="0" w:color="auto"/>
        <w:left w:val="none" w:sz="0" w:space="0" w:color="auto"/>
        <w:bottom w:val="none" w:sz="0" w:space="0" w:color="auto"/>
        <w:right w:val="none" w:sz="0" w:space="0" w:color="auto"/>
      </w:divBdr>
    </w:div>
    <w:div w:id="207843313">
      <w:bodyDiv w:val="1"/>
      <w:marLeft w:val="0"/>
      <w:marRight w:val="0"/>
      <w:marTop w:val="0"/>
      <w:marBottom w:val="0"/>
      <w:divBdr>
        <w:top w:val="none" w:sz="0" w:space="0" w:color="auto"/>
        <w:left w:val="none" w:sz="0" w:space="0" w:color="auto"/>
        <w:bottom w:val="none" w:sz="0" w:space="0" w:color="auto"/>
        <w:right w:val="none" w:sz="0" w:space="0" w:color="auto"/>
      </w:divBdr>
    </w:div>
    <w:div w:id="210921558">
      <w:bodyDiv w:val="1"/>
      <w:marLeft w:val="0"/>
      <w:marRight w:val="0"/>
      <w:marTop w:val="0"/>
      <w:marBottom w:val="0"/>
      <w:divBdr>
        <w:top w:val="none" w:sz="0" w:space="0" w:color="auto"/>
        <w:left w:val="none" w:sz="0" w:space="0" w:color="auto"/>
        <w:bottom w:val="none" w:sz="0" w:space="0" w:color="auto"/>
        <w:right w:val="none" w:sz="0" w:space="0" w:color="auto"/>
      </w:divBdr>
    </w:div>
    <w:div w:id="214195443">
      <w:bodyDiv w:val="1"/>
      <w:marLeft w:val="0"/>
      <w:marRight w:val="0"/>
      <w:marTop w:val="0"/>
      <w:marBottom w:val="0"/>
      <w:divBdr>
        <w:top w:val="none" w:sz="0" w:space="0" w:color="auto"/>
        <w:left w:val="none" w:sz="0" w:space="0" w:color="auto"/>
        <w:bottom w:val="none" w:sz="0" w:space="0" w:color="auto"/>
        <w:right w:val="none" w:sz="0" w:space="0" w:color="auto"/>
      </w:divBdr>
    </w:div>
    <w:div w:id="228005665">
      <w:bodyDiv w:val="1"/>
      <w:marLeft w:val="0"/>
      <w:marRight w:val="0"/>
      <w:marTop w:val="0"/>
      <w:marBottom w:val="0"/>
      <w:divBdr>
        <w:top w:val="none" w:sz="0" w:space="0" w:color="auto"/>
        <w:left w:val="none" w:sz="0" w:space="0" w:color="auto"/>
        <w:bottom w:val="none" w:sz="0" w:space="0" w:color="auto"/>
        <w:right w:val="none" w:sz="0" w:space="0" w:color="auto"/>
      </w:divBdr>
    </w:div>
    <w:div w:id="230432453">
      <w:bodyDiv w:val="1"/>
      <w:marLeft w:val="0"/>
      <w:marRight w:val="0"/>
      <w:marTop w:val="0"/>
      <w:marBottom w:val="0"/>
      <w:divBdr>
        <w:top w:val="none" w:sz="0" w:space="0" w:color="auto"/>
        <w:left w:val="none" w:sz="0" w:space="0" w:color="auto"/>
        <w:bottom w:val="none" w:sz="0" w:space="0" w:color="auto"/>
        <w:right w:val="none" w:sz="0" w:space="0" w:color="auto"/>
      </w:divBdr>
    </w:div>
    <w:div w:id="230966328">
      <w:bodyDiv w:val="1"/>
      <w:marLeft w:val="0"/>
      <w:marRight w:val="0"/>
      <w:marTop w:val="0"/>
      <w:marBottom w:val="0"/>
      <w:divBdr>
        <w:top w:val="none" w:sz="0" w:space="0" w:color="auto"/>
        <w:left w:val="none" w:sz="0" w:space="0" w:color="auto"/>
        <w:bottom w:val="none" w:sz="0" w:space="0" w:color="auto"/>
        <w:right w:val="none" w:sz="0" w:space="0" w:color="auto"/>
      </w:divBdr>
    </w:div>
    <w:div w:id="233320132">
      <w:bodyDiv w:val="1"/>
      <w:marLeft w:val="0"/>
      <w:marRight w:val="0"/>
      <w:marTop w:val="0"/>
      <w:marBottom w:val="0"/>
      <w:divBdr>
        <w:top w:val="none" w:sz="0" w:space="0" w:color="auto"/>
        <w:left w:val="none" w:sz="0" w:space="0" w:color="auto"/>
        <w:bottom w:val="none" w:sz="0" w:space="0" w:color="auto"/>
        <w:right w:val="none" w:sz="0" w:space="0" w:color="auto"/>
      </w:divBdr>
    </w:div>
    <w:div w:id="236138546">
      <w:bodyDiv w:val="1"/>
      <w:marLeft w:val="0"/>
      <w:marRight w:val="0"/>
      <w:marTop w:val="0"/>
      <w:marBottom w:val="0"/>
      <w:divBdr>
        <w:top w:val="none" w:sz="0" w:space="0" w:color="auto"/>
        <w:left w:val="none" w:sz="0" w:space="0" w:color="auto"/>
        <w:bottom w:val="none" w:sz="0" w:space="0" w:color="auto"/>
        <w:right w:val="none" w:sz="0" w:space="0" w:color="auto"/>
      </w:divBdr>
      <w:divsChild>
        <w:div w:id="1644040247">
          <w:marLeft w:val="0"/>
          <w:marRight w:val="0"/>
          <w:marTop w:val="0"/>
          <w:marBottom w:val="0"/>
          <w:divBdr>
            <w:top w:val="none" w:sz="0" w:space="0" w:color="auto"/>
            <w:left w:val="none" w:sz="0" w:space="0" w:color="auto"/>
            <w:bottom w:val="none" w:sz="0" w:space="0" w:color="auto"/>
            <w:right w:val="none" w:sz="0" w:space="0" w:color="auto"/>
          </w:divBdr>
          <w:divsChild>
            <w:div w:id="730539053">
              <w:marLeft w:val="0"/>
              <w:marRight w:val="0"/>
              <w:marTop w:val="0"/>
              <w:marBottom w:val="0"/>
              <w:divBdr>
                <w:top w:val="none" w:sz="0" w:space="0" w:color="auto"/>
                <w:left w:val="none" w:sz="0" w:space="0" w:color="auto"/>
                <w:bottom w:val="none" w:sz="0" w:space="0" w:color="auto"/>
                <w:right w:val="none" w:sz="0" w:space="0" w:color="auto"/>
              </w:divBdr>
              <w:divsChild>
                <w:div w:id="875578197">
                  <w:marLeft w:val="0"/>
                  <w:marRight w:val="0"/>
                  <w:marTop w:val="0"/>
                  <w:marBottom w:val="0"/>
                  <w:divBdr>
                    <w:top w:val="none" w:sz="0" w:space="0" w:color="auto"/>
                    <w:left w:val="none" w:sz="0" w:space="0" w:color="auto"/>
                    <w:bottom w:val="none" w:sz="0" w:space="0" w:color="auto"/>
                    <w:right w:val="none" w:sz="0" w:space="0" w:color="auto"/>
                  </w:divBdr>
                  <w:divsChild>
                    <w:div w:id="348341017">
                      <w:marLeft w:val="0"/>
                      <w:marRight w:val="0"/>
                      <w:marTop w:val="0"/>
                      <w:marBottom w:val="0"/>
                      <w:divBdr>
                        <w:top w:val="none" w:sz="0" w:space="0" w:color="auto"/>
                        <w:left w:val="none" w:sz="0" w:space="0" w:color="auto"/>
                        <w:bottom w:val="none" w:sz="0" w:space="0" w:color="auto"/>
                        <w:right w:val="none" w:sz="0" w:space="0" w:color="auto"/>
                      </w:divBdr>
                      <w:divsChild>
                        <w:div w:id="299265959">
                          <w:marLeft w:val="0"/>
                          <w:marRight w:val="0"/>
                          <w:marTop w:val="0"/>
                          <w:marBottom w:val="0"/>
                          <w:divBdr>
                            <w:top w:val="none" w:sz="0" w:space="0" w:color="auto"/>
                            <w:left w:val="none" w:sz="0" w:space="0" w:color="auto"/>
                            <w:bottom w:val="none" w:sz="0" w:space="0" w:color="auto"/>
                            <w:right w:val="none" w:sz="0" w:space="0" w:color="auto"/>
                          </w:divBdr>
                          <w:divsChild>
                            <w:div w:id="1859149673">
                              <w:marLeft w:val="0"/>
                              <w:marRight w:val="0"/>
                              <w:marTop w:val="0"/>
                              <w:marBottom w:val="0"/>
                              <w:divBdr>
                                <w:top w:val="none" w:sz="0" w:space="0" w:color="auto"/>
                                <w:left w:val="none" w:sz="0" w:space="0" w:color="auto"/>
                                <w:bottom w:val="none" w:sz="0" w:space="0" w:color="auto"/>
                                <w:right w:val="none" w:sz="0" w:space="0" w:color="auto"/>
                              </w:divBdr>
                              <w:divsChild>
                                <w:div w:id="837041432">
                                  <w:marLeft w:val="0"/>
                                  <w:marRight w:val="0"/>
                                  <w:marTop w:val="0"/>
                                  <w:marBottom w:val="0"/>
                                  <w:divBdr>
                                    <w:top w:val="none" w:sz="0" w:space="0" w:color="auto"/>
                                    <w:left w:val="none" w:sz="0" w:space="0" w:color="auto"/>
                                    <w:bottom w:val="none" w:sz="0" w:space="0" w:color="auto"/>
                                    <w:right w:val="none" w:sz="0" w:space="0" w:color="auto"/>
                                  </w:divBdr>
                                  <w:divsChild>
                                    <w:div w:id="64088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3515">
                              <w:marLeft w:val="0"/>
                              <w:marRight w:val="0"/>
                              <w:marTop w:val="0"/>
                              <w:marBottom w:val="0"/>
                              <w:divBdr>
                                <w:top w:val="none" w:sz="0" w:space="0" w:color="auto"/>
                                <w:left w:val="none" w:sz="0" w:space="0" w:color="auto"/>
                                <w:bottom w:val="none" w:sz="0" w:space="0" w:color="auto"/>
                                <w:right w:val="none" w:sz="0" w:space="0" w:color="auto"/>
                              </w:divBdr>
                              <w:divsChild>
                                <w:div w:id="22075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3700580">
          <w:marLeft w:val="0"/>
          <w:marRight w:val="0"/>
          <w:marTop w:val="0"/>
          <w:marBottom w:val="0"/>
          <w:divBdr>
            <w:top w:val="none" w:sz="0" w:space="0" w:color="auto"/>
            <w:left w:val="none" w:sz="0" w:space="0" w:color="auto"/>
            <w:bottom w:val="none" w:sz="0" w:space="0" w:color="auto"/>
            <w:right w:val="none" w:sz="0" w:space="0" w:color="auto"/>
          </w:divBdr>
          <w:divsChild>
            <w:div w:id="583800122">
              <w:marLeft w:val="0"/>
              <w:marRight w:val="0"/>
              <w:marTop w:val="0"/>
              <w:marBottom w:val="0"/>
              <w:divBdr>
                <w:top w:val="none" w:sz="0" w:space="0" w:color="auto"/>
                <w:left w:val="none" w:sz="0" w:space="0" w:color="auto"/>
                <w:bottom w:val="none" w:sz="0" w:space="0" w:color="auto"/>
                <w:right w:val="none" w:sz="0" w:space="0" w:color="auto"/>
              </w:divBdr>
              <w:divsChild>
                <w:div w:id="667443031">
                  <w:marLeft w:val="0"/>
                  <w:marRight w:val="0"/>
                  <w:marTop w:val="0"/>
                  <w:marBottom w:val="0"/>
                  <w:divBdr>
                    <w:top w:val="none" w:sz="0" w:space="0" w:color="auto"/>
                    <w:left w:val="none" w:sz="0" w:space="0" w:color="auto"/>
                    <w:bottom w:val="none" w:sz="0" w:space="0" w:color="auto"/>
                    <w:right w:val="none" w:sz="0" w:space="0" w:color="auto"/>
                  </w:divBdr>
                  <w:divsChild>
                    <w:div w:id="424308294">
                      <w:marLeft w:val="0"/>
                      <w:marRight w:val="0"/>
                      <w:marTop w:val="0"/>
                      <w:marBottom w:val="0"/>
                      <w:divBdr>
                        <w:top w:val="none" w:sz="0" w:space="0" w:color="auto"/>
                        <w:left w:val="none" w:sz="0" w:space="0" w:color="auto"/>
                        <w:bottom w:val="none" w:sz="0" w:space="0" w:color="auto"/>
                        <w:right w:val="none" w:sz="0" w:space="0" w:color="auto"/>
                      </w:divBdr>
                      <w:divsChild>
                        <w:div w:id="883179418">
                          <w:marLeft w:val="0"/>
                          <w:marRight w:val="0"/>
                          <w:marTop w:val="0"/>
                          <w:marBottom w:val="0"/>
                          <w:divBdr>
                            <w:top w:val="none" w:sz="0" w:space="0" w:color="auto"/>
                            <w:left w:val="none" w:sz="0" w:space="0" w:color="auto"/>
                            <w:bottom w:val="none" w:sz="0" w:space="0" w:color="auto"/>
                            <w:right w:val="none" w:sz="0" w:space="0" w:color="auto"/>
                          </w:divBdr>
                          <w:divsChild>
                            <w:div w:id="1928149571">
                              <w:marLeft w:val="0"/>
                              <w:marRight w:val="0"/>
                              <w:marTop w:val="0"/>
                              <w:marBottom w:val="0"/>
                              <w:divBdr>
                                <w:top w:val="none" w:sz="0" w:space="0" w:color="auto"/>
                                <w:left w:val="none" w:sz="0" w:space="0" w:color="auto"/>
                                <w:bottom w:val="none" w:sz="0" w:space="0" w:color="auto"/>
                                <w:right w:val="none" w:sz="0" w:space="0" w:color="auto"/>
                              </w:divBdr>
                              <w:divsChild>
                                <w:div w:id="1990089257">
                                  <w:marLeft w:val="0"/>
                                  <w:marRight w:val="0"/>
                                  <w:marTop w:val="0"/>
                                  <w:marBottom w:val="0"/>
                                  <w:divBdr>
                                    <w:top w:val="none" w:sz="0" w:space="0" w:color="auto"/>
                                    <w:left w:val="none" w:sz="0" w:space="0" w:color="auto"/>
                                    <w:bottom w:val="none" w:sz="0" w:space="0" w:color="auto"/>
                                    <w:right w:val="none" w:sz="0" w:space="0" w:color="auto"/>
                                  </w:divBdr>
                                  <w:divsChild>
                                    <w:div w:id="13968626">
                                      <w:marLeft w:val="0"/>
                                      <w:marRight w:val="0"/>
                                      <w:marTop w:val="0"/>
                                      <w:marBottom w:val="0"/>
                                      <w:divBdr>
                                        <w:top w:val="none" w:sz="0" w:space="0" w:color="auto"/>
                                        <w:left w:val="none" w:sz="0" w:space="0" w:color="auto"/>
                                        <w:bottom w:val="none" w:sz="0" w:space="0" w:color="auto"/>
                                        <w:right w:val="none" w:sz="0" w:space="0" w:color="auto"/>
                                      </w:divBdr>
                                      <w:divsChild>
                                        <w:div w:id="164440664">
                                          <w:marLeft w:val="0"/>
                                          <w:marRight w:val="0"/>
                                          <w:marTop w:val="0"/>
                                          <w:marBottom w:val="0"/>
                                          <w:divBdr>
                                            <w:top w:val="none" w:sz="0" w:space="0" w:color="auto"/>
                                            <w:left w:val="none" w:sz="0" w:space="0" w:color="auto"/>
                                            <w:bottom w:val="none" w:sz="0" w:space="0" w:color="auto"/>
                                            <w:right w:val="none" w:sz="0" w:space="0" w:color="auto"/>
                                          </w:divBdr>
                                          <w:divsChild>
                                            <w:div w:id="1959724369">
                                              <w:marLeft w:val="0"/>
                                              <w:marRight w:val="0"/>
                                              <w:marTop w:val="0"/>
                                              <w:marBottom w:val="0"/>
                                              <w:divBdr>
                                                <w:top w:val="none" w:sz="0" w:space="0" w:color="auto"/>
                                                <w:left w:val="none" w:sz="0" w:space="0" w:color="auto"/>
                                                <w:bottom w:val="none" w:sz="0" w:space="0" w:color="auto"/>
                                                <w:right w:val="none" w:sz="0" w:space="0" w:color="auto"/>
                                              </w:divBdr>
                                              <w:divsChild>
                                                <w:div w:id="894240995">
                                                  <w:marLeft w:val="0"/>
                                                  <w:marRight w:val="0"/>
                                                  <w:marTop w:val="0"/>
                                                  <w:marBottom w:val="0"/>
                                                  <w:divBdr>
                                                    <w:top w:val="none" w:sz="0" w:space="0" w:color="auto"/>
                                                    <w:left w:val="none" w:sz="0" w:space="0" w:color="auto"/>
                                                    <w:bottom w:val="none" w:sz="0" w:space="0" w:color="auto"/>
                                                    <w:right w:val="none" w:sz="0" w:space="0" w:color="auto"/>
                                                  </w:divBdr>
                                                  <w:divsChild>
                                                    <w:div w:id="513225806">
                                                      <w:marLeft w:val="0"/>
                                                      <w:marRight w:val="0"/>
                                                      <w:marTop w:val="0"/>
                                                      <w:marBottom w:val="0"/>
                                                      <w:divBdr>
                                                        <w:top w:val="none" w:sz="0" w:space="0" w:color="auto"/>
                                                        <w:left w:val="none" w:sz="0" w:space="0" w:color="auto"/>
                                                        <w:bottom w:val="none" w:sz="0" w:space="0" w:color="auto"/>
                                                        <w:right w:val="none" w:sz="0" w:space="0" w:color="auto"/>
                                                      </w:divBdr>
                                                      <w:divsChild>
                                                        <w:div w:id="75236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3036013">
      <w:bodyDiv w:val="1"/>
      <w:marLeft w:val="0"/>
      <w:marRight w:val="0"/>
      <w:marTop w:val="0"/>
      <w:marBottom w:val="0"/>
      <w:divBdr>
        <w:top w:val="none" w:sz="0" w:space="0" w:color="auto"/>
        <w:left w:val="none" w:sz="0" w:space="0" w:color="auto"/>
        <w:bottom w:val="none" w:sz="0" w:space="0" w:color="auto"/>
        <w:right w:val="none" w:sz="0" w:space="0" w:color="auto"/>
      </w:divBdr>
    </w:div>
    <w:div w:id="243732039">
      <w:bodyDiv w:val="1"/>
      <w:marLeft w:val="0"/>
      <w:marRight w:val="0"/>
      <w:marTop w:val="0"/>
      <w:marBottom w:val="0"/>
      <w:divBdr>
        <w:top w:val="none" w:sz="0" w:space="0" w:color="auto"/>
        <w:left w:val="none" w:sz="0" w:space="0" w:color="auto"/>
        <w:bottom w:val="none" w:sz="0" w:space="0" w:color="auto"/>
        <w:right w:val="none" w:sz="0" w:space="0" w:color="auto"/>
      </w:divBdr>
    </w:div>
    <w:div w:id="255330950">
      <w:bodyDiv w:val="1"/>
      <w:marLeft w:val="0"/>
      <w:marRight w:val="0"/>
      <w:marTop w:val="0"/>
      <w:marBottom w:val="0"/>
      <w:divBdr>
        <w:top w:val="none" w:sz="0" w:space="0" w:color="auto"/>
        <w:left w:val="none" w:sz="0" w:space="0" w:color="auto"/>
        <w:bottom w:val="none" w:sz="0" w:space="0" w:color="auto"/>
        <w:right w:val="none" w:sz="0" w:space="0" w:color="auto"/>
      </w:divBdr>
    </w:div>
    <w:div w:id="257645229">
      <w:bodyDiv w:val="1"/>
      <w:marLeft w:val="0"/>
      <w:marRight w:val="0"/>
      <w:marTop w:val="0"/>
      <w:marBottom w:val="0"/>
      <w:divBdr>
        <w:top w:val="none" w:sz="0" w:space="0" w:color="auto"/>
        <w:left w:val="none" w:sz="0" w:space="0" w:color="auto"/>
        <w:bottom w:val="none" w:sz="0" w:space="0" w:color="auto"/>
        <w:right w:val="none" w:sz="0" w:space="0" w:color="auto"/>
      </w:divBdr>
    </w:div>
    <w:div w:id="263000482">
      <w:bodyDiv w:val="1"/>
      <w:marLeft w:val="0"/>
      <w:marRight w:val="0"/>
      <w:marTop w:val="0"/>
      <w:marBottom w:val="0"/>
      <w:divBdr>
        <w:top w:val="none" w:sz="0" w:space="0" w:color="auto"/>
        <w:left w:val="none" w:sz="0" w:space="0" w:color="auto"/>
        <w:bottom w:val="none" w:sz="0" w:space="0" w:color="auto"/>
        <w:right w:val="none" w:sz="0" w:space="0" w:color="auto"/>
      </w:divBdr>
    </w:div>
    <w:div w:id="270824032">
      <w:bodyDiv w:val="1"/>
      <w:marLeft w:val="0"/>
      <w:marRight w:val="0"/>
      <w:marTop w:val="0"/>
      <w:marBottom w:val="0"/>
      <w:divBdr>
        <w:top w:val="none" w:sz="0" w:space="0" w:color="auto"/>
        <w:left w:val="none" w:sz="0" w:space="0" w:color="auto"/>
        <w:bottom w:val="none" w:sz="0" w:space="0" w:color="auto"/>
        <w:right w:val="none" w:sz="0" w:space="0" w:color="auto"/>
      </w:divBdr>
      <w:divsChild>
        <w:div w:id="242371483">
          <w:marLeft w:val="0"/>
          <w:marRight w:val="0"/>
          <w:marTop w:val="0"/>
          <w:marBottom w:val="0"/>
          <w:divBdr>
            <w:top w:val="none" w:sz="0" w:space="0" w:color="auto"/>
            <w:left w:val="none" w:sz="0" w:space="0" w:color="auto"/>
            <w:bottom w:val="none" w:sz="0" w:space="0" w:color="auto"/>
            <w:right w:val="none" w:sz="0" w:space="0" w:color="auto"/>
          </w:divBdr>
        </w:div>
      </w:divsChild>
    </w:div>
    <w:div w:id="278806878">
      <w:bodyDiv w:val="1"/>
      <w:marLeft w:val="0"/>
      <w:marRight w:val="0"/>
      <w:marTop w:val="0"/>
      <w:marBottom w:val="0"/>
      <w:divBdr>
        <w:top w:val="none" w:sz="0" w:space="0" w:color="auto"/>
        <w:left w:val="none" w:sz="0" w:space="0" w:color="auto"/>
        <w:bottom w:val="none" w:sz="0" w:space="0" w:color="auto"/>
        <w:right w:val="none" w:sz="0" w:space="0" w:color="auto"/>
      </w:divBdr>
    </w:div>
    <w:div w:id="279069090">
      <w:bodyDiv w:val="1"/>
      <w:marLeft w:val="0"/>
      <w:marRight w:val="0"/>
      <w:marTop w:val="0"/>
      <w:marBottom w:val="0"/>
      <w:divBdr>
        <w:top w:val="none" w:sz="0" w:space="0" w:color="auto"/>
        <w:left w:val="none" w:sz="0" w:space="0" w:color="auto"/>
        <w:bottom w:val="none" w:sz="0" w:space="0" w:color="auto"/>
        <w:right w:val="none" w:sz="0" w:space="0" w:color="auto"/>
      </w:divBdr>
    </w:div>
    <w:div w:id="280259800">
      <w:bodyDiv w:val="1"/>
      <w:marLeft w:val="0"/>
      <w:marRight w:val="0"/>
      <w:marTop w:val="0"/>
      <w:marBottom w:val="0"/>
      <w:divBdr>
        <w:top w:val="none" w:sz="0" w:space="0" w:color="auto"/>
        <w:left w:val="none" w:sz="0" w:space="0" w:color="auto"/>
        <w:bottom w:val="none" w:sz="0" w:space="0" w:color="auto"/>
        <w:right w:val="none" w:sz="0" w:space="0" w:color="auto"/>
      </w:divBdr>
    </w:div>
    <w:div w:id="283585859">
      <w:bodyDiv w:val="1"/>
      <w:marLeft w:val="0"/>
      <w:marRight w:val="0"/>
      <w:marTop w:val="0"/>
      <w:marBottom w:val="0"/>
      <w:divBdr>
        <w:top w:val="none" w:sz="0" w:space="0" w:color="auto"/>
        <w:left w:val="none" w:sz="0" w:space="0" w:color="auto"/>
        <w:bottom w:val="none" w:sz="0" w:space="0" w:color="auto"/>
        <w:right w:val="none" w:sz="0" w:space="0" w:color="auto"/>
      </w:divBdr>
    </w:div>
    <w:div w:id="291179255">
      <w:bodyDiv w:val="1"/>
      <w:marLeft w:val="0"/>
      <w:marRight w:val="0"/>
      <w:marTop w:val="0"/>
      <w:marBottom w:val="0"/>
      <w:divBdr>
        <w:top w:val="none" w:sz="0" w:space="0" w:color="auto"/>
        <w:left w:val="none" w:sz="0" w:space="0" w:color="auto"/>
        <w:bottom w:val="none" w:sz="0" w:space="0" w:color="auto"/>
        <w:right w:val="none" w:sz="0" w:space="0" w:color="auto"/>
      </w:divBdr>
    </w:div>
    <w:div w:id="291523143">
      <w:bodyDiv w:val="1"/>
      <w:marLeft w:val="0"/>
      <w:marRight w:val="0"/>
      <w:marTop w:val="0"/>
      <w:marBottom w:val="0"/>
      <w:divBdr>
        <w:top w:val="none" w:sz="0" w:space="0" w:color="auto"/>
        <w:left w:val="none" w:sz="0" w:space="0" w:color="auto"/>
        <w:bottom w:val="none" w:sz="0" w:space="0" w:color="auto"/>
        <w:right w:val="none" w:sz="0" w:space="0" w:color="auto"/>
      </w:divBdr>
    </w:div>
    <w:div w:id="301038639">
      <w:bodyDiv w:val="1"/>
      <w:marLeft w:val="0"/>
      <w:marRight w:val="0"/>
      <w:marTop w:val="0"/>
      <w:marBottom w:val="0"/>
      <w:divBdr>
        <w:top w:val="none" w:sz="0" w:space="0" w:color="auto"/>
        <w:left w:val="none" w:sz="0" w:space="0" w:color="auto"/>
        <w:bottom w:val="none" w:sz="0" w:space="0" w:color="auto"/>
        <w:right w:val="none" w:sz="0" w:space="0" w:color="auto"/>
      </w:divBdr>
    </w:div>
    <w:div w:id="314845517">
      <w:bodyDiv w:val="1"/>
      <w:marLeft w:val="0"/>
      <w:marRight w:val="0"/>
      <w:marTop w:val="0"/>
      <w:marBottom w:val="0"/>
      <w:divBdr>
        <w:top w:val="none" w:sz="0" w:space="0" w:color="auto"/>
        <w:left w:val="none" w:sz="0" w:space="0" w:color="auto"/>
        <w:bottom w:val="none" w:sz="0" w:space="0" w:color="auto"/>
        <w:right w:val="none" w:sz="0" w:space="0" w:color="auto"/>
      </w:divBdr>
    </w:div>
    <w:div w:id="316963467">
      <w:bodyDiv w:val="1"/>
      <w:marLeft w:val="0"/>
      <w:marRight w:val="0"/>
      <w:marTop w:val="0"/>
      <w:marBottom w:val="0"/>
      <w:divBdr>
        <w:top w:val="none" w:sz="0" w:space="0" w:color="auto"/>
        <w:left w:val="none" w:sz="0" w:space="0" w:color="auto"/>
        <w:bottom w:val="none" w:sz="0" w:space="0" w:color="auto"/>
        <w:right w:val="none" w:sz="0" w:space="0" w:color="auto"/>
      </w:divBdr>
    </w:div>
    <w:div w:id="318659736">
      <w:bodyDiv w:val="1"/>
      <w:marLeft w:val="0"/>
      <w:marRight w:val="0"/>
      <w:marTop w:val="0"/>
      <w:marBottom w:val="0"/>
      <w:divBdr>
        <w:top w:val="none" w:sz="0" w:space="0" w:color="auto"/>
        <w:left w:val="none" w:sz="0" w:space="0" w:color="auto"/>
        <w:bottom w:val="none" w:sz="0" w:space="0" w:color="auto"/>
        <w:right w:val="none" w:sz="0" w:space="0" w:color="auto"/>
      </w:divBdr>
    </w:div>
    <w:div w:id="323701376">
      <w:bodyDiv w:val="1"/>
      <w:marLeft w:val="0"/>
      <w:marRight w:val="0"/>
      <w:marTop w:val="0"/>
      <w:marBottom w:val="0"/>
      <w:divBdr>
        <w:top w:val="none" w:sz="0" w:space="0" w:color="auto"/>
        <w:left w:val="none" w:sz="0" w:space="0" w:color="auto"/>
        <w:bottom w:val="none" w:sz="0" w:space="0" w:color="auto"/>
        <w:right w:val="none" w:sz="0" w:space="0" w:color="auto"/>
      </w:divBdr>
    </w:div>
    <w:div w:id="332949937">
      <w:bodyDiv w:val="1"/>
      <w:marLeft w:val="0"/>
      <w:marRight w:val="0"/>
      <w:marTop w:val="0"/>
      <w:marBottom w:val="0"/>
      <w:divBdr>
        <w:top w:val="none" w:sz="0" w:space="0" w:color="auto"/>
        <w:left w:val="none" w:sz="0" w:space="0" w:color="auto"/>
        <w:bottom w:val="none" w:sz="0" w:space="0" w:color="auto"/>
        <w:right w:val="none" w:sz="0" w:space="0" w:color="auto"/>
      </w:divBdr>
    </w:div>
    <w:div w:id="333071127">
      <w:bodyDiv w:val="1"/>
      <w:marLeft w:val="0"/>
      <w:marRight w:val="0"/>
      <w:marTop w:val="0"/>
      <w:marBottom w:val="0"/>
      <w:divBdr>
        <w:top w:val="none" w:sz="0" w:space="0" w:color="auto"/>
        <w:left w:val="none" w:sz="0" w:space="0" w:color="auto"/>
        <w:bottom w:val="none" w:sz="0" w:space="0" w:color="auto"/>
        <w:right w:val="none" w:sz="0" w:space="0" w:color="auto"/>
      </w:divBdr>
    </w:div>
    <w:div w:id="343558987">
      <w:bodyDiv w:val="1"/>
      <w:marLeft w:val="0"/>
      <w:marRight w:val="0"/>
      <w:marTop w:val="0"/>
      <w:marBottom w:val="0"/>
      <w:divBdr>
        <w:top w:val="none" w:sz="0" w:space="0" w:color="auto"/>
        <w:left w:val="none" w:sz="0" w:space="0" w:color="auto"/>
        <w:bottom w:val="none" w:sz="0" w:space="0" w:color="auto"/>
        <w:right w:val="none" w:sz="0" w:space="0" w:color="auto"/>
      </w:divBdr>
    </w:div>
    <w:div w:id="344750210">
      <w:bodyDiv w:val="1"/>
      <w:marLeft w:val="0"/>
      <w:marRight w:val="0"/>
      <w:marTop w:val="0"/>
      <w:marBottom w:val="0"/>
      <w:divBdr>
        <w:top w:val="none" w:sz="0" w:space="0" w:color="auto"/>
        <w:left w:val="none" w:sz="0" w:space="0" w:color="auto"/>
        <w:bottom w:val="none" w:sz="0" w:space="0" w:color="auto"/>
        <w:right w:val="none" w:sz="0" w:space="0" w:color="auto"/>
      </w:divBdr>
    </w:div>
    <w:div w:id="345178473">
      <w:bodyDiv w:val="1"/>
      <w:marLeft w:val="0"/>
      <w:marRight w:val="0"/>
      <w:marTop w:val="0"/>
      <w:marBottom w:val="0"/>
      <w:divBdr>
        <w:top w:val="none" w:sz="0" w:space="0" w:color="auto"/>
        <w:left w:val="none" w:sz="0" w:space="0" w:color="auto"/>
        <w:bottom w:val="none" w:sz="0" w:space="0" w:color="auto"/>
        <w:right w:val="none" w:sz="0" w:space="0" w:color="auto"/>
      </w:divBdr>
    </w:div>
    <w:div w:id="346297585">
      <w:bodyDiv w:val="1"/>
      <w:marLeft w:val="0"/>
      <w:marRight w:val="0"/>
      <w:marTop w:val="0"/>
      <w:marBottom w:val="0"/>
      <w:divBdr>
        <w:top w:val="none" w:sz="0" w:space="0" w:color="auto"/>
        <w:left w:val="none" w:sz="0" w:space="0" w:color="auto"/>
        <w:bottom w:val="none" w:sz="0" w:space="0" w:color="auto"/>
        <w:right w:val="none" w:sz="0" w:space="0" w:color="auto"/>
      </w:divBdr>
    </w:div>
    <w:div w:id="353074354">
      <w:bodyDiv w:val="1"/>
      <w:marLeft w:val="0"/>
      <w:marRight w:val="0"/>
      <w:marTop w:val="0"/>
      <w:marBottom w:val="0"/>
      <w:divBdr>
        <w:top w:val="none" w:sz="0" w:space="0" w:color="auto"/>
        <w:left w:val="none" w:sz="0" w:space="0" w:color="auto"/>
        <w:bottom w:val="none" w:sz="0" w:space="0" w:color="auto"/>
        <w:right w:val="none" w:sz="0" w:space="0" w:color="auto"/>
      </w:divBdr>
    </w:div>
    <w:div w:id="359824064">
      <w:bodyDiv w:val="1"/>
      <w:marLeft w:val="0"/>
      <w:marRight w:val="0"/>
      <w:marTop w:val="0"/>
      <w:marBottom w:val="0"/>
      <w:divBdr>
        <w:top w:val="none" w:sz="0" w:space="0" w:color="auto"/>
        <w:left w:val="none" w:sz="0" w:space="0" w:color="auto"/>
        <w:bottom w:val="none" w:sz="0" w:space="0" w:color="auto"/>
        <w:right w:val="none" w:sz="0" w:space="0" w:color="auto"/>
      </w:divBdr>
    </w:div>
    <w:div w:id="384959471">
      <w:bodyDiv w:val="1"/>
      <w:marLeft w:val="0"/>
      <w:marRight w:val="0"/>
      <w:marTop w:val="0"/>
      <w:marBottom w:val="0"/>
      <w:divBdr>
        <w:top w:val="none" w:sz="0" w:space="0" w:color="auto"/>
        <w:left w:val="none" w:sz="0" w:space="0" w:color="auto"/>
        <w:bottom w:val="none" w:sz="0" w:space="0" w:color="auto"/>
        <w:right w:val="none" w:sz="0" w:space="0" w:color="auto"/>
      </w:divBdr>
    </w:div>
    <w:div w:id="391079767">
      <w:bodyDiv w:val="1"/>
      <w:marLeft w:val="0"/>
      <w:marRight w:val="0"/>
      <w:marTop w:val="0"/>
      <w:marBottom w:val="0"/>
      <w:divBdr>
        <w:top w:val="none" w:sz="0" w:space="0" w:color="auto"/>
        <w:left w:val="none" w:sz="0" w:space="0" w:color="auto"/>
        <w:bottom w:val="none" w:sz="0" w:space="0" w:color="auto"/>
        <w:right w:val="none" w:sz="0" w:space="0" w:color="auto"/>
      </w:divBdr>
    </w:div>
    <w:div w:id="391657290">
      <w:bodyDiv w:val="1"/>
      <w:marLeft w:val="0"/>
      <w:marRight w:val="0"/>
      <w:marTop w:val="0"/>
      <w:marBottom w:val="0"/>
      <w:divBdr>
        <w:top w:val="none" w:sz="0" w:space="0" w:color="auto"/>
        <w:left w:val="none" w:sz="0" w:space="0" w:color="auto"/>
        <w:bottom w:val="none" w:sz="0" w:space="0" w:color="auto"/>
        <w:right w:val="none" w:sz="0" w:space="0" w:color="auto"/>
      </w:divBdr>
    </w:div>
    <w:div w:id="396439469">
      <w:bodyDiv w:val="1"/>
      <w:marLeft w:val="0"/>
      <w:marRight w:val="0"/>
      <w:marTop w:val="0"/>
      <w:marBottom w:val="0"/>
      <w:divBdr>
        <w:top w:val="none" w:sz="0" w:space="0" w:color="auto"/>
        <w:left w:val="none" w:sz="0" w:space="0" w:color="auto"/>
        <w:bottom w:val="none" w:sz="0" w:space="0" w:color="auto"/>
        <w:right w:val="none" w:sz="0" w:space="0" w:color="auto"/>
      </w:divBdr>
    </w:div>
    <w:div w:id="410274551">
      <w:bodyDiv w:val="1"/>
      <w:marLeft w:val="0"/>
      <w:marRight w:val="0"/>
      <w:marTop w:val="0"/>
      <w:marBottom w:val="0"/>
      <w:divBdr>
        <w:top w:val="none" w:sz="0" w:space="0" w:color="auto"/>
        <w:left w:val="none" w:sz="0" w:space="0" w:color="auto"/>
        <w:bottom w:val="none" w:sz="0" w:space="0" w:color="auto"/>
        <w:right w:val="none" w:sz="0" w:space="0" w:color="auto"/>
      </w:divBdr>
    </w:div>
    <w:div w:id="415056593">
      <w:bodyDiv w:val="1"/>
      <w:marLeft w:val="0"/>
      <w:marRight w:val="0"/>
      <w:marTop w:val="0"/>
      <w:marBottom w:val="0"/>
      <w:divBdr>
        <w:top w:val="none" w:sz="0" w:space="0" w:color="auto"/>
        <w:left w:val="none" w:sz="0" w:space="0" w:color="auto"/>
        <w:bottom w:val="none" w:sz="0" w:space="0" w:color="auto"/>
        <w:right w:val="none" w:sz="0" w:space="0" w:color="auto"/>
      </w:divBdr>
    </w:div>
    <w:div w:id="415172143">
      <w:bodyDiv w:val="1"/>
      <w:marLeft w:val="0"/>
      <w:marRight w:val="0"/>
      <w:marTop w:val="0"/>
      <w:marBottom w:val="0"/>
      <w:divBdr>
        <w:top w:val="none" w:sz="0" w:space="0" w:color="auto"/>
        <w:left w:val="none" w:sz="0" w:space="0" w:color="auto"/>
        <w:bottom w:val="none" w:sz="0" w:space="0" w:color="auto"/>
        <w:right w:val="none" w:sz="0" w:space="0" w:color="auto"/>
      </w:divBdr>
    </w:div>
    <w:div w:id="417408740">
      <w:bodyDiv w:val="1"/>
      <w:marLeft w:val="0"/>
      <w:marRight w:val="0"/>
      <w:marTop w:val="0"/>
      <w:marBottom w:val="0"/>
      <w:divBdr>
        <w:top w:val="none" w:sz="0" w:space="0" w:color="auto"/>
        <w:left w:val="none" w:sz="0" w:space="0" w:color="auto"/>
        <w:bottom w:val="none" w:sz="0" w:space="0" w:color="auto"/>
        <w:right w:val="none" w:sz="0" w:space="0" w:color="auto"/>
      </w:divBdr>
    </w:div>
    <w:div w:id="432239601">
      <w:bodyDiv w:val="1"/>
      <w:marLeft w:val="0"/>
      <w:marRight w:val="0"/>
      <w:marTop w:val="0"/>
      <w:marBottom w:val="0"/>
      <w:divBdr>
        <w:top w:val="none" w:sz="0" w:space="0" w:color="auto"/>
        <w:left w:val="none" w:sz="0" w:space="0" w:color="auto"/>
        <w:bottom w:val="none" w:sz="0" w:space="0" w:color="auto"/>
        <w:right w:val="none" w:sz="0" w:space="0" w:color="auto"/>
      </w:divBdr>
    </w:div>
    <w:div w:id="439304029">
      <w:bodyDiv w:val="1"/>
      <w:marLeft w:val="0"/>
      <w:marRight w:val="0"/>
      <w:marTop w:val="0"/>
      <w:marBottom w:val="0"/>
      <w:divBdr>
        <w:top w:val="none" w:sz="0" w:space="0" w:color="auto"/>
        <w:left w:val="none" w:sz="0" w:space="0" w:color="auto"/>
        <w:bottom w:val="none" w:sz="0" w:space="0" w:color="auto"/>
        <w:right w:val="none" w:sz="0" w:space="0" w:color="auto"/>
      </w:divBdr>
      <w:divsChild>
        <w:div w:id="49618286">
          <w:marLeft w:val="0"/>
          <w:marRight w:val="0"/>
          <w:marTop w:val="0"/>
          <w:marBottom w:val="0"/>
          <w:divBdr>
            <w:top w:val="none" w:sz="0" w:space="0" w:color="auto"/>
            <w:left w:val="none" w:sz="0" w:space="0" w:color="auto"/>
            <w:bottom w:val="none" w:sz="0" w:space="0" w:color="auto"/>
            <w:right w:val="none" w:sz="0" w:space="0" w:color="auto"/>
          </w:divBdr>
        </w:div>
        <w:div w:id="142435753">
          <w:marLeft w:val="0"/>
          <w:marRight w:val="0"/>
          <w:marTop w:val="0"/>
          <w:marBottom w:val="0"/>
          <w:divBdr>
            <w:top w:val="none" w:sz="0" w:space="0" w:color="auto"/>
            <w:left w:val="none" w:sz="0" w:space="0" w:color="auto"/>
            <w:bottom w:val="none" w:sz="0" w:space="0" w:color="auto"/>
            <w:right w:val="none" w:sz="0" w:space="0" w:color="auto"/>
          </w:divBdr>
        </w:div>
        <w:div w:id="469977614">
          <w:marLeft w:val="0"/>
          <w:marRight w:val="0"/>
          <w:marTop w:val="0"/>
          <w:marBottom w:val="0"/>
          <w:divBdr>
            <w:top w:val="none" w:sz="0" w:space="0" w:color="auto"/>
            <w:left w:val="none" w:sz="0" w:space="0" w:color="auto"/>
            <w:bottom w:val="none" w:sz="0" w:space="0" w:color="auto"/>
            <w:right w:val="none" w:sz="0" w:space="0" w:color="auto"/>
          </w:divBdr>
        </w:div>
        <w:div w:id="583495147">
          <w:marLeft w:val="0"/>
          <w:marRight w:val="0"/>
          <w:marTop w:val="0"/>
          <w:marBottom w:val="0"/>
          <w:divBdr>
            <w:top w:val="none" w:sz="0" w:space="0" w:color="auto"/>
            <w:left w:val="none" w:sz="0" w:space="0" w:color="auto"/>
            <w:bottom w:val="none" w:sz="0" w:space="0" w:color="auto"/>
            <w:right w:val="none" w:sz="0" w:space="0" w:color="auto"/>
          </w:divBdr>
        </w:div>
        <w:div w:id="914893862">
          <w:marLeft w:val="0"/>
          <w:marRight w:val="0"/>
          <w:marTop w:val="0"/>
          <w:marBottom w:val="0"/>
          <w:divBdr>
            <w:top w:val="none" w:sz="0" w:space="0" w:color="auto"/>
            <w:left w:val="none" w:sz="0" w:space="0" w:color="auto"/>
            <w:bottom w:val="none" w:sz="0" w:space="0" w:color="auto"/>
            <w:right w:val="none" w:sz="0" w:space="0" w:color="auto"/>
          </w:divBdr>
        </w:div>
        <w:div w:id="1165900063">
          <w:marLeft w:val="0"/>
          <w:marRight w:val="0"/>
          <w:marTop w:val="0"/>
          <w:marBottom w:val="0"/>
          <w:divBdr>
            <w:top w:val="none" w:sz="0" w:space="0" w:color="auto"/>
            <w:left w:val="none" w:sz="0" w:space="0" w:color="auto"/>
            <w:bottom w:val="none" w:sz="0" w:space="0" w:color="auto"/>
            <w:right w:val="none" w:sz="0" w:space="0" w:color="auto"/>
          </w:divBdr>
        </w:div>
        <w:div w:id="1260605808">
          <w:marLeft w:val="0"/>
          <w:marRight w:val="0"/>
          <w:marTop w:val="0"/>
          <w:marBottom w:val="0"/>
          <w:divBdr>
            <w:top w:val="none" w:sz="0" w:space="0" w:color="auto"/>
            <w:left w:val="none" w:sz="0" w:space="0" w:color="auto"/>
            <w:bottom w:val="none" w:sz="0" w:space="0" w:color="auto"/>
            <w:right w:val="none" w:sz="0" w:space="0" w:color="auto"/>
          </w:divBdr>
        </w:div>
        <w:div w:id="1769234543">
          <w:marLeft w:val="0"/>
          <w:marRight w:val="0"/>
          <w:marTop w:val="0"/>
          <w:marBottom w:val="0"/>
          <w:divBdr>
            <w:top w:val="none" w:sz="0" w:space="0" w:color="auto"/>
            <w:left w:val="none" w:sz="0" w:space="0" w:color="auto"/>
            <w:bottom w:val="none" w:sz="0" w:space="0" w:color="auto"/>
            <w:right w:val="none" w:sz="0" w:space="0" w:color="auto"/>
          </w:divBdr>
        </w:div>
        <w:div w:id="2084184023">
          <w:marLeft w:val="0"/>
          <w:marRight w:val="0"/>
          <w:marTop w:val="0"/>
          <w:marBottom w:val="0"/>
          <w:divBdr>
            <w:top w:val="none" w:sz="0" w:space="0" w:color="auto"/>
            <w:left w:val="none" w:sz="0" w:space="0" w:color="auto"/>
            <w:bottom w:val="none" w:sz="0" w:space="0" w:color="auto"/>
            <w:right w:val="none" w:sz="0" w:space="0" w:color="auto"/>
          </w:divBdr>
        </w:div>
      </w:divsChild>
    </w:div>
    <w:div w:id="446581819">
      <w:bodyDiv w:val="1"/>
      <w:marLeft w:val="0"/>
      <w:marRight w:val="0"/>
      <w:marTop w:val="0"/>
      <w:marBottom w:val="0"/>
      <w:divBdr>
        <w:top w:val="none" w:sz="0" w:space="0" w:color="auto"/>
        <w:left w:val="none" w:sz="0" w:space="0" w:color="auto"/>
        <w:bottom w:val="none" w:sz="0" w:space="0" w:color="auto"/>
        <w:right w:val="none" w:sz="0" w:space="0" w:color="auto"/>
      </w:divBdr>
    </w:div>
    <w:div w:id="446702744">
      <w:bodyDiv w:val="1"/>
      <w:marLeft w:val="0"/>
      <w:marRight w:val="0"/>
      <w:marTop w:val="0"/>
      <w:marBottom w:val="0"/>
      <w:divBdr>
        <w:top w:val="none" w:sz="0" w:space="0" w:color="auto"/>
        <w:left w:val="none" w:sz="0" w:space="0" w:color="auto"/>
        <w:bottom w:val="none" w:sz="0" w:space="0" w:color="auto"/>
        <w:right w:val="none" w:sz="0" w:space="0" w:color="auto"/>
      </w:divBdr>
    </w:div>
    <w:div w:id="447166900">
      <w:bodyDiv w:val="1"/>
      <w:marLeft w:val="0"/>
      <w:marRight w:val="0"/>
      <w:marTop w:val="0"/>
      <w:marBottom w:val="0"/>
      <w:divBdr>
        <w:top w:val="none" w:sz="0" w:space="0" w:color="auto"/>
        <w:left w:val="none" w:sz="0" w:space="0" w:color="auto"/>
        <w:bottom w:val="none" w:sz="0" w:space="0" w:color="auto"/>
        <w:right w:val="none" w:sz="0" w:space="0" w:color="auto"/>
      </w:divBdr>
    </w:div>
    <w:div w:id="451242839">
      <w:bodyDiv w:val="1"/>
      <w:marLeft w:val="0"/>
      <w:marRight w:val="0"/>
      <w:marTop w:val="0"/>
      <w:marBottom w:val="0"/>
      <w:divBdr>
        <w:top w:val="none" w:sz="0" w:space="0" w:color="auto"/>
        <w:left w:val="none" w:sz="0" w:space="0" w:color="auto"/>
        <w:bottom w:val="none" w:sz="0" w:space="0" w:color="auto"/>
        <w:right w:val="none" w:sz="0" w:space="0" w:color="auto"/>
      </w:divBdr>
    </w:div>
    <w:div w:id="486895740">
      <w:bodyDiv w:val="1"/>
      <w:marLeft w:val="0"/>
      <w:marRight w:val="0"/>
      <w:marTop w:val="0"/>
      <w:marBottom w:val="0"/>
      <w:divBdr>
        <w:top w:val="none" w:sz="0" w:space="0" w:color="auto"/>
        <w:left w:val="none" w:sz="0" w:space="0" w:color="auto"/>
        <w:bottom w:val="none" w:sz="0" w:space="0" w:color="auto"/>
        <w:right w:val="none" w:sz="0" w:space="0" w:color="auto"/>
      </w:divBdr>
    </w:div>
    <w:div w:id="490826890">
      <w:bodyDiv w:val="1"/>
      <w:marLeft w:val="0"/>
      <w:marRight w:val="0"/>
      <w:marTop w:val="0"/>
      <w:marBottom w:val="0"/>
      <w:divBdr>
        <w:top w:val="none" w:sz="0" w:space="0" w:color="auto"/>
        <w:left w:val="none" w:sz="0" w:space="0" w:color="auto"/>
        <w:bottom w:val="none" w:sz="0" w:space="0" w:color="auto"/>
        <w:right w:val="none" w:sz="0" w:space="0" w:color="auto"/>
      </w:divBdr>
    </w:div>
    <w:div w:id="500779886">
      <w:bodyDiv w:val="1"/>
      <w:marLeft w:val="0"/>
      <w:marRight w:val="0"/>
      <w:marTop w:val="0"/>
      <w:marBottom w:val="0"/>
      <w:divBdr>
        <w:top w:val="none" w:sz="0" w:space="0" w:color="auto"/>
        <w:left w:val="none" w:sz="0" w:space="0" w:color="auto"/>
        <w:bottom w:val="none" w:sz="0" w:space="0" w:color="auto"/>
        <w:right w:val="none" w:sz="0" w:space="0" w:color="auto"/>
      </w:divBdr>
    </w:div>
    <w:div w:id="514225093">
      <w:bodyDiv w:val="1"/>
      <w:marLeft w:val="0"/>
      <w:marRight w:val="0"/>
      <w:marTop w:val="0"/>
      <w:marBottom w:val="0"/>
      <w:divBdr>
        <w:top w:val="none" w:sz="0" w:space="0" w:color="auto"/>
        <w:left w:val="none" w:sz="0" w:space="0" w:color="auto"/>
        <w:bottom w:val="none" w:sz="0" w:space="0" w:color="auto"/>
        <w:right w:val="none" w:sz="0" w:space="0" w:color="auto"/>
      </w:divBdr>
    </w:div>
    <w:div w:id="520701676">
      <w:bodyDiv w:val="1"/>
      <w:marLeft w:val="0"/>
      <w:marRight w:val="0"/>
      <w:marTop w:val="0"/>
      <w:marBottom w:val="0"/>
      <w:divBdr>
        <w:top w:val="none" w:sz="0" w:space="0" w:color="auto"/>
        <w:left w:val="none" w:sz="0" w:space="0" w:color="auto"/>
        <w:bottom w:val="none" w:sz="0" w:space="0" w:color="auto"/>
        <w:right w:val="none" w:sz="0" w:space="0" w:color="auto"/>
      </w:divBdr>
    </w:div>
    <w:div w:id="520893927">
      <w:bodyDiv w:val="1"/>
      <w:marLeft w:val="0"/>
      <w:marRight w:val="0"/>
      <w:marTop w:val="0"/>
      <w:marBottom w:val="0"/>
      <w:divBdr>
        <w:top w:val="none" w:sz="0" w:space="0" w:color="auto"/>
        <w:left w:val="none" w:sz="0" w:space="0" w:color="auto"/>
        <w:bottom w:val="none" w:sz="0" w:space="0" w:color="auto"/>
        <w:right w:val="none" w:sz="0" w:space="0" w:color="auto"/>
      </w:divBdr>
    </w:div>
    <w:div w:id="537548084">
      <w:bodyDiv w:val="1"/>
      <w:marLeft w:val="0"/>
      <w:marRight w:val="0"/>
      <w:marTop w:val="0"/>
      <w:marBottom w:val="0"/>
      <w:divBdr>
        <w:top w:val="none" w:sz="0" w:space="0" w:color="auto"/>
        <w:left w:val="none" w:sz="0" w:space="0" w:color="auto"/>
        <w:bottom w:val="none" w:sz="0" w:space="0" w:color="auto"/>
        <w:right w:val="none" w:sz="0" w:space="0" w:color="auto"/>
      </w:divBdr>
    </w:div>
    <w:div w:id="541131894">
      <w:bodyDiv w:val="1"/>
      <w:marLeft w:val="0"/>
      <w:marRight w:val="0"/>
      <w:marTop w:val="0"/>
      <w:marBottom w:val="0"/>
      <w:divBdr>
        <w:top w:val="none" w:sz="0" w:space="0" w:color="auto"/>
        <w:left w:val="none" w:sz="0" w:space="0" w:color="auto"/>
        <w:bottom w:val="none" w:sz="0" w:space="0" w:color="auto"/>
        <w:right w:val="none" w:sz="0" w:space="0" w:color="auto"/>
      </w:divBdr>
    </w:div>
    <w:div w:id="557866477">
      <w:bodyDiv w:val="1"/>
      <w:marLeft w:val="0"/>
      <w:marRight w:val="0"/>
      <w:marTop w:val="0"/>
      <w:marBottom w:val="0"/>
      <w:divBdr>
        <w:top w:val="none" w:sz="0" w:space="0" w:color="auto"/>
        <w:left w:val="none" w:sz="0" w:space="0" w:color="auto"/>
        <w:bottom w:val="none" w:sz="0" w:space="0" w:color="auto"/>
        <w:right w:val="none" w:sz="0" w:space="0" w:color="auto"/>
      </w:divBdr>
    </w:div>
    <w:div w:id="566957381">
      <w:bodyDiv w:val="1"/>
      <w:marLeft w:val="0"/>
      <w:marRight w:val="0"/>
      <w:marTop w:val="0"/>
      <w:marBottom w:val="0"/>
      <w:divBdr>
        <w:top w:val="none" w:sz="0" w:space="0" w:color="auto"/>
        <w:left w:val="none" w:sz="0" w:space="0" w:color="auto"/>
        <w:bottom w:val="none" w:sz="0" w:space="0" w:color="auto"/>
        <w:right w:val="none" w:sz="0" w:space="0" w:color="auto"/>
      </w:divBdr>
    </w:div>
    <w:div w:id="566958380">
      <w:bodyDiv w:val="1"/>
      <w:marLeft w:val="0"/>
      <w:marRight w:val="0"/>
      <w:marTop w:val="0"/>
      <w:marBottom w:val="0"/>
      <w:divBdr>
        <w:top w:val="none" w:sz="0" w:space="0" w:color="auto"/>
        <w:left w:val="none" w:sz="0" w:space="0" w:color="auto"/>
        <w:bottom w:val="none" w:sz="0" w:space="0" w:color="auto"/>
        <w:right w:val="none" w:sz="0" w:space="0" w:color="auto"/>
      </w:divBdr>
    </w:div>
    <w:div w:id="572206816">
      <w:bodyDiv w:val="1"/>
      <w:marLeft w:val="0"/>
      <w:marRight w:val="0"/>
      <w:marTop w:val="0"/>
      <w:marBottom w:val="0"/>
      <w:divBdr>
        <w:top w:val="none" w:sz="0" w:space="0" w:color="auto"/>
        <w:left w:val="none" w:sz="0" w:space="0" w:color="auto"/>
        <w:bottom w:val="none" w:sz="0" w:space="0" w:color="auto"/>
        <w:right w:val="none" w:sz="0" w:space="0" w:color="auto"/>
      </w:divBdr>
    </w:div>
    <w:div w:id="579369826">
      <w:bodyDiv w:val="1"/>
      <w:marLeft w:val="0"/>
      <w:marRight w:val="0"/>
      <w:marTop w:val="0"/>
      <w:marBottom w:val="0"/>
      <w:divBdr>
        <w:top w:val="none" w:sz="0" w:space="0" w:color="auto"/>
        <w:left w:val="none" w:sz="0" w:space="0" w:color="auto"/>
        <w:bottom w:val="none" w:sz="0" w:space="0" w:color="auto"/>
        <w:right w:val="none" w:sz="0" w:space="0" w:color="auto"/>
      </w:divBdr>
    </w:div>
    <w:div w:id="582690065">
      <w:bodyDiv w:val="1"/>
      <w:marLeft w:val="0"/>
      <w:marRight w:val="0"/>
      <w:marTop w:val="0"/>
      <w:marBottom w:val="0"/>
      <w:divBdr>
        <w:top w:val="none" w:sz="0" w:space="0" w:color="auto"/>
        <w:left w:val="none" w:sz="0" w:space="0" w:color="auto"/>
        <w:bottom w:val="none" w:sz="0" w:space="0" w:color="auto"/>
        <w:right w:val="none" w:sz="0" w:space="0" w:color="auto"/>
      </w:divBdr>
    </w:div>
    <w:div w:id="583874761">
      <w:bodyDiv w:val="1"/>
      <w:marLeft w:val="0"/>
      <w:marRight w:val="0"/>
      <w:marTop w:val="0"/>
      <w:marBottom w:val="0"/>
      <w:divBdr>
        <w:top w:val="none" w:sz="0" w:space="0" w:color="auto"/>
        <w:left w:val="none" w:sz="0" w:space="0" w:color="auto"/>
        <w:bottom w:val="none" w:sz="0" w:space="0" w:color="auto"/>
        <w:right w:val="none" w:sz="0" w:space="0" w:color="auto"/>
      </w:divBdr>
    </w:div>
    <w:div w:id="584538515">
      <w:bodyDiv w:val="1"/>
      <w:marLeft w:val="0"/>
      <w:marRight w:val="0"/>
      <w:marTop w:val="0"/>
      <w:marBottom w:val="0"/>
      <w:divBdr>
        <w:top w:val="none" w:sz="0" w:space="0" w:color="auto"/>
        <w:left w:val="none" w:sz="0" w:space="0" w:color="auto"/>
        <w:bottom w:val="none" w:sz="0" w:space="0" w:color="auto"/>
        <w:right w:val="none" w:sz="0" w:space="0" w:color="auto"/>
      </w:divBdr>
    </w:div>
    <w:div w:id="586617917">
      <w:bodyDiv w:val="1"/>
      <w:marLeft w:val="0"/>
      <w:marRight w:val="0"/>
      <w:marTop w:val="0"/>
      <w:marBottom w:val="0"/>
      <w:divBdr>
        <w:top w:val="none" w:sz="0" w:space="0" w:color="auto"/>
        <w:left w:val="none" w:sz="0" w:space="0" w:color="auto"/>
        <w:bottom w:val="none" w:sz="0" w:space="0" w:color="auto"/>
        <w:right w:val="none" w:sz="0" w:space="0" w:color="auto"/>
      </w:divBdr>
      <w:divsChild>
        <w:div w:id="741103970">
          <w:marLeft w:val="0"/>
          <w:marRight w:val="0"/>
          <w:marTop w:val="0"/>
          <w:marBottom w:val="0"/>
          <w:divBdr>
            <w:top w:val="none" w:sz="0" w:space="0" w:color="auto"/>
            <w:left w:val="none" w:sz="0" w:space="0" w:color="auto"/>
            <w:bottom w:val="none" w:sz="0" w:space="0" w:color="auto"/>
            <w:right w:val="none" w:sz="0" w:space="0" w:color="auto"/>
          </w:divBdr>
          <w:divsChild>
            <w:div w:id="1800874245">
              <w:marLeft w:val="0"/>
              <w:marRight w:val="0"/>
              <w:marTop w:val="0"/>
              <w:marBottom w:val="0"/>
              <w:divBdr>
                <w:top w:val="none" w:sz="0" w:space="0" w:color="auto"/>
                <w:left w:val="none" w:sz="0" w:space="0" w:color="auto"/>
                <w:bottom w:val="none" w:sz="0" w:space="0" w:color="auto"/>
                <w:right w:val="none" w:sz="0" w:space="0" w:color="auto"/>
              </w:divBdr>
              <w:divsChild>
                <w:div w:id="394352579">
                  <w:marLeft w:val="0"/>
                  <w:marRight w:val="0"/>
                  <w:marTop w:val="0"/>
                  <w:marBottom w:val="0"/>
                  <w:divBdr>
                    <w:top w:val="none" w:sz="0" w:space="0" w:color="auto"/>
                    <w:left w:val="none" w:sz="0" w:space="0" w:color="auto"/>
                    <w:bottom w:val="none" w:sz="0" w:space="0" w:color="auto"/>
                    <w:right w:val="none" w:sz="0" w:space="0" w:color="auto"/>
                  </w:divBdr>
                  <w:divsChild>
                    <w:div w:id="145586478">
                      <w:marLeft w:val="0"/>
                      <w:marRight w:val="0"/>
                      <w:marTop w:val="0"/>
                      <w:marBottom w:val="0"/>
                      <w:divBdr>
                        <w:top w:val="none" w:sz="0" w:space="0" w:color="auto"/>
                        <w:left w:val="none" w:sz="0" w:space="0" w:color="auto"/>
                        <w:bottom w:val="none" w:sz="0" w:space="0" w:color="auto"/>
                        <w:right w:val="none" w:sz="0" w:space="0" w:color="auto"/>
                      </w:divBdr>
                      <w:divsChild>
                        <w:div w:id="1574463679">
                          <w:marLeft w:val="0"/>
                          <w:marRight w:val="0"/>
                          <w:marTop w:val="0"/>
                          <w:marBottom w:val="0"/>
                          <w:divBdr>
                            <w:top w:val="none" w:sz="0" w:space="0" w:color="auto"/>
                            <w:left w:val="none" w:sz="0" w:space="0" w:color="auto"/>
                            <w:bottom w:val="none" w:sz="0" w:space="0" w:color="auto"/>
                            <w:right w:val="none" w:sz="0" w:space="0" w:color="auto"/>
                          </w:divBdr>
                          <w:divsChild>
                            <w:div w:id="1515456238">
                              <w:marLeft w:val="0"/>
                              <w:marRight w:val="0"/>
                              <w:marTop w:val="0"/>
                              <w:marBottom w:val="0"/>
                              <w:divBdr>
                                <w:top w:val="none" w:sz="0" w:space="0" w:color="auto"/>
                                <w:left w:val="none" w:sz="0" w:space="0" w:color="auto"/>
                                <w:bottom w:val="none" w:sz="0" w:space="0" w:color="auto"/>
                                <w:right w:val="none" w:sz="0" w:space="0" w:color="auto"/>
                              </w:divBdr>
                              <w:divsChild>
                                <w:div w:id="852574518">
                                  <w:marLeft w:val="0"/>
                                  <w:marRight w:val="0"/>
                                  <w:marTop w:val="0"/>
                                  <w:marBottom w:val="0"/>
                                  <w:divBdr>
                                    <w:top w:val="none" w:sz="0" w:space="0" w:color="auto"/>
                                    <w:left w:val="none" w:sz="0" w:space="0" w:color="auto"/>
                                    <w:bottom w:val="none" w:sz="0" w:space="0" w:color="auto"/>
                                    <w:right w:val="none" w:sz="0" w:space="0" w:color="auto"/>
                                  </w:divBdr>
                                  <w:divsChild>
                                    <w:div w:id="106321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5550">
                              <w:marLeft w:val="0"/>
                              <w:marRight w:val="0"/>
                              <w:marTop w:val="0"/>
                              <w:marBottom w:val="0"/>
                              <w:divBdr>
                                <w:top w:val="none" w:sz="0" w:space="0" w:color="auto"/>
                                <w:left w:val="none" w:sz="0" w:space="0" w:color="auto"/>
                                <w:bottom w:val="none" w:sz="0" w:space="0" w:color="auto"/>
                                <w:right w:val="none" w:sz="0" w:space="0" w:color="auto"/>
                              </w:divBdr>
                              <w:divsChild>
                                <w:div w:id="93594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708855">
          <w:marLeft w:val="0"/>
          <w:marRight w:val="0"/>
          <w:marTop w:val="0"/>
          <w:marBottom w:val="0"/>
          <w:divBdr>
            <w:top w:val="none" w:sz="0" w:space="0" w:color="auto"/>
            <w:left w:val="none" w:sz="0" w:space="0" w:color="auto"/>
            <w:bottom w:val="none" w:sz="0" w:space="0" w:color="auto"/>
            <w:right w:val="none" w:sz="0" w:space="0" w:color="auto"/>
          </w:divBdr>
          <w:divsChild>
            <w:div w:id="2052873914">
              <w:marLeft w:val="0"/>
              <w:marRight w:val="0"/>
              <w:marTop w:val="0"/>
              <w:marBottom w:val="0"/>
              <w:divBdr>
                <w:top w:val="none" w:sz="0" w:space="0" w:color="auto"/>
                <w:left w:val="none" w:sz="0" w:space="0" w:color="auto"/>
                <w:bottom w:val="none" w:sz="0" w:space="0" w:color="auto"/>
                <w:right w:val="none" w:sz="0" w:space="0" w:color="auto"/>
              </w:divBdr>
              <w:divsChild>
                <w:div w:id="2073891854">
                  <w:marLeft w:val="0"/>
                  <w:marRight w:val="0"/>
                  <w:marTop w:val="0"/>
                  <w:marBottom w:val="0"/>
                  <w:divBdr>
                    <w:top w:val="none" w:sz="0" w:space="0" w:color="auto"/>
                    <w:left w:val="none" w:sz="0" w:space="0" w:color="auto"/>
                    <w:bottom w:val="none" w:sz="0" w:space="0" w:color="auto"/>
                    <w:right w:val="none" w:sz="0" w:space="0" w:color="auto"/>
                  </w:divBdr>
                  <w:divsChild>
                    <w:div w:id="220336082">
                      <w:marLeft w:val="0"/>
                      <w:marRight w:val="0"/>
                      <w:marTop w:val="0"/>
                      <w:marBottom w:val="0"/>
                      <w:divBdr>
                        <w:top w:val="none" w:sz="0" w:space="0" w:color="auto"/>
                        <w:left w:val="none" w:sz="0" w:space="0" w:color="auto"/>
                        <w:bottom w:val="none" w:sz="0" w:space="0" w:color="auto"/>
                        <w:right w:val="none" w:sz="0" w:space="0" w:color="auto"/>
                      </w:divBdr>
                      <w:divsChild>
                        <w:div w:id="759912748">
                          <w:marLeft w:val="0"/>
                          <w:marRight w:val="0"/>
                          <w:marTop w:val="0"/>
                          <w:marBottom w:val="0"/>
                          <w:divBdr>
                            <w:top w:val="none" w:sz="0" w:space="0" w:color="auto"/>
                            <w:left w:val="none" w:sz="0" w:space="0" w:color="auto"/>
                            <w:bottom w:val="none" w:sz="0" w:space="0" w:color="auto"/>
                            <w:right w:val="none" w:sz="0" w:space="0" w:color="auto"/>
                          </w:divBdr>
                          <w:divsChild>
                            <w:div w:id="685715867">
                              <w:marLeft w:val="0"/>
                              <w:marRight w:val="0"/>
                              <w:marTop w:val="0"/>
                              <w:marBottom w:val="0"/>
                              <w:divBdr>
                                <w:top w:val="none" w:sz="0" w:space="0" w:color="auto"/>
                                <w:left w:val="none" w:sz="0" w:space="0" w:color="auto"/>
                                <w:bottom w:val="none" w:sz="0" w:space="0" w:color="auto"/>
                                <w:right w:val="none" w:sz="0" w:space="0" w:color="auto"/>
                              </w:divBdr>
                              <w:divsChild>
                                <w:div w:id="672994833">
                                  <w:marLeft w:val="0"/>
                                  <w:marRight w:val="0"/>
                                  <w:marTop w:val="0"/>
                                  <w:marBottom w:val="0"/>
                                  <w:divBdr>
                                    <w:top w:val="none" w:sz="0" w:space="0" w:color="auto"/>
                                    <w:left w:val="none" w:sz="0" w:space="0" w:color="auto"/>
                                    <w:bottom w:val="none" w:sz="0" w:space="0" w:color="auto"/>
                                    <w:right w:val="none" w:sz="0" w:space="0" w:color="auto"/>
                                  </w:divBdr>
                                  <w:divsChild>
                                    <w:div w:id="1059785937">
                                      <w:marLeft w:val="0"/>
                                      <w:marRight w:val="0"/>
                                      <w:marTop w:val="0"/>
                                      <w:marBottom w:val="0"/>
                                      <w:divBdr>
                                        <w:top w:val="none" w:sz="0" w:space="0" w:color="auto"/>
                                        <w:left w:val="none" w:sz="0" w:space="0" w:color="auto"/>
                                        <w:bottom w:val="none" w:sz="0" w:space="0" w:color="auto"/>
                                        <w:right w:val="none" w:sz="0" w:space="0" w:color="auto"/>
                                      </w:divBdr>
                                      <w:divsChild>
                                        <w:div w:id="1068308066">
                                          <w:marLeft w:val="0"/>
                                          <w:marRight w:val="0"/>
                                          <w:marTop w:val="0"/>
                                          <w:marBottom w:val="0"/>
                                          <w:divBdr>
                                            <w:top w:val="none" w:sz="0" w:space="0" w:color="auto"/>
                                            <w:left w:val="none" w:sz="0" w:space="0" w:color="auto"/>
                                            <w:bottom w:val="none" w:sz="0" w:space="0" w:color="auto"/>
                                            <w:right w:val="none" w:sz="0" w:space="0" w:color="auto"/>
                                          </w:divBdr>
                                          <w:divsChild>
                                            <w:div w:id="99225629">
                                              <w:marLeft w:val="0"/>
                                              <w:marRight w:val="0"/>
                                              <w:marTop w:val="0"/>
                                              <w:marBottom w:val="0"/>
                                              <w:divBdr>
                                                <w:top w:val="none" w:sz="0" w:space="0" w:color="auto"/>
                                                <w:left w:val="none" w:sz="0" w:space="0" w:color="auto"/>
                                                <w:bottom w:val="none" w:sz="0" w:space="0" w:color="auto"/>
                                                <w:right w:val="none" w:sz="0" w:space="0" w:color="auto"/>
                                              </w:divBdr>
                                              <w:divsChild>
                                                <w:div w:id="236477703">
                                                  <w:marLeft w:val="0"/>
                                                  <w:marRight w:val="0"/>
                                                  <w:marTop w:val="0"/>
                                                  <w:marBottom w:val="0"/>
                                                  <w:divBdr>
                                                    <w:top w:val="none" w:sz="0" w:space="0" w:color="auto"/>
                                                    <w:left w:val="none" w:sz="0" w:space="0" w:color="auto"/>
                                                    <w:bottom w:val="none" w:sz="0" w:space="0" w:color="auto"/>
                                                    <w:right w:val="none" w:sz="0" w:space="0" w:color="auto"/>
                                                  </w:divBdr>
                                                  <w:divsChild>
                                                    <w:div w:id="375159043">
                                                      <w:marLeft w:val="0"/>
                                                      <w:marRight w:val="0"/>
                                                      <w:marTop w:val="0"/>
                                                      <w:marBottom w:val="0"/>
                                                      <w:divBdr>
                                                        <w:top w:val="none" w:sz="0" w:space="0" w:color="auto"/>
                                                        <w:left w:val="none" w:sz="0" w:space="0" w:color="auto"/>
                                                        <w:bottom w:val="none" w:sz="0" w:space="0" w:color="auto"/>
                                                        <w:right w:val="none" w:sz="0" w:space="0" w:color="auto"/>
                                                      </w:divBdr>
                                                      <w:divsChild>
                                                        <w:div w:id="8051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04963848">
      <w:bodyDiv w:val="1"/>
      <w:marLeft w:val="0"/>
      <w:marRight w:val="0"/>
      <w:marTop w:val="0"/>
      <w:marBottom w:val="0"/>
      <w:divBdr>
        <w:top w:val="none" w:sz="0" w:space="0" w:color="auto"/>
        <w:left w:val="none" w:sz="0" w:space="0" w:color="auto"/>
        <w:bottom w:val="none" w:sz="0" w:space="0" w:color="auto"/>
        <w:right w:val="none" w:sz="0" w:space="0" w:color="auto"/>
      </w:divBdr>
    </w:div>
    <w:div w:id="607077902">
      <w:bodyDiv w:val="1"/>
      <w:marLeft w:val="0"/>
      <w:marRight w:val="0"/>
      <w:marTop w:val="0"/>
      <w:marBottom w:val="0"/>
      <w:divBdr>
        <w:top w:val="none" w:sz="0" w:space="0" w:color="auto"/>
        <w:left w:val="none" w:sz="0" w:space="0" w:color="auto"/>
        <w:bottom w:val="none" w:sz="0" w:space="0" w:color="auto"/>
        <w:right w:val="none" w:sz="0" w:space="0" w:color="auto"/>
      </w:divBdr>
    </w:div>
    <w:div w:id="609971944">
      <w:bodyDiv w:val="1"/>
      <w:marLeft w:val="0"/>
      <w:marRight w:val="0"/>
      <w:marTop w:val="0"/>
      <w:marBottom w:val="0"/>
      <w:divBdr>
        <w:top w:val="none" w:sz="0" w:space="0" w:color="auto"/>
        <w:left w:val="none" w:sz="0" w:space="0" w:color="auto"/>
        <w:bottom w:val="none" w:sz="0" w:space="0" w:color="auto"/>
        <w:right w:val="none" w:sz="0" w:space="0" w:color="auto"/>
      </w:divBdr>
    </w:div>
    <w:div w:id="610012690">
      <w:bodyDiv w:val="1"/>
      <w:marLeft w:val="0"/>
      <w:marRight w:val="0"/>
      <w:marTop w:val="0"/>
      <w:marBottom w:val="0"/>
      <w:divBdr>
        <w:top w:val="none" w:sz="0" w:space="0" w:color="auto"/>
        <w:left w:val="none" w:sz="0" w:space="0" w:color="auto"/>
        <w:bottom w:val="none" w:sz="0" w:space="0" w:color="auto"/>
        <w:right w:val="none" w:sz="0" w:space="0" w:color="auto"/>
      </w:divBdr>
    </w:div>
    <w:div w:id="610355187">
      <w:bodyDiv w:val="1"/>
      <w:marLeft w:val="0"/>
      <w:marRight w:val="0"/>
      <w:marTop w:val="0"/>
      <w:marBottom w:val="0"/>
      <w:divBdr>
        <w:top w:val="none" w:sz="0" w:space="0" w:color="auto"/>
        <w:left w:val="none" w:sz="0" w:space="0" w:color="auto"/>
        <w:bottom w:val="none" w:sz="0" w:space="0" w:color="auto"/>
        <w:right w:val="none" w:sz="0" w:space="0" w:color="auto"/>
      </w:divBdr>
    </w:div>
    <w:div w:id="611716797">
      <w:bodyDiv w:val="1"/>
      <w:marLeft w:val="0"/>
      <w:marRight w:val="0"/>
      <w:marTop w:val="0"/>
      <w:marBottom w:val="0"/>
      <w:divBdr>
        <w:top w:val="none" w:sz="0" w:space="0" w:color="auto"/>
        <w:left w:val="none" w:sz="0" w:space="0" w:color="auto"/>
        <w:bottom w:val="none" w:sz="0" w:space="0" w:color="auto"/>
        <w:right w:val="none" w:sz="0" w:space="0" w:color="auto"/>
      </w:divBdr>
    </w:div>
    <w:div w:id="616569388">
      <w:bodyDiv w:val="1"/>
      <w:marLeft w:val="0"/>
      <w:marRight w:val="0"/>
      <w:marTop w:val="0"/>
      <w:marBottom w:val="0"/>
      <w:divBdr>
        <w:top w:val="none" w:sz="0" w:space="0" w:color="auto"/>
        <w:left w:val="none" w:sz="0" w:space="0" w:color="auto"/>
        <w:bottom w:val="none" w:sz="0" w:space="0" w:color="auto"/>
        <w:right w:val="none" w:sz="0" w:space="0" w:color="auto"/>
      </w:divBdr>
    </w:div>
    <w:div w:id="620452129">
      <w:bodyDiv w:val="1"/>
      <w:marLeft w:val="0"/>
      <w:marRight w:val="0"/>
      <w:marTop w:val="0"/>
      <w:marBottom w:val="0"/>
      <w:divBdr>
        <w:top w:val="none" w:sz="0" w:space="0" w:color="auto"/>
        <w:left w:val="none" w:sz="0" w:space="0" w:color="auto"/>
        <w:bottom w:val="none" w:sz="0" w:space="0" w:color="auto"/>
        <w:right w:val="none" w:sz="0" w:space="0" w:color="auto"/>
      </w:divBdr>
    </w:div>
    <w:div w:id="620772202">
      <w:bodyDiv w:val="1"/>
      <w:marLeft w:val="0"/>
      <w:marRight w:val="0"/>
      <w:marTop w:val="0"/>
      <w:marBottom w:val="0"/>
      <w:divBdr>
        <w:top w:val="none" w:sz="0" w:space="0" w:color="auto"/>
        <w:left w:val="none" w:sz="0" w:space="0" w:color="auto"/>
        <w:bottom w:val="none" w:sz="0" w:space="0" w:color="auto"/>
        <w:right w:val="none" w:sz="0" w:space="0" w:color="auto"/>
      </w:divBdr>
    </w:div>
    <w:div w:id="635647881">
      <w:bodyDiv w:val="1"/>
      <w:marLeft w:val="0"/>
      <w:marRight w:val="0"/>
      <w:marTop w:val="0"/>
      <w:marBottom w:val="0"/>
      <w:divBdr>
        <w:top w:val="none" w:sz="0" w:space="0" w:color="auto"/>
        <w:left w:val="none" w:sz="0" w:space="0" w:color="auto"/>
        <w:bottom w:val="none" w:sz="0" w:space="0" w:color="auto"/>
        <w:right w:val="none" w:sz="0" w:space="0" w:color="auto"/>
      </w:divBdr>
    </w:div>
    <w:div w:id="638075208">
      <w:bodyDiv w:val="1"/>
      <w:marLeft w:val="0"/>
      <w:marRight w:val="0"/>
      <w:marTop w:val="0"/>
      <w:marBottom w:val="0"/>
      <w:divBdr>
        <w:top w:val="none" w:sz="0" w:space="0" w:color="auto"/>
        <w:left w:val="none" w:sz="0" w:space="0" w:color="auto"/>
        <w:bottom w:val="none" w:sz="0" w:space="0" w:color="auto"/>
        <w:right w:val="none" w:sz="0" w:space="0" w:color="auto"/>
      </w:divBdr>
    </w:div>
    <w:div w:id="640381983">
      <w:bodyDiv w:val="1"/>
      <w:marLeft w:val="0"/>
      <w:marRight w:val="0"/>
      <w:marTop w:val="0"/>
      <w:marBottom w:val="0"/>
      <w:divBdr>
        <w:top w:val="none" w:sz="0" w:space="0" w:color="auto"/>
        <w:left w:val="none" w:sz="0" w:space="0" w:color="auto"/>
        <w:bottom w:val="none" w:sz="0" w:space="0" w:color="auto"/>
        <w:right w:val="none" w:sz="0" w:space="0" w:color="auto"/>
      </w:divBdr>
    </w:div>
    <w:div w:id="649867207">
      <w:bodyDiv w:val="1"/>
      <w:marLeft w:val="0"/>
      <w:marRight w:val="0"/>
      <w:marTop w:val="0"/>
      <w:marBottom w:val="0"/>
      <w:divBdr>
        <w:top w:val="none" w:sz="0" w:space="0" w:color="auto"/>
        <w:left w:val="none" w:sz="0" w:space="0" w:color="auto"/>
        <w:bottom w:val="none" w:sz="0" w:space="0" w:color="auto"/>
        <w:right w:val="none" w:sz="0" w:space="0" w:color="auto"/>
      </w:divBdr>
    </w:div>
    <w:div w:id="652371918">
      <w:bodyDiv w:val="1"/>
      <w:marLeft w:val="0"/>
      <w:marRight w:val="0"/>
      <w:marTop w:val="0"/>
      <w:marBottom w:val="0"/>
      <w:divBdr>
        <w:top w:val="none" w:sz="0" w:space="0" w:color="auto"/>
        <w:left w:val="none" w:sz="0" w:space="0" w:color="auto"/>
        <w:bottom w:val="none" w:sz="0" w:space="0" w:color="auto"/>
        <w:right w:val="none" w:sz="0" w:space="0" w:color="auto"/>
      </w:divBdr>
    </w:div>
    <w:div w:id="654528665">
      <w:bodyDiv w:val="1"/>
      <w:marLeft w:val="0"/>
      <w:marRight w:val="0"/>
      <w:marTop w:val="0"/>
      <w:marBottom w:val="0"/>
      <w:divBdr>
        <w:top w:val="none" w:sz="0" w:space="0" w:color="auto"/>
        <w:left w:val="none" w:sz="0" w:space="0" w:color="auto"/>
        <w:bottom w:val="none" w:sz="0" w:space="0" w:color="auto"/>
        <w:right w:val="none" w:sz="0" w:space="0" w:color="auto"/>
      </w:divBdr>
    </w:div>
    <w:div w:id="657078620">
      <w:bodyDiv w:val="1"/>
      <w:marLeft w:val="0"/>
      <w:marRight w:val="0"/>
      <w:marTop w:val="0"/>
      <w:marBottom w:val="0"/>
      <w:divBdr>
        <w:top w:val="none" w:sz="0" w:space="0" w:color="auto"/>
        <w:left w:val="none" w:sz="0" w:space="0" w:color="auto"/>
        <w:bottom w:val="none" w:sz="0" w:space="0" w:color="auto"/>
        <w:right w:val="none" w:sz="0" w:space="0" w:color="auto"/>
      </w:divBdr>
    </w:div>
    <w:div w:id="660158604">
      <w:bodyDiv w:val="1"/>
      <w:marLeft w:val="0"/>
      <w:marRight w:val="0"/>
      <w:marTop w:val="0"/>
      <w:marBottom w:val="0"/>
      <w:divBdr>
        <w:top w:val="none" w:sz="0" w:space="0" w:color="auto"/>
        <w:left w:val="none" w:sz="0" w:space="0" w:color="auto"/>
        <w:bottom w:val="none" w:sz="0" w:space="0" w:color="auto"/>
        <w:right w:val="none" w:sz="0" w:space="0" w:color="auto"/>
      </w:divBdr>
    </w:div>
    <w:div w:id="661005415">
      <w:bodyDiv w:val="1"/>
      <w:marLeft w:val="0"/>
      <w:marRight w:val="0"/>
      <w:marTop w:val="0"/>
      <w:marBottom w:val="0"/>
      <w:divBdr>
        <w:top w:val="none" w:sz="0" w:space="0" w:color="auto"/>
        <w:left w:val="none" w:sz="0" w:space="0" w:color="auto"/>
        <w:bottom w:val="none" w:sz="0" w:space="0" w:color="auto"/>
        <w:right w:val="none" w:sz="0" w:space="0" w:color="auto"/>
      </w:divBdr>
      <w:divsChild>
        <w:div w:id="1936746998">
          <w:marLeft w:val="0"/>
          <w:marRight w:val="0"/>
          <w:marTop w:val="0"/>
          <w:marBottom w:val="0"/>
          <w:divBdr>
            <w:top w:val="none" w:sz="0" w:space="0" w:color="auto"/>
            <w:left w:val="none" w:sz="0" w:space="0" w:color="auto"/>
            <w:bottom w:val="none" w:sz="0" w:space="0" w:color="auto"/>
            <w:right w:val="none" w:sz="0" w:space="0" w:color="auto"/>
          </w:divBdr>
        </w:div>
      </w:divsChild>
    </w:div>
    <w:div w:id="667484839">
      <w:bodyDiv w:val="1"/>
      <w:marLeft w:val="0"/>
      <w:marRight w:val="0"/>
      <w:marTop w:val="0"/>
      <w:marBottom w:val="0"/>
      <w:divBdr>
        <w:top w:val="none" w:sz="0" w:space="0" w:color="auto"/>
        <w:left w:val="none" w:sz="0" w:space="0" w:color="auto"/>
        <w:bottom w:val="none" w:sz="0" w:space="0" w:color="auto"/>
        <w:right w:val="none" w:sz="0" w:space="0" w:color="auto"/>
      </w:divBdr>
    </w:div>
    <w:div w:id="673261941">
      <w:bodyDiv w:val="1"/>
      <w:marLeft w:val="0"/>
      <w:marRight w:val="0"/>
      <w:marTop w:val="0"/>
      <w:marBottom w:val="0"/>
      <w:divBdr>
        <w:top w:val="none" w:sz="0" w:space="0" w:color="auto"/>
        <w:left w:val="none" w:sz="0" w:space="0" w:color="auto"/>
        <w:bottom w:val="none" w:sz="0" w:space="0" w:color="auto"/>
        <w:right w:val="none" w:sz="0" w:space="0" w:color="auto"/>
      </w:divBdr>
    </w:div>
    <w:div w:id="692925669">
      <w:bodyDiv w:val="1"/>
      <w:marLeft w:val="0"/>
      <w:marRight w:val="0"/>
      <w:marTop w:val="0"/>
      <w:marBottom w:val="0"/>
      <w:divBdr>
        <w:top w:val="none" w:sz="0" w:space="0" w:color="auto"/>
        <w:left w:val="none" w:sz="0" w:space="0" w:color="auto"/>
        <w:bottom w:val="none" w:sz="0" w:space="0" w:color="auto"/>
        <w:right w:val="none" w:sz="0" w:space="0" w:color="auto"/>
      </w:divBdr>
    </w:div>
    <w:div w:id="693044748">
      <w:bodyDiv w:val="1"/>
      <w:marLeft w:val="0"/>
      <w:marRight w:val="0"/>
      <w:marTop w:val="0"/>
      <w:marBottom w:val="0"/>
      <w:divBdr>
        <w:top w:val="none" w:sz="0" w:space="0" w:color="auto"/>
        <w:left w:val="none" w:sz="0" w:space="0" w:color="auto"/>
        <w:bottom w:val="none" w:sz="0" w:space="0" w:color="auto"/>
        <w:right w:val="none" w:sz="0" w:space="0" w:color="auto"/>
      </w:divBdr>
    </w:div>
    <w:div w:id="695078503">
      <w:bodyDiv w:val="1"/>
      <w:marLeft w:val="0"/>
      <w:marRight w:val="0"/>
      <w:marTop w:val="0"/>
      <w:marBottom w:val="0"/>
      <w:divBdr>
        <w:top w:val="none" w:sz="0" w:space="0" w:color="auto"/>
        <w:left w:val="none" w:sz="0" w:space="0" w:color="auto"/>
        <w:bottom w:val="none" w:sz="0" w:space="0" w:color="auto"/>
        <w:right w:val="none" w:sz="0" w:space="0" w:color="auto"/>
      </w:divBdr>
    </w:div>
    <w:div w:id="700591308">
      <w:bodyDiv w:val="1"/>
      <w:marLeft w:val="0"/>
      <w:marRight w:val="0"/>
      <w:marTop w:val="0"/>
      <w:marBottom w:val="0"/>
      <w:divBdr>
        <w:top w:val="none" w:sz="0" w:space="0" w:color="auto"/>
        <w:left w:val="none" w:sz="0" w:space="0" w:color="auto"/>
        <w:bottom w:val="none" w:sz="0" w:space="0" w:color="auto"/>
        <w:right w:val="none" w:sz="0" w:space="0" w:color="auto"/>
      </w:divBdr>
    </w:div>
    <w:div w:id="700939739">
      <w:bodyDiv w:val="1"/>
      <w:marLeft w:val="0"/>
      <w:marRight w:val="0"/>
      <w:marTop w:val="0"/>
      <w:marBottom w:val="0"/>
      <w:divBdr>
        <w:top w:val="none" w:sz="0" w:space="0" w:color="auto"/>
        <w:left w:val="none" w:sz="0" w:space="0" w:color="auto"/>
        <w:bottom w:val="none" w:sz="0" w:space="0" w:color="auto"/>
        <w:right w:val="none" w:sz="0" w:space="0" w:color="auto"/>
      </w:divBdr>
    </w:div>
    <w:div w:id="703139039">
      <w:bodyDiv w:val="1"/>
      <w:marLeft w:val="0"/>
      <w:marRight w:val="0"/>
      <w:marTop w:val="0"/>
      <w:marBottom w:val="0"/>
      <w:divBdr>
        <w:top w:val="none" w:sz="0" w:space="0" w:color="auto"/>
        <w:left w:val="none" w:sz="0" w:space="0" w:color="auto"/>
        <w:bottom w:val="none" w:sz="0" w:space="0" w:color="auto"/>
        <w:right w:val="none" w:sz="0" w:space="0" w:color="auto"/>
      </w:divBdr>
    </w:div>
    <w:div w:id="705720055">
      <w:bodyDiv w:val="1"/>
      <w:marLeft w:val="0"/>
      <w:marRight w:val="0"/>
      <w:marTop w:val="0"/>
      <w:marBottom w:val="0"/>
      <w:divBdr>
        <w:top w:val="none" w:sz="0" w:space="0" w:color="auto"/>
        <w:left w:val="none" w:sz="0" w:space="0" w:color="auto"/>
        <w:bottom w:val="none" w:sz="0" w:space="0" w:color="auto"/>
        <w:right w:val="none" w:sz="0" w:space="0" w:color="auto"/>
      </w:divBdr>
    </w:div>
    <w:div w:id="711611917">
      <w:bodyDiv w:val="1"/>
      <w:marLeft w:val="0"/>
      <w:marRight w:val="0"/>
      <w:marTop w:val="0"/>
      <w:marBottom w:val="0"/>
      <w:divBdr>
        <w:top w:val="none" w:sz="0" w:space="0" w:color="auto"/>
        <w:left w:val="none" w:sz="0" w:space="0" w:color="auto"/>
        <w:bottom w:val="none" w:sz="0" w:space="0" w:color="auto"/>
        <w:right w:val="none" w:sz="0" w:space="0" w:color="auto"/>
      </w:divBdr>
    </w:div>
    <w:div w:id="717441127">
      <w:bodyDiv w:val="1"/>
      <w:marLeft w:val="0"/>
      <w:marRight w:val="0"/>
      <w:marTop w:val="0"/>
      <w:marBottom w:val="0"/>
      <w:divBdr>
        <w:top w:val="none" w:sz="0" w:space="0" w:color="auto"/>
        <w:left w:val="none" w:sz="0" w:space="0" w:color="auto"/>
        <w:bottom w:val="none" w:sz="0" w:space="0" w:color="auto"/>
        <w:right w:val="none" w:sz="0" w:space="0" w:color="auto"/>
      </w:divBdr>
      <w:divsChild>
        <w:div w:id="516623409">
          <w:marLeft w:val="0"/>
          <w:marRight w:val="0"/>
          <w:marTop w:val="0"/>
          <w:marBottom w:val="0"/>
          <w:divBdr>
            <w:top w:val="none" w:sz="0" w:space="0" w:color="auto"/>
            <w:left w:val="none" w:sz="0" w:space="0" w:color="auto"/>
            <w:bottom w:val="none" w:sz="0" w:space="0" w:color="auto"/>
            <w:right w:val="none" w:sz="0" w:space="0" w:color="auto"/>
          </w:divBdr>
          <w:divsChild>
            <w:div w:id="734354960">
              <w:marLeft w:val="0"/>
              <w:marRight w:val="0"/>
              <w:marTop w:val="0"/>
              <w:marBottom w:val="0"/>
              <w:divBdr>
                <w:top w:val="none" w:sz="0" w:space="0" w:color="auto"/>
                <w:left w:val="none" w:sz="0" w:space="0" w:color="auto"/>
                <w:bottom w:val="none" w:sz="0" w:space="0" w:color="auto"/>
                <w:right w:val="none" w:sz="0" w:space="0" w:color="auto"/>
              </w:divBdr>
            </w:div>
          </w:divsChild>
        </w:div>
        <w:div w:id="626743206">
          <w:marLeft w:val="0"/>
          <w:marRight w:val="0"/>
          <w:marTop w:val="0"/>
          <w:marBottom w:val="0"/>
          <w:divBdr>
            <w:top w:val="none" w:sz="0" w:space="0" w:color="auto"/>
            <w:left w:val="none" w:sz="0" w:space="0" w:color="auto"/>
            <w:bottom w:val="none" w:sz="0" w:space="0" w:color="auto"/>
            <w:right w:val="none" w:sz="0" w:space="0" w:color="auto"/>
          </w:divBdr>
          <w:divsChild>
            <w:div w:id="1311130192">
              <w:marLeft w:val="0"/>
              <w:marRight w:val="0"/>
              <w:marTop w:val="0"/>
              <w:marBottom w:val="0"/>
              <w:divBdr>
                <w:top w:val="none" w:sz="0" w:space="0" w:color="auto"/>
                <w:left w:val="none" w:sz="0" w:space="0" w:color="auto"/>
                <w:bottom w:val="none" w:sz="0" w:space="0" w:color="auto"/>
                <w:right w:val="none" w:sz="0" w:space="0" w:color="auto"/>
              </w:divBdr>
            </w:div>
          </w:divsChild>
        </w:div>
        <w:div w:id="84957469">
          <w:marLeft w:val="0"/>
          <w:marRight w:val="0"/>
          <w:marTop w:val="0"/>
          <w:marBottom w:val="0"/>
          <w:divBdr>
            <w:top w:val="none" w:sz="0" w:space="0" w:color="auto"/>
            <w:left w:val="none" w:sz="0" w:space="0" w:color="auto"/>
            <w:bottom w:val="none" w:sz="0" w:space="0" w:color="auto"/>
            <w:right w:val="none" w:sz="0" w:space="0" w:color="auto"/>
          </w:divBdr>
          <w:divsChild>
            <w:div w:id="317809824">
              <w:marLeft w:val="0"/>
              <w:marRight w:val="0"/>
              <w:marTop w:val="0"/>
              <w:marBottom w:val="0"/>
              <w:divBdr>
                <w:top w:val="none" w:sz="0" w:space="0" w:color="auto"/>
                <w:left w:val="none" w:sz="0" w:space="0" w:color="auto"/>
                <w:bottom w:val="none" w:sz="0" w:space="0" w:color="auto"/>
                <w:right w:val="none" w:sz="0" w:space="0" w:color="auto"/>
              </w:divBdr>
            </w:div>
          </w:divsChild>
        </w:div>
        <w:div w:id="455682666">
          <w:marLeft w:val="0"/>
          <w:marRight w:val="0"/>
          <w:marTop w:val="0"/>
          <w:marBottom w:val="0"/>
          <w:divBdr>
            <w:top w:val="none" w:sz="0" w:space="0" w:color="auto"/>
            <w:left w:val="none" w:sz="0" w:space="0" w:color="auto"/>
            <w:bottom w:val="none" w:sz="0" w:space="0" w:color="auto"/>
            <w:right w:val="none" w:sz="0" w:space="0" w:color="auto"/>
          </w:divBdr>
          <w:divsChild>
            <w:div w:id="1398698573">
              <w:marLeft w:val="0"/>
              <w:marRight w:val="0"/>
              <w:marTop w:val="0"/>
              <w:marBottom w:val="0"/>
              <w:divBdr>
                <w:top w:val="none" w:sz="0" w:space="0" w:color="auto"/>
                <w:left w:val="none" w:sz="0" w:space="0" w:color="auto"/>
                <w:bottom w:val="none" w:sz="0" w:space="0" w:color="auto"/>
                <w:right w:val="none" w:sz="0" w:space="0" w:color="auto"/>
              </w:divBdr>
            </w:div>
          </w:divsChild>
        </w:div>
        <w:div w:id="871763793">
          <w:marLeft w:val="0"/>
          <w:marRight w:val="0"/>
          <w:marTop w:val="0"/>
          <w:marBottom w:val="0"/>
          <w:divBdr>
            <w:top w:val="none" w:sz="0" w:space="0" w:color="auto"/>
            <w:left w:val="none" w:sz="0" w:space="0" w:color="auto"/>
            <w:bottom w:val="none" w:sz="0" w:space="0" w:color="auto"/>
            <w:right w:val="none" w:sz="0" w:space="0" w:color="auto"/>
          </w:divBdr>
          <w:divsChild>
            <w:div w:id="1120758523">
              <w:marLeft w:val="0"/>
              <w:marRight w:val="0"/>
              <w:marTop w:val="0"/>
              <w:marBottom w:val="0"/>
              <w:divBdr>
                <w:top w:val="none" w:sz="0" w:space="0" w:color="auto"/>
                <w:left w:val="none" w:sz="0" w:space="0" w:color="auto"/>
                <w:bottom w:val="none" w:sz="0" w:space="0" w:color="auto"/>
                <w:right w:val="none" w:sz="0" w:space="0" w:color="auto"/>
              </w:divBdr>
            </w:div>
          </w:divsChild>
        </w:div>
        <w:div w:id="1496530576">
          <w:marLeft w:val="0"/>
          <w:marRight w:val="0"/>
          <w:marTop w:val="0"/>
          <w:marBottom w:val="0"/>
          <w:divBdr>
            <w:top w:val="none" w:sz="0" w:space="0" w:color="auto"/>
            <w:left w:val="none" w:sz="0" w:space="0" w:color="auto"/>
            <w:bottom w:val="none" w:sz="0" w:space="0" w:color="auto"/>
            <w:right w:val="none" w:sz="0" w:space="0" w:color="auto"/>
          </w:divBdr>
          <w:divsChild>
            <w:div w:id="650528408">
              <w:marLeft w:val="0"/>
              <w:marRight w:val="0"/>
              <w:marTop w:val="0"/>
              <w:marBottom w:val="0"/>
              <w:divBdr>
                <w:top w:val="none" w:sz="0" w:space="0" w:color="auto"/>
                <w:left w:val="none" w:sz="0" w:space="0" w:color="auto"/>
                <w:bottom w:val="none" w:sz="0" w:space="0" w:color="auto"/>
                <w:right w:val="none" w:sz="0" w:space="0" w:color="auto"/>
              </w:divBdr>
            </w:div>
          </w:divsChild>
        </w:div>
        <w:div w:id="881791670">
          <w:marLeft w:val="0"/>
          <w:marRight w:val="0"/>
          <w:marTop w:val="0"/>
          <w:marBottom w:val="0"/>
          <w:divBdr>
            <w:top w:val="none" w:sz="0" w:space="0" w:color="auto"/>
            <w:left w:val="none" w:sz="0" w:space="0" w:color="auto"/>
            <w:bottom w:val="none" w:sz="0" w:space="0" w:color="auto"/>
            <w:right w:val="none" w:sz="0" w:space="0" w:color="auto"/>
          </w:divBdr>
          <w:divsChild>
            <w:div w:id="1200050913">
              <w:marLeft w:val="0"/>
              <w:marRight w:val="0"/>
              <w:marTop w:val="0"/>
              <w:marBottom w:val="0"/>
              <w:divBdr>
                <w:top w:val="none" w:sz="0" w:space="0" w:color="auto"/>
                <w:left w:val="none" w:sz="0" w:space="0" w:color="auto"/>
                <w:bottom w:val="none" w:sz="0" w:space="0" w:color="auto"/>
                <w:right w:val="none" w:sz="0" w:space="0" w:color="auto"/>
              </w:divBdr>
            </w:div>
          </w:divsChild>
        </w:div>
        <w:div w:id="2048025092">
          <w:marLeft w:val="0"/>
          <w:marRight w:val="0"/>
          <w:marTop w:val="0"/>
          <w:marBottom w:val="0"/>
          <w:divBdr>
            <w:top w:val="none" w:sz="0" w:space="0" w:color="auto"/>
            <w:left w:val="none" w:sz="0" w:space="0" w:color="auto"/>
            <w:bottom w:val="none" w:sz="0" w:space="0" w:color="auto"/>
            <w:right w:val="none" w:sz="0" w:space="0" w:color="auto"/>
          </w:divBdr>
          <w:divsChild>
            <w:div w:id="186852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371828">
      <w:bodyDiv w:val="1"/>
      <w:marLeft w:val="0"/>
      <w:marRight w:val="0"/>
      <w:marTop w:val="0"/>
      <w:marBottom w:val="0"/>
      <w:divBdr>
        <w:top w:val="none" w:sz="0" w:space="0" w:color="auto"/>
        <w:left w:val="none" w:sz="0" w:space="0" w:color="auto"/>
        <w:bottom w:val="none" w:sz="0" w:space="0" w:color="auto"/>
        <w:right w:val="none" w:sz="0" w:space="0" w:color="auto"/>
      </w:divBdr>
    </w:div>
    <w:div w:id="737241566">
      <w:bodyDiv w:val="1"/>
      <w:marLeft w:val="0"/>
      <w:marRight w:val="0"/>
      <w:marTop w:val="0"/>
      <w:marBottom w:val="0"/>
      <w:divBdr>
        <w:top w:val="none" w:sz="0" w:space="0" w:color="auto"/>
        <w:left w:val="none" w:sz="0" w:space="0" w:color="auto"/>
        <w:bottom w:val="none" w:sz="0" w:space="0" w:color="auto"/>
        <w:right w:val="none" w:sz="0" w:space="0" w:color="auto"/>
      </w:divBdr>
    </w:div>
    <w:div w:id="745539644">
      <w:bodyDiv w:val="1"/>
      <w:marLeft w:val="0"/>
      <w:marRight w:val="0"/>
      <w:marTop w:val="0"/>
      <w:marBottom w:val="0"/>
      <w:divBdr>
        <w:top w:val="none" w:sz="0" w:space="0" w:color="auto"/>
        <w:left w:val="none" w:sz="0" w:space="0" w:color="auto"/>
        <w:bottom w:val="none" w:sz="0" w:space="0" w:color="auto"/>
        <w:right w:val="none" w:sz="0" w:space="0" w:color="auto"/>
      </w:divBdr>
    </w:div>
    <w:div w:id="753825017">
      <w:bodyDiv w:val="1"/>
      <w:marLeft w:val="0"/>
      <w:marRight w:val="0"/>
      <w:marTop w:val="0"/>
      <w:marBottom w:val="0"/>
      <w:divBdr>
        <w:top w:val="none" w:sz="0" w:space="0" w:color="auto"/>
        <w:left w:val="none" w:sz="0" w:space="0" w:color="auto"/>
        <w:bottom w:val="none" w:sz="0" w:space="0" w:color="auto"/>
        <w:right w:val="none" w:sz="0" w:space="0" w:color="auto"/>
      </w:divBdr>
    </w:div>
    <w:div w:id="757748218">
      <w:bodyDiv w:val="1"/>
      <w:marLeft w:val="0"/>
      <w:marRight w:val="0"/>
      <w:marTop w:val="0"/>
      <w:marBottom w:val="0"/>
      <w:divBdr>
        <w:top w:val="none" w:sz="0" w:space="0" w:color="auto"/>
        <w:left w:val="none" w:sz="0" w:space="0" w:color="auto"/>
        <w:bottom w:val="none" w:sz="0" w:space="0" w:color="auto"/>
        <w:right w:val="none" w:sz="0" w:space="0" w:color="auto"/>
      </w:divBdr>
    </w:div>
    <w:div w:id="759300850">
      <w:bodyDiv w:val="1"/>
      <w:marLeft w:val="0"/>
      <w:marRight w:val="0"/>
      <w:marTop w:val="0"/>
      <w:marBottom w:val="0"/>
      <w:divBdr>
        <w:top w:val="none" w:sz="0" w:space="0" w:color="auto"/>
        <w:left w:val="none" w:sz="0" w:space="0" w:color="auto"/>
        <w:bottom w:val="none" w:sz="0" w:space="0" w:color="auto"/>
        <w:right w:val="none" w:sz="0" w:space="0" w:color="auto"/>
      </w:divBdr>
    </w:div>
    <w:div w:id="763842833">
      <w:bodyDiv w:val="1"/>
      <w:marLeft w:val="0"/>
      <w:marRight w:val="0"/>
      <w:marTop w:val="0"/>
      <w:marBottom w:val="0"/>
      <w:divBdr>
        <w:top w:val="none" w:sz="0" w:space="0" w:color="auto"/>
        <w:left w:val="none" w:sz="0" w:space="0" w:color="auto"/>
        <w:bottom w:val="none" w:sz="0" w:space="0" w:color="auto"/>
        <w:right w:val="none" w:sz="0" w:space="0" w:color="auto"/>
      </w:divBdr>
    </w:div>
    <w:div w:id="765417439">
      <w:bodyDiv w:val="1"/>
      <w:marLeft w:val="0"/>
      <w:marRight w:val="0"/>
      <w:marTop w:val="0"/>
      <w:marBottom w:val="0"/>
      <w:divBdr>
        <w:top w:val="none" w:sz="0" w:space="0" w:color="auto"/>
        <w:left w:val="none" w:sz="0" w:space="0" w:color="auto"/>
        <w:bottom w:val="none" w:sz="0" w:space="0" w:color="auto"/>
        <w:right w:val="none" w:sz="0" w:space="0" w:color="auto"/>
      </w:divBdr>
    </w:div>
    <w:div w:id="780153596">
      <w:bodyDiv w:val="1"/>
      <w:marLeft w:val="0"/>
      <w:marRight w:val="0"/>
      <w:marTop w:val="0"/>
      <w:marBottom w:val="0"/>
      <w:divBdr>
        <w:top w:val="none" w:sz="0" w:space="0" w:color="auto"/>
        <w:left w:val="none" w:sz="0" w:space="0" w:color="auto"/>
        <w:bottom w:val="none" w:sz="0" w:space="0" w:color="auto"/>
        <w:right w:val="none" w:sz="0" w:space="0" w:color="auto"/>
      </w:divBdr>
    </w:div>
    <w:div w:id="796794397">
      <w:bodyDiv w:val="1"/>
      <w:marLeft w:val="0"/>
      <w:marRight w:val="0"/>
      <w:marTop w:val="0"/>
      <w:marBottom w:val="0"/>
      <w:divBdr>
        <w:top w:val="none" w:sz="0" w:space="0" w:color="auto"/>
        <w:left w:val="none" w:sz="0" w:space="0" w:color="auto"/>
        <w:bottom w:val="none" w:sz="0" w:space="0" w:color="auto"/>
        <w:right w:val="none" w:sz="0" w:space="0" w:color="auto"/>
      </w:divBdr>
    </w:div>
    <w:div w:id="798766986">
      <w:bodyDiv w:val="1"/>
      <w:marLeft w:val="0"/>
      <w:marRight w:val="0"/>
      <w:marTop w:val="0"/>
      <w:marBottom w:val="0"/>
      <w:divBdr>
        <w:top w:val="none" w:sz="0" w:space="0" w:color="auto"/>
        <w:left w:val="none" w:sz="0" w:space="0" w:color="auto"/>
        <w:bottom w:val="none" w:sz="0" w:space="0" w:color="auto"/>
        <w:right w:val="none" w:sz="0" w:space="0" w:color="auto"/>
      </w:divBdr>
    </w:div>
    <w:div w:id="813912243">
      <w:bodyDiv w:val="1"/>
      <w:marLeft w:val="0"/>
      <w:marRight w:val="0"/>
      <w:marTop w:val="0"/>
      <w:marBottom w:val="0"/>
      <w:divBdr>
        <w:top w:val="none" w:sz="0" w:space="0" w:color="auto"/>
        <w:left w:val="none" w:sz="0" w:space="0" w:color="auto"/>
        <w:bottom w:val="none" w:sz="0" w:space="0" w:color="auto"/>
        <w:right w:val="none" w:sz="0" w:space="0" w:color="auto"/>
      </w:divBdr>
    </w:div>
    <w:div w:id="834344255">
      <w:bodyDiv w:val="1"/>
      <w:marLeft w:val="0"/>
      <w:marRight w:val="0"/>
      <w:marTop w:val="0"/>
      <w:marBottom w:val="0"/>
      <w:divBdr>
        <w:top w:val="none" w:sz="0" w:space="0" w:color="auto"/>
        <w:left w:val="none" w:sz="0" w:space="0" w:color="auto"/>
        <w:bottom w:val="none" w:sz="0" w:space="0" w:color="auto"/>
        <w:right w:val="none" w:sz="0" w:space="0" w:color="auto"/>
      </w:divBdr>
    </w:div>
    <w:div w:id="842284715">
      <w:bodyDiv w:val="1"/>
      <w:marLeft w:val="0"/>
      <w:marRight w:val="0"/>
      <w:marTop w:val="0"/>
      <w:marBottom w:val="0"/>
      <w:divBdr>
        <w:top w:val="none" w:sz="0" w:space="0" w:color="auto"/>
        <w:left w:val="none" w:sz="0" w:space="0" w:color="auto"/>
        <w:bottom w:val="none" w:sz="0" w:space="0" w:color="auto"/>
        <w:right w:val="none" w:sz="0" w:space="0" w:color="auto"/>
      </w:divBdr>
      <w:divsChild>
        <w:div w:id="349067144">
          <w:marLeft w:val="547"/>
          <w:marRight w:val="0"/>
          <w:marTop w:val="200"/>
          <w:marBottom w:val="0"/>
          <w:divBdr>
            <w:top w:val="none" w:sz="0" w:space="0" w:color="auto"/>
            <w:left w:val="none" w:sz="0" w:space="0" w:color="auto"/>
            <w:bottom w:val="none" w:sz="0" w:space="0" w:color="auto"/>
            <w:right w:val="none" w:sz="0" w:space="0" w:color="auto"/>
          </w:divBdr>
        </w:div>
        <w:div w:id="1522888540">
          <w:marLeft w:val="547"/>
          <w:marRight w:val="0"/>
          <w:marTop w:val="200"/>
          <w:marBottom w:val="0"/>
          <w:divBdr>
            <w:top w:val="none" w:sz="0" w:space="0" w:color="auto"/>
            <w:left w:val="none" w:sz="0" w:space="0" w:color="auto"/>
            <w:bottom w:val="none" w:sz="0" w:space="0" w:color="auto"/>
            <w:right w:val="none" w:sz="0" w:space="0" w:color="auto"/>
          </w:divBdr>
        </w:div>
        <w:div w:id="524951736">
          <w:marLeft w:val="547"/>
          <w:marRight w:val="0"/>
          <w:marTop w:val="200"/>
          <w:marBottom w:val="0"/>
          <w:divBdr>
            <w:top w:val="none" w:sz="0" w:space="0" w:color="auto"/>
            <w:left w:val="none" w:sz="0" w:space="0" w:color="auto"/>
            <w:bottom w:val="none" w:sz="0" w:space="0" w:color="auto"/>
            <w:right w:val="none" w:sz="0" w:space="0" w:color="auto"/>
          </w:divBdr>
        </w:div>
        <w:div w:id="80570608">
          <w:marLeft w:val="547"/>
          <w:marRight w:val="0"/>
          <w:marTop w:val="200"/>
          <w:marBottom w:val="0"/>
          <w:divBdr>
            <w:top w:val="none" w:sz="0" w:space="0" w:color="auto"/>
            <w:left w:val="none" w:sz="0" w:space="0" w:color="auto"/>
            <w:bottom w:val="none" w:sz="0" w:space="0" w:color="auto"/>
            <w:right w:val="none" w:sz="0" w:space="0" w:color="auto"/>
          </w:divBdr>
        </w:div>
        <w:div w:id="154541429">
          <w:marLeft w:val="547"/>
          <w:marRight w:val="0"/>
          <w:marTop w:val="200"/>
          <w:marBottom w:val="160"/>
          <w:divBdr>
            <w:top w:val="none" w:sz="0" w:space="0" w:color="auto"/>
            <w:left w:val="none" w:sz="0" w:space="0" w:color="auto"/>
            <w:bottom w:val="none" w:sz="0" w:space="0" w:color="auto"/>
            <w:right w:val="none" w:sz="0" w:space="0" w:color="auto"/>
          </w:divBdr>
        </w:div>
        <w:div w:id="1905482546">
          <w:marLeft w:val="547"/>
          <w:marRight w:val="0"/>
          <w:marTop w:val="200"/>
          <w:marBottom w:val="160"/>
          <w:divBdr>
            <w:top w:val="none" w:sz="0" w:space="0" w:color="auto"/>
            <w:left w:val="none" w:sz="0" w:space="0" w:color="auto"/>
            <w:bottom w:val="none" w:sz="0" w:space="0" w:color="auto"/>
            <w:right w:val="none" w:sz="0" w:space="0" w:color="auto"/>
          </w:divBdr>
        </w:div>
      </w:divsChild>
    </w:div>
    <w:div w:id="847792233">
      <w:bodyDiv w:val="1"/>
      <w:marLeft w:val="0"/>
      <w:marRight w:val="0"/>
      <w:marTop w:val="0"/>
      <w:marBottom w:val="0"/>
      <w:divBdr>
        <w:top w:val="none" w:sz="0" w:space="0" w:color="auto"/>
        <w:left w:val="none" w:sz="0" w:space="0" w:color="auto"/>
        <w:bottom w:val="none" w:sz="0" w:space="0" w:color="auto"/>
        <w:right w:val="none" w:sz="0" w:space="0" w:color="auto"/>
      </w:divBdr>
      <w:divsChild>
        <w:div w:id="1634099525">
          <w:marLeft w:val="0"/>
          <w:marRight w:val="0"/>
          <w:marTop w:val="0"/>
          <w:marBottom w:val="0"/>
          <w:divBdr>
            <w:top w:val="none" w:sz="0" w:space="0" w:color="auto"/>
            <w:left w:val="none" w:sz="0" w:space="0" w:color="auto"/>
            <w:bottom w:val="none" w:sz="0" w:space="0" w:color="auto"/>
            <w:right w:val="none" w:sz="0" w:space="0" w:color="auto"/>
          </w:divBdr>
          <w:divsChild>
            <w:div w:id="865555778">
              <w:marLeft w:val="0"/>
              <w:marRight w:val="0"/>
              <w:marTop w:val="0"/>
              <w:marBottom w:val="0"/>
              <w:divBdr>
                <w:top w:val="none" w:sz="0" w:space="0" w:color="auto"/>
                <w:left w:val="none" w:sz="0" w:space="0" w:color="auto"/>
                <w:bottom w:val="none" w:sz="0" w:space="0" w:color="auto"/>
                <w:right w:val="none" w:sz="0" w:space="0" w:color="auto"/>
              </w:divBdr>
              <w:divsChild>
                <w:div w:id="21364851">
                  <w:marLeft w:val="0"/>
                  <w:marRight w:val="0"/>
                  <w:marTop w:val="0"/>
                  <w:marBottom w:val="0"/>
                  <w:divBdr>
                    <w:top w:val="none" w:sz="0" w:space="0" w:color="auto"/>
                    <w:left w:val="none" w:sz="0" w:space="0" w:color="auto"/>
                    <w:bottom w:val="none" w:sz="0" w:space="0" w:color="auto"/>
                    <w:right w:val="none" w:sz="0" w:space="0" w:color="auto"/>
                  </w:divBdr>
                  <w:divsChild>
                    <w:div w:id="239558743">
                      <w:marLeft w:val="0"/>
                      <w:marRight w:val="0"/>
                      <w:marTop w:val="0"/>
                      <w:marBottom w:val="0"/>
                      <w:divBdr>
                        <w:top w:val="none" w:sz="0" w:space="0" w:color="auto"/>
                        <w:left w:val="none" w:sz="0" w:space="0" w:color="auto"/>
                        <w:bottom w:val="none" w:sz="0" w:space="0" w:color="auto"/>
                        <w:right w:val="none" w:sz="0" w:space="0" w:color="auto"/>
                      </w:divBdr>
                      <w:divsChild>
                        <w:div w:id="1696880743">
                          <w:marLeft w:val="0"/>
                          <w:marRight w:val="0"/>
                          <w:marTop w:val="0"/>
                          <w:marBottom w:val="0"/>
                          <w:divBdr>
                            <w:top w:val="none" w:sz="0" w:space="0" w:color="auto"/>
                            <w:left w:val="none" w:sz="0" w:space="0" w:color="auto"/>
                            <w:bottom w:val="none" w:sz="0" w:space="0" w:color="auto"/>
                            <w:right w:val="none" w:sz="0" w:space="0" w:color="auto"/>
                          </w:divBdr>
                          <w:divsChild>
                            <w:div w:id="41073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761875">
      <w:bodyDiv w:val="1"/>
      <w:marLeft w:val="0"/>
      <w:marRight w:val="0"/>
      <w:marTop w:val="0"/>
      <w:marBottom w:val="0"/>
      <w:divBdr>
        <w:top w:val="none" w:sz="0" w:space="0" w:color="auto"/>
        <w:left w:val="none" w:sz="0" w:space="0" w:color="auto"/>
        <w:bottom w:val="none" w:sz="0" w:space="0" w:color="auto"/>
        <w:right w:val="none" w:sz="0" w:space="0" w:color="auto"/>
      </w:divBdr>
    </w:div>
    <w:div w:id="859199426">
      <w:bodyDiv w:val="1"/>
      <w:marLeft w:val="0"/>
      <w:marRight w:val="0"/>
      <w:marTop w:val="0"/>
      <w:marBottom w:val="0"/>
      <w:divBdr>
        <w:top w:val="none" w:sz="0" w:space="0" w:color="auto"/>
        <w:left w:val="none" w:sz="0" w:space="0" w:color="auto"/>
        <w:bottom w:val="none" w:sz="0" w:space="0" w:color="auto"/>
        <w:right w:val="none" w:sz="0" w:space="0" w:color="auto"/>
      </w:divBdr>
    </w:div>
    <w:div w:id="860820949">
      <w:bodyDiv w:val="1"/>
      <w:marLeft w:val="0"/>
      <w:marRight w:val="0"/>
      <w:marTop w:val="0"/>
      <w:marBottom w:val="0"/>
      <w:divBdr>
        <w:top w:val="none" w:sz="0" w:space="0" w:color="auto"/>
        <w:left w:val="none" w:sz="0" w:space="0" w:color="auto"/>
        <w:bottom w:val="none" w:sz="0" w:space="0" w:color="auto"/>
        <w:right w:val="none" w:sz="0" w:space="0" w:color="auto"/>
      </w:divBdr>
    </w:div>
    <w:div w:id="863133534">
      <w:bodyDiv w:val="1"/>
      <w:marLeft w:val="0"/>
      <w:marRight w:val="0"/>
      <w:marTop w:val="0"/>
      <w:marBottom w:val="0"/>
      <w:divBdr>
        <w:top w:val="none" w:sz="0" w:space="0" w:color="auto"/>
        <w:left w:val="none" w:sz="0" w:space="0" w:color="auto"/>
        <w:bottom w:val="none" w:sz="0" w:space="0" w:color="auto"/>
        <w:right w:val="none" w:sz="0" w:space="0" w:color="auto"/>
      </w:divBdr>
    </w:div>
    <w:div w:id="865098021">
      <w:bodyDiv w:val="1"/>
      <w:marLeft w:val="0"/>
      <w:marRight w:val="0"/>
      <w:marTop w:val="0"/>
      <w:marBottom w:val="0"/>
      <w:divBdr>
        <w:top w:val="none" w:sz="0" w:space="0" w:color="auto"/>
        <w:left w:val="none" w:sz="0" w:space="0" w:color="auto"/>
        <w:bottom w:val="none" w:sz="0" w:space="0" w:color="auto"/>
        <w:right w:val="none" w:sz="0" w:space="0" w:color="auto"/>
      </w:divBdr>
    </w:div>
    <w:div w:id="871841437">
      <w:bodyDiv w:val="1"/>
      <w:marLeft w:val="0"/>
      <w:marRight w:val="0"/>
      <w:marTop w:val="0"/>
      <w:marBottom w:val="0"/>
      <w:divBdr>
        <w:top w:val="none" w:sz="0" w:space="0" w:color="auto"/>
        <w:left w:val="none" w:sz="0" w:space="0" w:color="auto"/>
        <w:bottom w:val="none" w:sz="0" w:space="0" w:color="auto"/>
        <w:right w:val="none" w:sz="0" w:space="0" w:color="auto"/>
      </w:divBdr>
    </w:div>
    <w:div w:id="871891348">
      <w:bodyDiv w:val="1"/>
      <w:marLeft w:val="0"/>
      <w:marRight w:val="0"/>
      <w:marTop w:val="0"/>
      <w:marBottom w:val="0"/>
      <w:divBdr>
        <w:top w:val="none" w:sz="0" w:space="0" w:color="auto"/>
        <w:left w:val="none" w:sz="0" w:space="0" w:color="auto"/>
        <w:bottom w:val="none" w:sz="0" w:space="0" w:color="auto"/>
        <w:right w:val="none" w:sz="0" w:space="0" w:color="auto"/>
      </w:divBdr>
    </w:div>
    <w:div w:id="882139498">
      <w:bodyDiv w:val="1"/>
      <w:marLeft w:val="0"/>
      <w:marRight w:val="0"/>
      <w:marTop w:val="0"/>
      <w:marBottom w:val="0"/>
      <w:divBdr>
        <w:top w:val="none" w:sz="0" w:space="0" w:color="auto"/>
        <w:left w:val="none" w:sz="0" w:space="0" w:color="auto"/>
        <w:bottom w:val="none" w:sz="0" w:space="0" w:color="auto"/>
        <w:right w:val="none" w:sz="0" w:space="0" w:color="auto"/>
      </w:divBdr>
    </w:div>
    <w:div w:id="883368254">
      <w:bodyDiv w:val="1"/>
      <w:marLeft w:val="0"/>
      <w:marRight w:val="0"/>
      <w:marTop w:val="0"/>
      <w:marBottom w:val="0"/>
      <w:divBdr>
        <w:top w:val="none" w:sz="0" w:space="0" w:color="auto"/>
        <w:left w:val="none" w:sz="0" w:space="0" w:color="auto"/>
        <w:bottom w:val="none" w:sz="0" w:space="0" w:color="auto"/>
        <w:right w:val="none" w:sz="0" w:space="0" w:color="auto"/>
      </w:divBdr>
    </w:div>
    <w:div w:id="890388454">
      <w:bodyDiv w:val="1"/>
      <w:marLeft w:val="0"/>
      <w:marRight w:val="0"/>
      <w:marTop w:val="0"/>
      <w:marBottom w:val="0"/>
      <w:divBdr>
        <w:top w:val="none" w:sz="0" w:space="0" w:color="auto"/>
        <w:left w:val="none" w:sz="0" w:space="0" w:color="auto"/>
        <w:bottom w:val="none" w:sz="0" w:space="0" w:color="auto"/>
        <w:right w:val="none" w:sz="0" w:space="0" w:color="auto"/>
      </w:divBdr>
    </w:div>
    <w:div w:id="893614799">
      <w:bodyDiv w:val="1"/>
      <w:marLeft w:val="0"/>
      <w:marRight w:val="0"/>
      <w:marTop w:val="0"/>
      <w:marBottom w:val="0"/>
      <w:divBdr>
        <w:top w:val="none" w:sz="0" w:space="0" w:color="auto"/>
        <w:left w:val="none" w:sz="0" w:space="0" w:color="auto"/>
        <w:bottom w:val="none" w:sz="0" w:space="0" w:color="auto"/>
        <w:right w:val="none" w:sz="0" w:space="0" w:color="auto"/>
      </w:divBdr>
    </w:div>
    <w:div w:id="902106772">
      <w:bodyDiv w:val="1"/>
      <w:marLeft w:val="0"/>
      <w:marRight w:val="0"/>
      <w:marTop w:val="0"/>
      <w:marBottom w:val="0"/>
      <w:divBdr>
        <w:top w:val="none" w:sz="0" w:space="0" w:color="auto"/>
        <w:left w:val="none" w:sz="0" w:space="0" w:color="auto"/>
        <w:bottom w:val="none" w:sz="0" w:space="0" w:color="auto"/>
        <w:right w:val="none" w:sz="0" w:space="0" w:color="auto"/>
      </w:divBdr>
    </w:div>
    <w:div w:id="906889198">
      <w:bodyDiv w:val="1"/>
      <w:marLeft w:val="0"/>
      <w:marRight w:val="0"/>
      <w:marTop w:val="0"/>
      <w:marBottom w:val="0"/>
      <w:divBdr>
        <w:top w:val="none" w:sz="0" w:space="0" w:color="auto"/>
        <w:left w:val="none" w:sz="0" w:space="0" w:color="auto"/>
        <w:bottom w:val="none" w:sz="0" w:space="0" w:color="auto"/>
        <w:right w:val="none" w:sz="0" w:space="0" w:color="auto"/>
      </w:divBdr>
    </w:div>
    <w:div w:id="907181493">
      <w:bodyDiv w:val="1"/>
      <w:marLeft w:val="0"/>
      <w:marRight w:val="0"/>
      <w:marTop w:val="0"/>
      <w:marBottom w:val="0"/>
      <w:divBdr>
        <w:top w:val="none" w:sz="0" w:space="0" w:color="auto"/>
        <w:left w:val="none" w:sz="0" w:space="0" w:color="auto"/>
        <w:bottom w:val="none" w:sz="0" w:space="0" w:color="auto"/>
        <w:right w:val="none" w:sz="0" w:space="0" w:color="auto"/>
      </w:divBdr>
    </w:div>
    <w:div w:id="923025554">
      <w:marLeft w:val="0"/>
      <w:marRight w:val="0"/>
      <w:marTop w:val="0"/>
      <w:marBottom w:val="0"/>
      <w:divBdr>
        <w:top w:val="none" w:sz="0" w:space="0" w:color="auto"/>
        <w:left w:val="none" w:sz="0" w:space="0" w:color="auto"/>
        <w:bottom w:val="none" w:sz="0" w:space="0" w:color="auto"/>
        <w:right w:val="none" w:sz="0" w:space="0" w:color="auto"/>
      </w:divBdr>
      <w:divsChild>
        <w:div w:id="993795726">
          <w:marLeft w:val="0"/>
          <w:marRight w:val="0"/>
          <w:marTop w:val="0"/>
          <w:marBottom w:val="0"/>
          <w:divBdr>
            <w:top w:val="none" w:sz="0" w:space="0" w:color="auto"/>
            <w:left w:val="none" w:sz="0" w:space="0" w:color="auto"/>
            <w:bottom w:val="none" w:sz="0" w:space="0" w:color="auto"/>
            <w:right w:val="none" w:sz="0" w:space="0" w:color="auto"/>
          </w:divBdr>
        </w:div>
      </w:divsChild>
    </w:div>
    <w:div w:id="923027055">
      <w:bodyDiv w:val="1"/>
      <w:marLeft w:val="0"/>
      <w:marRight w:val="0"/>
      <w:marTop w:val="0"/>
      <w:marBottom w:val="0"/>
      <w:divBdr>
        <w:top w:val="none" w:sz="0" w:space="0" w:color="auto"/>
        <w:left w:val="none" w:sz="0" w:space="0" w:color="auto"/>
        <w:bottom w:val="none" w:sz="0" w:space="0" w:color="auto"/>
        <w:right w:val="none" w:sz="0" w:space="0" w:color="auto"/>
      </w:divBdr>
    </w:div>
    <w:div w:id="940915478">
      <w:bodyDiv w:val="1"/>
      <w:marLeft w:val="0"/>
      <w:marRight w:val="0"/>
      <w:marTop w:val="0"/>
      <w:marBottom w:val="0"/>
      <w:divBdr>
        <w:top w:val="none" w:sz="0" w:space="0" w:color="auto"/>
        <w:left w:val="none" w:sz="0" w:space="0" w:color="auto"/>
        <w:bottom w:val="none" w:sz="0" w:space="0" w:color="auto"/>
        <w:right w:val="none" w:sz="0" w:space="0" w:color="auto"/>
      </w:divBdr>
    </w:div>
    <w:div w:id="948782711">
      <w:bodyDiv w:val="1"/>
      <w:marLeft w:val="0"/>
      <w:marRight w:val="0"/>
      <w:marTop w:val="0"/>
      <w:marBottom w:val="0"/>
      <w:divBdr>
        <w:top w:val="none" w:sz="0" w:space="0" w:color="auto"/>
        <w:left w:val="none" w:sz="0" w:space="0" w:color="auto"/>
        <w:bottom w:val="none" w:sz="0" w:space="0" w:color="auto"/>
        <w:right w:val="none" w:sz="0" w:space="0" w:color="auto"/>
      </w:divBdr>
    </w:div>
    <w:div w:id="953244348">
      <w:bodyDiv w:val="1"/>
      <w:marLeft w:val="0"/>
      <w:marRight w:val="0"/>
      <w:marTop w:val="0"/>
      <w:marBottom w:val="0"/>
      <w:divBdr>
        <w:top w:val="none" w:sz="0" w:space="0" w:color="auto"/>
        <w:left w:val="none" w:sz="0" w:space="0" w:color="auto"/>
        <w:bottom w:val="none" w:sz="0" w:space="0" w:color="auto"/>
        <w:right w:val="none" w:sz="0" w:space="0" w:color="auto"/>
      </w:divBdr>
    </w:div>
    <w:div w:id="955985908">
      <w:bodyDiv w:val="1"/>
      <w:marLeft w:val="0"/>
      <w:marRight w:val="0"/>
      <w:marTop w:val="0"/>
      <w:marBottom w:val="0"/>
      <w:divBdr>
        <w:top w:val="none" w:sz="0" w:space="0" w:color="auto"/>
        <w:left w:val="none" w:sz="0" w:space="0" w:color="auto"/>
        <w:bottom w:val="none" w:sz="0" w:space="0" w:color="auto"/>
        <w:right w:val="none" w:sz="0" w:space="0" w:color="auto"/>
      </w:divBdr>
    </w:div>
    <w:div w:id="956713055">
      <w:bodyDiv w:val="1"/>
      <w:marLeft w:val="0"/>
      <w:marRight w:val="0"/>
      <w:marTop w:val="0"/>
      <w:marBottom w:val="0"/>
      <w:divBdr>
        <w:top w:val="none" w:sz="0" w:space="0" w:color="auto"/>
        <w:left w:val="none" w:sz="0" w:space="0" w:color="auto"/>
        <w:bottom w:val="none" w:sz="0" w:space="0" w:color="auto"/>
        <w:right w:val="none" w:sz="0" w:space="0" w:color="auto"/>
      </w:divBdr>
    </w:div>
    <w:div w:id="959260978">
      <w:bodyDiv w:val="1"/>
      <w:marLeft w:val="0"/>
      <w:marRight w:val="0"/>
      <w:marTop w:val="0"/>
      <w:marBottom w:val="0"/>
      <w:divBdr>
        <w:top w:val="none" w:sz="0" w:space="0" w:color="auto"/>
        <w:left w:val="none" w:sz="0" w:space="0" w:color="auto"/>
        <w:bottom w:val="none" w:sz="0" w:space="0" w:color="auto"/>
        <w:right w:val="none" w:sz="0" w:space="0" w:color="auto"/>
      </w:divBdr>
    </w:div>
    <w:div w:id="959265862">
      <w:bodyDiv w:val="1"/>
      <w:marLeft w:val="0"/>
      <w:marRight w:val="0"/>
      <w:marTop w:val="0"/>
      <w:marBottom w:val="0"/>
      <w:divBdr>
        <w:top w:val="none" w:sz="0" w:space="0" w:color="auto"/>
        <w:left w:val="none" w:sz="0" w:space="0" w:color="auto"/>
        <w:bottom w:val="none" w:sz="0" w:space="0" w:color="auto"/>
        <w:right w:val="none" w:sz="0" w:space="0" w:color="auto"/>
      </w:divBdr>
    </w:div>
    <w:div w:id="960721266">
      <w:bodyDiv w:val="1"/>
      <w:marLeft w:val="0"/>
      <w:marRight w:val="0"/>
      <w:marTop w:val="0"/>
      <w:marBottom w:val="0"/>
      <w:divBdr>
        <w:top w:val="none" w:sz="0" w:space="0" w:color="auto"/>
        <w:left w:val="none" w:sz="0" w:space="0" w:color="auto"/>
        <w:bottom w:val="none" w:sz="0" w:space="0" w:color="auto"/>
        <w:right w:val="none" w:sz="0" w:space="0" w:color="auto"/>
      </w:divBdr>
    </w:div>
    <w:div w:id="963275081">
      <w:bodyDiv w:val="1"/>
      <w:marLeft w:val="0"/>
      <w:marRight w:val="0"/>
      <w:marTop w:val="0"/>
      <w:marBottom w:val="0"/>
      <w:divBdr>
        <w:top w:val="none" w:sz="0" w:space="0" w:color="auto"/>
        <w:left w:val="none" w:sz="0" w:space="0" w:color="auto"/>
        <w:bottom w:val="none" w:sz="0" w:space="0" w:color="auto"/>
        <w:right w:val="none" w:sz="0" w:space="0" w:color="auto"/>
      </w:divBdr>
    </w:div>
    <w:div w:id="971524823">
      <w:bodyDiv w:val="1"/>
      <w:marLeft w:val="0"/>
      <w:marRight w:val="0"/>
      <w:marTop w:val="0"/>
      <w:marBottom w:val="0"/>
      <w:divBdr>
        <w:top w:val="none" w:sz="0" w:space="0" w:color="auto"/>
        <w:left w:val="none" w:sz="0" w:space="0" w:color="auto"/>
        <w:bottom w:val="none" w:sz="0" w:space="0" w:color="auto"/>
        <w:right w:val="none" w:sz="0" w:space="0" w:color="auto"/>
      </w:divBdr>
    </w:div>
    <w:div w:id="973095031">
      <w:bodyDiv w:val="1"/>
      <w:marLeft w:val="0"/>
      <w:marRight w:val="0"/>
      <w:marTop w:val="0"/>
      <w:marBottom w:val="0"/>
      <w:divBdr>
        <w:top w:val="none" w:sz="0" w:space="0" w:color="auto"/>
        <w:left w:val="none" w:sz="0" w:space="0" w:color="auto"/>
        <w:bottom w:val="none" w:sz="0" w:space="0" w:color="auto"/>
        <w:right w:val="none" w:sz="0" w:space="0" w:color="auto"/>
      </w:divBdr>
    </w:div>
    <w:div w:id="977228891">
      <w:bodyDiv w:val="1"/>
      <w:marLeft w:val="0"/>
      <w:marRight w:val="0"/>
      <w:marTop w:val="0"/>
      <w:marBottom w:val="0"/>
      <w:divBdr>
        <w:top w:val="none" w:sz="0" w:space="0" w:color="auto"/>
        <w:left w:val="none" w:sz="0" w:space="0" w:color="auto"/>
        <w:bottom w:val="none" w:sz="0" w:space="0" w:color="auto"/>
        <w:right w:val="none" w:sz="0" w:space="0" w:color="auto"/>
      </w:divBdr>
    </w:div>
    <w:div w:id="980889432">
      <w:bodyDiv w:val="1"/>
      <w:marLeft w:val="0"/>
      <w:marRight w:val="0"/>
      <w:marTop w:val="0"/>
      <w:marBottom w:val="0"/>
      <w:divBdr>
        <w:top w:val="none" w:sz="0" w:space="0" w:color="auto"/>
        <w:left w:val="none" w:sz="0" w:space="0" w:color="auto"/>
        <w:bottom w:val="none" w:sz="0" w:space="0" w:color="auto"/>
        <w:right w:val="none" w:sz="0" w:space="0" w:color="auto"/>
      </w:divBdr>
    </w:div>
    <w:div w:id="982343651">
      <w:bodyDiv w:val="1"/>
      <w:marLeft w:val="0"/>
      <w:marRight w:val="0"/>
      <w:marTop w:val="0"/>
      <w:marBottom w:val="0"/>
      <w:divBdr>
        <w:top w:val="none" w:sz="0" w:space="0" w:color="auto"/>
        <w:left w:val="none" w:sz="0" w:space="0" w:color="auto"/>
        <w:bottom w:val="none" w:sz="0" w:space="0" w:color="auto"/>
        <w:right w:val="none" w:sz="0" w:space="0" w:color="auto"/>
      </w:divBdr>
      <w:divsChild>
        <w:div w:id="1574466152">
          <w:marLeft w:val="0"/>
          <w:marRight w:val="0"/>
          <w:marTop w:val="0"/>
          <w:marBottom w:val="0"/>
          <w:divBdr>
            <w:top w:val="none" w:sz="0" w:space="0" w:color="auto"/>
            <w:left w:val="none" w:sz="0" w:space="0" w:color="auto"/>
            <w:bottom w:val="none" w:sz="0" w:space="0" w:color="auto"/>
            <w:right w:val="none" w:sz="0" w:space="0" w:color="auto"/>
          </w:divBdr>
        </w:div>
      </w:divsChild>
    </w:div>
    <w:div w:id="983774479">
      <w:bodyDiv w:val="1"/>
      <w:marLeft w:val="0"/>
      <w:marRight w:val="0"/>
      <w:marTop w:val="0"/>
      <w:marBottom w:val="0"/>
      <w:divBdr>
        <w:top w:val="none" w:sz="0" w:space="0" w:color="auto"/>
        <w:left w:val="none" w:sz="0" w:space="0" w:color="auto"/>
        <w:bottom w:val="none" w:sz="0" w:space="0" w:color="auto"/>
        <w:right w:val="none" w:sz="0" w:space="0" w:color="auto"/>
      </w:divBdr>
    </w:div>
    <w:div w:id="987436535">
      <w:bodyDiv w:val="1"/>
      <w:marLeft w:val="0"/>
      <w:marRight w:val="0"/>
      <w:marTop w:val="0"/>
      <w:marBottom w:val="0"/>
      <w:divBdr>
        <w:top w:val="none" w:sz="0" w:space="0" w:color="auto"/>
        <w:left w:val="none" w:sz="0" w:space="0" w:color="auto"/>
        <w:bottom w:val="none" w:sz="0" w:space="0" w:color="auto"/>
        <w:right w:val="none" w:sz="0" w:space="0" w:color="auto"/>
      </w:divBdr>
    </w:div>
    <w:div w:id="989208062">
      <w:bodyDiv w:val="1"/>
      <w:marLeft w:val="0"/>
      <w:marRight w:val="0"/>
      <w:marTop w:val="0"/>
      <w:marBottom w:val="0"/>
      <w:divBdr>
        <w:top w:val="none" w:sz="0" w:space="0" w:color="auto"/>
        <w:left w:val="none" w:sz="0" w:space="0" w:color="auto"/>
        <w:bottom w:val="none" w:sz="0" w:space="0" w:color="auto"/>
        <w:right w:val="none" w:sz="0" w:space="0" w:color="auto"/>
      </w:divBdr>
    </w:div>
    <w:div w:id="999387169">
      <w:bodyDiv w:val="1"/>
      <w:marLeft w:val="0"/>
      <w:marRight w:val="0"/>
      <w:marTop w:val="0"/>
      <w:marBottom w:val="0"/>
      <w:divBdr>
        <w:top w:val="none" w:sz="0" w:space="0" w:color="auto"/>
        <w:left w:val="none" w:sz="0" w:space="0" w:color="auto"/>
        <w:bottom w:val="none" w:sz="0" w:space="0" w:color="auto"/>
        <w:right w:val="none" w:sz="0" w:space="0" w:color="auto"/>
      </w:divBdr>
    </w:div>
    <w:div w:id="1001784896">
      <w:bodyDiv w:val="1"/>
      <w:marLeft w:val="0"/>
      <w:marRight w:val="0"/>
      <w:marTop w:val="0"/>
      <w:marBottom w:val="0"/>
      <w:divBdr>
        <w:top w:val="none" w:sz="0" w:space="0" w:color="auto"/>
        <w:left w:val="none" w:sz="0" w:space="0" w:color="auto"/>
        <w:bottom w:val="none" w:sz="0" w:space="0" w:color="auto"/>
        <w:right w:val="none" w:sz="0" w:space="0" w:color="auto"/>
      </w:divBdr>
    </w:div>
    <w:div w:id="1002317816">
      <w:bodyDiv w:val="1"/>
      <w:marLeft w:val="0"/>
      <w:marRight w:val="0"/>
      <w:marTop w:val="0"/>
      <w:marBottom w:val="0"/>
      <w:divBdr>
        <w:top w:val="none" w:sz="0" w:space="0" w:color="auto"/>
        <w:left w:val="none" w:sz="0" w:space="0" w:color="auto"/>
        <w:bottom w:val="none" w:sz="0" w:space="0" w:color="auto"/>
        <w:right w:val="none" w:sz="0" w:space="0" w:color="auto"/>
      </w:divBdr>
    </w:div>
    <w:div w:id="1005398346">
      <w:bodyDiv w:val="1"/>
      <w:marLeft w:val="0"/>
      <w:marRight w:val="0"/>
      <w:marTop w:val="0"/>
      <w:marBottom w:val="0"/>
      <w:divBdr>
        <w:top w:val="none" w:sz="0" w:space="0" w:color="auto"/>
        <w:left w:val="none" w:sz="0" w:space="0" w:color="auto"/>
        <w:bottom w:val="none" w:sz="0" w:space="0" w:color="auto"/>
        <w:right w:val="none" w:sz="0" w:space="0" w:color="auto"/>
      </w:divBdr>
    </w:div>
    <w:div w:id="1015695881">
      <w:bodyDiv w:val="1"/>
      <w:marLeft w:val="0"/>
      <w:marRight w:val="0"/>
      <w:marTop w:val="0"/>
      <w:marBottom w:val="0"/>
      <w:divBdr>
        <w:top w:val="none" w:sz="0" w:space="0" w:color="auto"/>
        <w:left w:val="none" w:sz="0" w:space="0" w:color="auto"/>
        <w:bottom w:val="none" w:sz="0" w:space="0" w:color="auto"/>
        <w:right w:val="none" w:sz="0" w:space="0" w:color="auto"/>
      </w:divBdr>
    </w:div>
    <w:div w:id="1020207413">
      <w:bodyDiv w:val="1"/>
      <w:marLeft w:val="0"/>
      <w:marRight w:val="0"/>
      <w:marTop w:val="0"/>
      <w:marBottom w:val="0"/>
      <w:divBdr>
        <w:top w:val="none" w:sz="0" w:space="0" w:color="auto"/>
        <w:left w:val="none" w:sz="0" w:space="0" w:color="auto"/>
        <w:bottom w:val="none" w:sz="0" w:space="0" w:color="auto"/>
        <w:right w:val="none" w:sz="0" w:space="0" w:color="auto"/>
      </w:divBdr>
    </w:div>
    <w:div w:id="1021738745">
      <w:bodyDiv w:val="1"/>
      <w:marLeft w:val="0"/>
      <w:marRight w:val="0"/>
      <w:marTop w:val="0"/>
      <w:marBottom w:val="0"/>
      <w:divBdr>
        <w:top w:val="none" w:sz="0" w:space="0" w:color="auto"/>
        <w:left w:val="none" w:sz="0" w:space="0" w:color="auto"/>
        <w:bottom w:val="none" w:sz="0" w:space="0" w:color="auto"/>
        <w:right w:val="none" w:sz="0" w:space="0" w:color="auto"/>
      </w:divBdr>
    </w:div>
    <w:div w:id="1025252665">
      <w:bodyDiv w:val="1"/>
      <w:marLeft w:val="0"/>
      <w:marRight w:val="0"/>
      <w:marTop w:val="0"/>
      <w:marBottom w:val="0"/>
      <w:divBdr>
        <w:top w:val="none" w:sz="0" w:space="0" w:color="auto"/>
        <w:left w:val="none" w:sz="0" w:space="0" w:color="auto"/>
        <w:bottom w:val="none" w:sz="0" w:space="0" w:color="auto"/>
        <w:right w:val="none" w:sz="0" w:space="0" w:color="auto"/>
      </w:divBdr>
    </w:div>
    <w:div w:id="1026248434">
      <w:bodyDiv w:val="1"/>
      <w:marLeft w:val="0"/>
      <w:marRight w:val="0"/>
      <w:marTop w:val="0"/>
      <w:marBottom w:val="0"/>
      <w:divBdr>
        <w:top w:val="none" w:sz="0" w:space="0" w:color="auto"/>
        <w:left w:val="none" w:sz="0" w:space="0" w:color="auto"/>
        <w:bottom w:val="none" w:sz="0" w:space="0" w:color="auto"/>
        <w:right w:val="none" w:sz="0" w:space="0" w:color="auto"/>
      </w:divBdr>
      <w:divsChild>
        <w:div w:id="930744553">
          <w:marLeft w:val="0"/>
          <w:marRight w:val="0"/>
          <w:marTop w:val="0"/>
          <w:marBottom w:val="0"/>
          <w:divBdr>
            <w:top w:val="none" w:sz="0" w:space="0" w:color="auto"/>
            <w:left w:val="none" w:sz="0" w:space="0" w:color="auto"/>
            <w:bottom w:val="none" w:sz="0" w:space="0" w:color="auto"/>
            <w:right w:val="none" w:sz="0" w:space="0" w:color="auto"/>
          </w:divBdr>
          <w:divsChild>
            <w:div w:id="456266601">
              <w:marLeft w:val="0"/>
              <w:marRight w:val="0"/>
              <w:marTop w:val="0"/>
              <w:marBottom w:val="0"/>
              <w:divBdr>
                <w:top w:val="none" w:sz="0" w:space="0" w:color="auto"/>
                <w:left w:val="none" w:sz="0" w:space="0" w:color="auto"/>
                <w:bottom w:val="none" w:sz="0" w:space="0" w:color="auto"/>
                <w:right w:val="none" w:sz="0" w:space="0" w:color="auto"/>
              </w:divBdr>
            </w:div>
          </w:divsChild>
        </w:div>
        <w:div w:id="1490748152">
          <w:marLeft w:val="0"/>
          <w:marRight w:val="0"/>
          <w:marTop w:val="0"/>
          <w:marBottom w:val="0"/>
          <w:divBdr>
            <w:top w:val="none" w:sz="0" w:space="0" w:color="auto"/>
            <w:left w:val="none" w:sz="0" w:space="0" w:color="auto"/>
            <w:bottom w:val="none" w:sz="0" w:space="0" w:color="auto"/>
            <w:right w:val="none" w:sz="0" w:space="0" w:color="auto"/>
          </w:divBdr>
          <w:divsChild>
            <w:div w:id="1380856421">
              <w:marLeft w:val="0"/>
              <w:marRight w:val="0"/>
              <w:marTop w:val="0"/>
              <w:marBottom w:val="0"/>
              <w:divBdr>
                <w:top w:val="none" w:sz="0" w:space="0" w:color="auto"/>
                <w:left w:val="none" w:sz="0" w:space="0" w:color="auto"/>
                <w:bottom w:val="none" w:sz="0" w:space="0" w:color="auto"/>
                <w:right w:val="none" w:sz="0" w:space="0" w:color="auto"/>
              </w:divBdr>
            </w:div>
          </w:divsChild>
        </w:div>
        <w:div w:id="60566626">
          <w:marLeft w:val="0"/>
          <w:marRight w:val="0"/>
          <w:marTop w:val="0"/>
          <w:marBottom w:val="0"/>
          <w:divBdr>
            <w:top w:val="none" w:sz="0" w:space="0" w:color="auto"/>
            <w:left w:val="none" w:sz="0" w:space="0" w:color="auto"/>
            <w:bottom w:val="none" w:sz="0" w:space="0" w:color="auto"/>
            <w:right w:val="none" w:sz="0" w:space="0" w:color="auto"/>
          </w:divBdr>
          <w:divsChild>
            <w:div w:id="1740597195">
              <w:marLeft w:val="0"/>
              <w:marRight w:val="0"/>
              <w:marTop w:val="0"/>
              <w:marBottom w:val="0"/>
              <w:divBdr>
                <w:top w:val="none" w:sz="0" w:space="0" w:color="auto"/>
                <w:left w:val="none" w:sz="0" w:space="0" w:color="auto"/>
                <w:bottom w:val="none" w:sz="0" w:space="0" w:color="auto"/>
                <w:right w:val="none" w:sz="0" w:space="0" w:color="auto"/>
              </w:divBdr>
            </w:div>
          </w:divsChild>
        </w:div>
        <w:div w:id="1015881648">
          <w:marLeft w:val="0"/>
          <w:marRight w:val="0"/>
          <w:marTop w:val="0"/>
          <w:marBottom w:val="0"/>
          <w:divBdr>
            <w:top w:val="none" w:sz="0" w:space="0" w:color="auto"/>
            <w:left w:val="none" w:sz="0" w:space="0" w:color="auto"/>
            <w:bottom w:val="none" w:sz="0" w:space="0" w:color="auto"/>
            <w:right w:val="none" w:sz="0" w:space="0" w:color="auto"/>
          </w:divBdr>
          <w:divsChild>
            <w:div w:id="81194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01940">
      <w:bodyDiv w:val="1"/>
      <w:marLeft w:val="0"/>
      <w:marRight w:val="0"/>
      <w:marTop w:val="0"/>
      <w:marBottom w:val="0"/>
      <w:divBdr>
        <w:top w:val="none" w:sz="0" w:space="0" w:color="auto"/>
        <w:left w:val="none" w:sz="0" w:space="0" w:color="auto"/>
        <w:bottom w:val="none" w:sz="0" w:space="0" w:color="auto"/>
        <w:right w:val="none" w:sz="0" w:space="0" w:color="auto"/>
      </w:divBdr>
    </w:div>
    <w:div w:id="1045905711">
      <w:bodyDiv w:val="1"/>
      <w:marLeft w:val="0"/>
      <w:marRight w:val="0"/>
      <w:marTop w:val="0"/>
      <w:marBottom w:val="0"/>
      <w:divBdr>
        <w:top w:val="none" w:sz="0" w:space="0" w:color="auto"/>
        <w:left w:val="none" w:sz="0" w:space="0" w:color="auto"/>
        <w:bottom w:val="none" w:sz="0" w:space="0" w:color="auto"/>
        <w:right w:val="none" w:sz="0" w:space="0" w:color="auto"/>
      </w:divBdr>
      <w:divsChild>
        <w:div w:id="823662625">
          <w:marLeft w:val="0"/>
          <w:marRight w:val="0"/>
          <w:marTop w:val="0"/>
          <w:marBottom w:val="0"/>
          <w:divBdr>
            <w:top w:val="none" w:sz="0" w:space="0" w:color="auto"/>
            <w:left w:val="none" w:sz="0" w:space="0" w:color="auto"/>
            <w:bottom w:val="none" w:sz="0" w:space="0" w:color="auto"/>
            <w:right w:val="none" w:sz="0" w:space="0" w:color="auto"/>
          </w:divBdr>
        </w:div>
      </w:divsChild>
    </w:div>
    <w:div w:id="1046486968">
      <w:bodyDiv w:val="1"/>
      <w:marLeft w:val="0"/>
      <w:marRight w:val="0"/>
      <w:marTop w:val="0"/>
      <w:marBottom w:val="0"/>
      <w:divBdr>
        <w:top w:val="none" w:sz="0" w:space="0" w:color="auto"/>
        <w:left w:val="none" w:sz="0" w:space="0" w:color="auto"/>
        <w:bottom w:val="none" w:sz="0" w:space="0" w:color="auto"/>
        <w:right w:val="none" w:sz="0" w:space="0" w:color="auto"/>
      </w:divBdr>
    </w:div>
    <w:div w:id="1047991115">
      <w:bodyDiv w:val="1"/>
      <w:marLeft w:val="0"/>
      <w:marRight w:val="0"/>
      <w:marTop w:val="0"/>
      <w:marBottom w:val="0"/>
      <w:divBdr>
        <w:top w:val="none" w:sz="0" w:space="0" w:color="auto"/>
        <w:left w:val="none" w:sz="0" w:space="0" w:color="auto"/>
        <w:bottom w:val="none" w:sz="0" w:space="0" w:color="auto"/>
        <w:right w:val="none" w:sz="0" w:space="0" w:color="auto"/>
      </w:divBdr>
    </w:div>
    <w:div w:id="1049457551">
      <w:bodyDiv w:val="1"/>
      <w:marLeft w:val="0"/>
      <w:marRight w:val="0"/>
      <w:marTop w:val="0"/>
      <w:marBottom w:val="0"/>
      <w:divBdr>
        <w:top w:val="none" w:sz="0" w:space="0" w:color="auto"/>
        <w:left w:val="none" w:sz="0" w:space="0" w:color="auto"/>
        <w:bottom w:val="none" w:sz="0" w:space="0" w:color="auto"/>
        <w:right w:val="none" w:sz="0" w:space="0" w:color="auto"/>
      </w:divBdr>
    </w:div>
    <w:div w:id="1054888654">
      <w:bodyDiv w:val="1"/>
      <w:marLeft w:val="0"/>
      <w:marRight w:val="0"/>
      <w:marTop w:val="0"/>
      <w:marBottom w:val="0"/>
      <w:divBdr>
        <w:top w:val="none" w:sz="0" w:space="0" w:color="auto"/>
        <w:left w:val="none" w:sz="0" w:space="0" w:color="auto"/>
        <w:bottom w:val="none" w:sz="0" w:space="0" w:color="auto"/>
        <w:right w:val="none" w:sz="0" w:space="0" w:color="auto"/>
      </w:divBdr>
    </w:div>
    <w:div w:id="1069770966">
      <w:bodyDiv w:val="1"/>
      <w:marLeft w:val="0"/>
      <w:marRight w:val="0"/>
      <w:marTop w:val="0"/>
      <w:marBottom w:val="0"/>
      <w:divBdr>
        <w:top w:val="none" w:sz="0" w:space="0" w:color="auto"/>
        <w:left w:val="none" w:sz="0" w:space="0" w:color="auto"/>
        <w:bottom w:val="none" w:sz="0" w:space="0" w:color="auto"/>
        <w:right w:val="none" w:sz="0" w:space="0" w:color="auto"/>
      </w:divBdr>
    </w:div>
    <w:div w:id="1073695046">
      <w:bodyDiv w:val="1"/>
      <w:marLeft w:val="0"/>
      <w:marRight w:val="0"/>
      <w:marTop w:val="0"/>
      <w:marBottom w:val="0"/>
      <w:divBdr>
        <w:top w:val="none" w:sz="0" w:space="0" w:color="auto"/>
        <w:left w:val="none" w:sz="0" w:space="0" w:color="auto"/>
        <w:bottom w:val="none" w:sz="0" w:space="0" w:color="auto"/>
        <w:right w:val="none" w:sz="0" w:space="0" w:color="auto"/>
      </w:divBdr>
      <w:divsChild>
        <w:div w:id="625816574">
          <w:marLeft w:val="547"/>
          <w:marRight w:val="0"/>
          <w:marTop w:val="0"/>
          <w:marBottom w:val="0"/>
          <w:divBdr>
            <w:top w:val="none" w:sz="0" w:space="0" w:color="auto"/>
            <w:left w:val="none" w:sz="0" w:space="0" w:color="auto"/>
            <w:bottom w:val="none" w:sz="0" w:space="0" w:color="auto"/>
            <w:right w:val="none" w:sz="0" w:space="0" w:color="auto"/>
          </w:divBdr>
        </w:div>
      </w:divsChild>
    </w:div>
    <w:div w:id="1079670108">
      <w:bodyDiv w:val="1"/>
      <w:marLeft w:val="0"/>
      <w:marRight w:val="0"/>
      <w:marTop w:val="0"/>
      <w:marBottom w:val="0"/>
      <w:divBdr>
        <w:top w:val="none" w:sz="0" w:space="0" w:color="auto"/>
        <w:left w:val="none" w:sz="0" w:space="0" w:color="auto"/>
        <w:bottom w:val="none" w:sz="0" w:space="0" w:color="auto"/>
        <w:right w:val="none" w:sz="0" w:space="0" w:color="auto"/>
      </w:divBdr>
    </w:div>
    <w:div w:id="1083572577">
      <w:bodyDiv w:val="1"/>
      <w:marLeft w:val="0"/>
      <w:marRight w:val="0"/>
      <w:marTop w:val="0"/>
      <w:marBottom w:val="0"/>
      <w:divBdr>
        <w:top w:val="none" w:sz="0" w:space="0" w:color="auto"/>
        <w:left w:val="none" w:sz="0" w:space="0" w:color="auto"/>
        <w:bottom w:val="none" w:sz="0" w:space="0" w:color="auto"/>
        <w:right w:val="none" w:sz="0" w:space="0" w:color="auto"/>
      </w:divBdr>
    </w:div>
    <w:div w:id="1088306511">
      <w:bodyDiv w:val="1"/>
      <w:marLeft w:val="0"/>
      <w:marRight w:val="0"/>
      <w:marTop w:val="0"/>
      <w:marBottom w:val="0"/>
      <w:divBdr>
        <w:top w:val="none" w:sz="0" w:space="0" w:color="auto"/>
        <w:left w:val="none" w:sz="0" w:space="0" w:color="auto"/>
        <w:bottom w:val="none" w:sz="0" w:space="0" w:color="auto"/>
        <w:right w:val="none" w:sz="0" w:space="0" w:color="auto"/>
      </w:divBdr>
    </w:div>
    <w:div w:id="1089498742">
      <w:bodyDiv w:val="1"/>
      <w:marLeft w:val="0"/>
      <w:marRight w:val="0"/>
      <w:marTop w:val="0"/>
      <w:marBottom w:val="0"/>
      <w:divBdr>
        <w:top w:val="none" w:sz="0" w:space="0" w:color="auto"/>
        <w:left w:val="none" w:sz="0" w:space="0" w:color="auto"/>
        <w:bottom w:val="none" w:sz="0" w:space="0" w:color="auto"/>
        <w:right w:val="none" w:sz="0" w:space="0" w:color="auto"/>
      </w:divBdr>
    </w:div>
    <w:div w:id="1097024894">
      <w:bodyDiv w:val="1"/>
      <w:marLeft w:val="0"/>
      <w:marRight w:val="0"/>
      <w:marTop w:val="0"/>
      <w:marBottom w:val="0"/>
      <w:divBdr>
        <w:top w:val="none" w:sz="0" w:space="0" w:color="auto"/>
        <w:left w:val="none" w:sz="0" w:space="0" w:color="auto"/>
        <w:bottom w:val="none" w:sz="0" w:space="0" w:color="auto"/>
        <w:right w:val="none" w:sz="0" w:space="0" w:color="auto"/>
      </w:divBdr>
    </w:div>
    <w:div w:id="1099449897">
      <w:marLeft w:val="0"/>
      <w:marRight w:val="0"/>
      <w:marTop w:val="0"/>
      <w:marBottom w:val="0"/>
      <w:divBdr>
        <w:top w:val="none" w:sz="0" w:space="0" w:color="auto"/>
        <w:left w:val="none" w:sz="0" w:space="0" w:color="auto"/>
        <w:bottom w:val="none" w:sz="0" w:space="0" w:color="auto"/>
        <w:right w:val="none" w:sz="0" w:space="0" w:color="auto"/>
      </w:divBdr>
      <w:divsChild>
        <w:div w:id="1253199856">
          <w:marLeft w:val="0"/>
          <w:marRight w:val="0"/>
          <w:marTop w:val="0"/>
          <w:marBottom w:val="0"/>
          <w:divBdr>
            <w:top w:val="none" w:sz="0" w:space="0" w:color="auto"/>
            <w:left w:val="none" w:sz="0" w:space="0" w:color="auto"/>
            <w:bottom w:val="none" w:sz="0" w:space="0" w:color="auto"/>
            <w:right w:val="none" w:sz="0" w:space="0" w:color="auto"/>
          </w:divBdr>
        </w:div>
      </w:divsChild>
    </w:div>
    <w:div w:id="1100561833">
      <w:bodyDiv w:val="1"/>
      <w:marLeft w:val="0"/>
      <w:marRight w:val="0"/>
      <w:marTop w:val="0"/>
      <w:marBottom w:val="0"/>
      <w:divBdr>
        <w:top w:val="none" w:sz="0" w:space="0" w:color="auto"/>
        <w:left w:val="none" w:sz="0" w:space="0" w:color="auto"/>
        <w:bottom w:val="none" w:sz="0" w:space="0" w:color="auto"/>
        <w:right w:val="none" w:sz="0" w:space="0" w:color="auto"/>
      </w:divBdr>
    </w:div>
    <w:div w:id="1104038683">
      <w:bodyDiv w:val="1"/>
      <w:marLeft w:val="0"/>
      <w:marRight w:val="0"/>
      <w:marTop w:val="0"/>
      <w:marBottom w:val="0"/>
      <w:divBdr>
        <w:top w:val="none" w:sz="0" w:space="0" w:color="auto"/>
        <w:left w:val="none" w:sz="0" w:space="0" w:color="auto"/>
        <w:bottom w:val="none" w:sz="0" w:space="0" w:color="auto"/>
        <w:right w:val="none" w:sz="0" w:space="0" w:color="auto"/>
      </w:divBdr>
    </w:div>
    <w:div w:id="1104616924">
      <w:bodyDiv w:val="1"/>
      <w:marLeft w:val="0"/>
      <w:marRight w:val="0"/>
      <w:marTop w:val="0"/>
      <w:marBottom w:val="0"/>
      <w:divBdr>
        <w:top w:val="none" w:sz="0" w:space="0" w:color="auto"/>
        <w:left w:val="none" w:sz="0" w:space="0" w:color="auto"/>
        <w:bottom w:val="none" w:sz="0" w:space="0" w:color="auto"/>
        <w:right w:val="none" w:sz="0" w:space="0" w:color="auto"/>
      </w:divBdr>
    </w:div>
    <w:div w:id="1115371084">
      <w:bodyDiv w:val="1"/>
      <w:marLeft w:val="0"/>
      <w:marRight w:val="0"/>
      <w:marTop w:val="0"/>
      <w:marBottom w:val="0"/>
      <w:divBdr>
        <w:top w:val="none" w:sz="0" w:space="0" w:color="auto"/>
        <w:left w:val="none" w:sz="0" w:space="0" w:color="auto"/>
        <w:bottom w:val="none" w:sz="0" w:space="0" w:color="auto"/>
        <w:right w:val="none" w:sz="0" w:space="0" w:color="auto"/>
      </w:divBdr>
    </w:div>
    <w:div w:id="1116750616">
      <w:bodyDiv w:val="1"/>
      <w:marLeft w:val="0"/>
      <w:marRight w:val="0"/>
      <w:marTop w:val="0"/>
      <w:marBottom w:val="0"/>
      <w:divBdr>
        <w:top w:val="none" w:sz="0" w:space="0" w:color="auto"/>
        <w:left w:val="none" w:sz="0" w:space="0" w:color="auto"/>
        <w:bottom w:val="none" w:sz="0" w:space="0" w:color="auto"/>
        <w:right w:val="none" w:sz="0" w:space="0" w:color="auto"/>
      </w:divBdr>
    </w:div>
    <w:div w:id="1119032105">
      <w:bodyDiv w:val="1"/>
      <w:marLeft w:val="0"/>
      <w:marRight w:val="0"/>
      <w:marTop w:val="0"/>
      <w:marBottom w:val="0"/>
      <w:divBdr>
        <w:top w:val="none" w:sz="0" w:space="0" w:color="auto"/>
        <w:left w:val="none" w:sz="0" w:space="0" w:color="auto"/>
        <w:bottom w:val="none" w:sz="0" w:space="0" w:color="auto"/>
        <w:right w:val="none" w:sz="0" w:space="0" w:color="auto"/>
      </w:divBdr>
    </w:div>
    <w:div w:id="1122260590">
      <w:bodyDiv w:val="1"/>
      <w:marLeft w:val="0"/>
      <w:marRight w:val="0"/>
      <w:marTop w:val="0"/>
      <w:marBottom w:val="0"/>
      <w:divBdr>
        <w:top w:val="none" w:sz="0" w:space="0" w:color="auto"/>
        <w:left w:val="none" w:sz="0" w:space="0" w:color="auto"/>
        <w:bottom w:val="none" w:sz="0" w:space="0" w:color="auto"/>
        <w:right w:val="none" w:sz="0" w:space="0" w:color="auto"/>
      </w:divBdr>
    </w:div>
    <w:div w:id="1126394069">
      <w:bodyDiv w:val="1"/>
      <w:marLeft w:val="0"/>
      <w:marRight w:val="0"/>
      <w:marTop w:val="0"/>
      <w:marBottom w:val="0"/>
      <w:divBdr>
        <w:top w:val="none" w:sz="0" w:space="0" w:color="auto"/>
        <w:left w:val="none" w:sz="0" w:space="0" w:color="auto"/>
        <w:bottom w:val="none" w:sz="0" w:space="0" w:color="auto"/>
        <w:right w:val="none" w:sz="0" w:space="0" w:color="auto"/>
      </w:divBdr>
    </w:div>
    <w:div w:id="1131286203">
      <w:bodyDiv w:val="1"/>
      <w:marLeft w:val="0"/>
      <w:marRight w:val="0"/>
      <w:marTop w:val="0"/>
      <w:marBottom w:val="0"/>
      <w:divBdr>
        <w:top w:val="none" w:sz="0" w:space="0" w:color="auto"/>
        <w:left w:val="none" w:sz="0" w:space="0" w:color="auto"/>
        <w:bottom w:val="none" w:sz="0" w:space="0" w:color="auto"/>
        <w:right w:val="none" w:sz="0" w:space="0" w:color="auto"/>
      </w:divBdr>
    </w:div>
    <w:div w:id="1131511133">
      <w:bodyDiv w:val="1"/>
      <w:marLeft w:val="0"/>
      <w:marRight w:val="0"/>
      <w:marTop w:val="0"/>
      <w:marBottom w:val="0"/>
      <w:divBdr>
        <w:top w:val="none" w:sz="0" w:space="0" w:color="auto"/>
        <w:left w:val="none" w:sz="0" w:space="0" w:color="auto"/>
        <w:bottom w:val="none" w:sz="0" w:space="0" w:color="auto"/>
        <w:right w:val="none" w:sz="0" w:space="0" w:color="auto"/>
      </w:divBdr>
    </w:div>
    <w:div w:id="1136411782">
      <w:bodyDiv w:val="1"/>
      <w:marLeft w:val="0"/>
      <w:marRight w:val="0"/>
      <w:marTop w:val="0"/>
      <w:marBottom w:val="0"/>
      <w:divBdr>
        <w:top w:val="none" w:sz="0" w:space="0" w:color="auto"/>
        <w:left w:val="none" w:sz="0" w:space="0" w:color="auto"/>
        <w:bottom w:val="none" w:sz="0" w:space="0" w:color="auto"/>
        <w:right w:val="none" w:sz="0" w:space="0" w:color="auto"/>
      </w:divBdr>
    </w:div>
    <w:div w:id="1148284546">
      <w:bodyDiv w:val="1"/>
      <w:marLeft w:val="0"/>
      <w:marRight w:val="0"/>
      <w:marTop w:val="0"/>
      <w:marBottom w:val="0"/>
      <w:divBdr>
        <w:top w:val="none" w:sz="0" w:space="0" w:color="auto"/>
        <w:left w:val="none" w:sz="0" w:space="0" w:color="auto"/>
        <w:bottom w:val="none" w:sz="0" w:space="0" w:color="auto"/>
        <w:right w:val="none" w:sz="0" w:space="0" w:color="auto"/>
      </w:divBdr>
    </w:div>
    <w:div w:id="1161701438">
      <w:marLeft w:val="0"/>
      <w:marRight w:val="0"/>
      <w:marTop w:val="0"/>
      <w:marBottom w:val="0"/>
      <w:divBdr>
        <w:top w:val="none" w:sz="0" w:space="0" w:color="auto"/>
        <w:left w:val="none" w:sz="0" w:space="0" w:color="auto"/>
        <w:bottom w:val="none" w:sz="0" w:space="0" w:color="auto"/>
        <w:right w:val="none" w:sz="0" w:space="0" w:color="auto"/>
      </w:divBdr>
      <w:divsChild>
        <w:div w:id="685785484">
          <w:marLeft w:val="0"/>
          <w:marRight w:val="0"/>
          <w:marTop w:val="0"/>
          <w:marBottom w:val="0"/>
          <w:divBdr>
            <w:top w:val="none" w:sz="0" w:space="0" w:color="auto"/>
            <w:left w:val="none" w:sz="0" w:space="0" w:color="auto"/>
            <w:bottom w:val="none" w:sz="0" w:space="0" w:color="auto"/>
            <w:right w:val="none" w:sz="0" w:space="0" w:color="auto"/>
          </w:divBdr>
        </w:div>
      </w:divsChild>
    </w:div>
    <w:div w:id="1162160947">
      <w:bodyDiv w:val="1"/>
      <w:marLeft w:val="0"/>
      <w:marRight w:val="0"/>
      <w:marTop w:val="0"/>
      <w:marBottom w:val="0"/>
      <w:divBdr>
        <w:top w:val="none" w:sz="0" w:space="0" w:color="auto"/>
        <w:left w:val="none" w:sz="0" w:space="0" w:color="auto"/>
        <w:bottom w:val="none" w:sz="0" w:space="0" w:color="auto"/>
        <w:right w:val="none" w:sz="0" w:space="0" w:color="auto"/>
      </w:divBdr>
    </w:div>
    <w:div w:id="1163278081">
      <w:bodyDiv w:val="1"/>
      <w:marLeft w:val="0"/>
      <w:marRight w:val="0"/>
      <w:marTop w:val="0"/>
      <w:marBottom w:val="0"/>
      <w:divBdr>
        <w:top w:val="none" w:sz="0" w:space="0" w:color="auto"/>
        <w:left w:val="none" w:sz="0" w:space="0" w:color="auto"/>
        <w:bottom w:val="none" w:sz="0" w:space="0" w:color="auto"/>
        <w:right w:val="none" w:sz="0" w:space="0" w:color="auto"/>
      </w:divBdr>
    </w:div>
    <w:div w:id="1183086310">
      <w:bodyDiv w:val="1"/>
      <w:marLeft w:val="0"/>
      <w:marRight w:val="0"/>
      <w:marTop w:val="0"/>
      <w:marBottom w:val="0"/>
      <w:divBdr>
        <w:top w:val="none" w:sz="0" w:space="0" w:color="auto"/>
        <w:left w:val="none" w:sz="0" w:space="0" w:color="auto"/>
        <w:bottom w:val="none" w:sz="0" w:space="0" w:color="auto"/>
        <w:right w:val="none" w:sz="0" w:space="0" w:color="auto"/>
      </w:divBdr>
    </w:div>
    <w:div w:id="1183475051">
      <w:bodyDiv w:val="1"/>
      <w:marLeft w:val="0"/>
      <w:marRight w:val="0"/>
      <w:marTop w:val="0"/>
      <w:marBottom w:val="0"/>
      <w:divBdr>
        <w:top w:val="none" w:sz="0" w:space="0" w:color="auto"/>
        <w:left w:val="none" w:sz="0" w:space="0" w:color="auto"/>
        <w:bottom w:val="none" w:sz="0" w:space="0" w:color="auto"/>
        <w:right w:val="none" w:sz="0" w:space="0" w:color="auto"/>
      </w:divBdr>
    </w:div>
    <w:div w:id="1187063691">
      <w:bodyDiv w:val="1"/>
      <w:marLeft w:val="0"/>
      <w:marRight w:val="0"/>
      <w:marTop w:val="0"/>
      <w:marBottom w:val="0"/>
      <w:divBdr>
        <w:top w:val="none" w:sz="0" w:space="0" w:color="auto"/>
        <w:left w:val="none" w:sz="0" w:space="0" w:color="auto"/>
        <w:bottom w:val="none" w:sz="0" w:space="0" w:color="auto"/>
        <w:right w:val="none" w:sz="0" w:space="0" w:color="auto"/>
      </w:divBdr>
    </w:div>
    <w:div w:id="1188521464">
      <w:bodyDiv w:val="1"/>
      <w:marLeft w:val="0"/>
      <w:marRight w:val="0"/>
      <w:marTop w:val="0"/>
      <w:marBottom w:val="0"/>
      <w:divBdr>
        <w:top w:val="none" w:sz="0" w:space="0" w:color="auto"/>
        <w:left w:val="none" w:sz="0" w:space="0" w:color="auto"/>
        <w:bottom w:val="none" w:sz="0" w:space="0" w:color="auto"/>
        <w:right w:val="none" w:sz="0" w:space="0" w:color="auto"/>
      </w:divBdr>
    </w:div>
    <w:div w:id="1189681335">
      <w:bodyDiv w:val="1"/>
      <w:marLeft w:val="0"/>
      <w:marRight w:val="0"/>
      <w:marTop w:val="0"/>
      <w:marBottom w:val="0"/>
      <w:divBdr>
        <w:top w:val="none" w:sz="0" w:space="0" w:color="auto"/>
        <w:left w:val="none" w:sz="0" w:space="0" w:color="auto"/>
        <w:bottom w:val="none" w:sz="0" w:space="0" w:color="auto"/>
        <w:right w:val="none" w:sz="0" w:space="0" w:color="auto"/>
      </w:divBdr>
    </w:div>
    <w:div w:id="1190875537">
      <w:bodyDiv w:val="1"/>
      <w:marLeft w:val="0"/>
      <w:marRight w:val="0"/>
      <w:marTop w:val="0"/>
      <w:marBottom w:val="0"/>
      <w:divBdr>
        <w:top w:val="none" w:sz="0" w:space="0" w:color="auto"/>
        <w:left w:val="none" w:sz="0" w:space="0" w:color="auto"/>
        <w:bottom w:val="none" w:sz="0" w:space="0" w:color="auto"/>
        <w:right w:val="none" w:sz="0" w:space="0" w:color="auto"/>
      </w:divBdr>
    </w:div>
    <w:div w:id="1193228076">
      <w:bodyDiv w:val="1"/>
      <w:marLeft w:val="0"/>
      <w:marRight w:val="0"/>
      <w:marTop w:val="0"/>
      <w:marBottom w:val="0"/>
      <w:divBdr>
        <w:top w:val="none" w:sz="0" w:space="0" w:color="auto"/>
        <w:left w:val="none" w:sz="0" w:space="0" w:color="auto"/>
        <w:bottom w:val="none" w:sz="0" w:space="0" w:color="auto"/>
        <w:right w:val="none" w:sz="0" w:space="0" w:color="auto"/>
      </w:divBdr>
    </w:div>
    <w:div w:id="1211459197">
      <w:bodyDiv w:val="1"/>
      <w:marLeft w:val="0"/>
      <w:marRight w:val="0"/>
      <w:marTop w:val="0"/>
      <w:marBottom w:val="0"/>
      <w:divBdr>
        <w:top w:val="none" w:sz="0" w:space="0" w:color="auto"/>
        <w:left w:val="none" w:sz="0" w:space="0" w:color="auto"/>
        <w:bottom w:val="none" w:sz="0" w:space="0" w:color="auto"/>
        <w:right w:val="none" w:sz="0" w:space="0" w:color="auto"/>
      </w:divBdr>
    </w:div>
    <w:div w:id="1220363120">
      <w:bodyDiv w:val="1"/>
      <w:marLeft w:val="0"/>
      <w:marRight w:val="0"/>
      <w:marTop w:val="0"/>
      <w:marBottom w:val="0"/>
      <w:divBdr>
        <w:top w:val="none" w:sz="0" w:space="0" w:color="auto"/>
        <w:left w:val="none" w:sz="0" w:space="0" w:color="auto"/>
        <w:bottom w:val="none" w:sz="0" w:space="0" w:color="auto"/>
        <w:right w:val="none" w:sz="0" w:space="0" w:color="auto"/>
      </w:divBdr>
    </w:div>
    <w:div w:id="1229028631">
      <w:bodyDiv w:val="1"/>
      <w:marLeft w:val="0"/>
      <w:marRight w:val="0"/>
      <w:marTop w:val="0"/>
      <w:marBottom w:val="0"/>
      <w:divBdr>
        <w:top w:val="none" w:sz="0" w:space="0" w:color="auto"/>
        <w:left w:val="none" w:sz="0" w:space="0" w:color="auto"/>
        <w:bottom w:val="none" w:sz="0" w:space="0" w:color="auto"/>
        <w:right w:val="none" w:sz="0" w:space="0" w:color="auto"/>
      </w:divBdr>
    </w:div>
    <w:div w:id="1231384129">
      <w:bodyDiv w:val="1"/>
      <w:marLeft w:val="0"/>
      <w:marRight w:val="0"/>
      <w:marTop w:val="0"/>
      <w:marBottom w:val="0"/>
      <w:divBdr>
        <w:top w:val="none" w:sz="0" w:space="0" w:color="auto"/>
        <w:left w:val="none" w:sz="0" w:space="0" w:color="auto"/>
        <w:bottom w:val="none" w:sz="0" w:space="0" w:color="auto"/>
        <w:right w:val="none" w:sz="0" w:space="0" w:color="auto"/>
      </w:divBdr>
    </w:div>
    <w:div w:id="1240754070">
      <w:bodyDiv w:val="1"/>
      <w:marLeft w:val="0"/>
      <w:marRight w:val="0"/>
      <w:marTop w:val="0"/>
      <w:marBottom w:val="0"/>
      <w:divBdr>
        <w:top w:val="none" w:sz="0" w:space="0" w:color="auto"/>
        <w:left w:val="none" w:sz="0" w:space="0" w:color="auto"/>
        <w:bottom w:val="none" w:sz="0" w:space="0" w:color="auto"/>
        <w:right w:val="none" w:sz="0" w:space="0" w:color="auto"/>
      </w:divBdr>
    </w:div>
    <w:div w:id="1243025230">
      <w:bodyDiv w:val="1"/>
      <w:marLeft w:val="0"/>
      <w:marRight w:val="0"/>
      <w:marTop w:val="0"/>
      <w:marBottom w:val="0"/>
      <w:divBdr>
        <w:top w:val="none" w:sz="0" w:space="0" w:color="auto"/>
        <w:left w:val="none" w:sz="0" w:space="0" w:color="auto"/>
        <w:bottom w:val="none" w:sz="0" w:space="0" w:color="auto"/>
        <w:right w:val="none" w:sz="0" w:space="0" w:color="auto"/>
      </w:divBdr>
    </w:div>
    <w:div w:id="1245719686">
      <w:bodyDiv w:val="1"/>
      <w:marLeft w:val="0"/>
      <w:marRight w:val="0"/>
      <w:marTop w:val="0"/>
      <w:marBottom w:val="0"/>
      <w:divBdr>
        <w:top w:val="none" w:sz="0" w:space="0" w:color="auto"/>
        <w:left w:val="none" w:sz="0" w:space="0" w:color="auto"/>
        <w:bottom w:val="none" w:sz="0" w:space="0" w:color="auto"/>
        <w:right w:val="none" w:sz="0" w:space="0" w:color="auto"/>
      </w:divBdr>
    </w:div>
    <w:div w:id="1249121668">
      <w:bodyDiv w:val="1"/>
      <w:marLeft w:val="0"/>
      <w:marRight w:val="0"/>
      <w:marTop w:val="0"/>
      <w:marBottom w:val="0"/>
      <w:divBdr>
        <w:top w:val="none" w:sz="0" w:space="0" w:color="auto"/>
        <w:left w:val="none" w:sz="0" w:space="0" w:color="auto"/>
        <w:bottom w:val="none" w:sz="0" w:space="0" w:color="auto"/>
        <w:right w:val="none" w:sz="0" w:space="0" w:color="auto"/>
      </w:divBdr>
    </w:div>
    <w:div w:id="1250887175">
      <w:bodyDiv w:val="1"/>
      <w:marLeft w:val="0"/>
      <w:marRight w:val="0"/>
      <w:marTop w:val="0"/>
      <w:marBottom w:val="0"/>
      <w:divBdr>
        <w:top w:val="none" w:sz="0" w:space="0" w:color="auto"/>
        <w:left w:val="none" w:sz="0" w:space="0" w:color="auto"/>
        <w:bottom w:val="none" w:sz="0" w:space="0" w:color="auto"/>
        <w:right w:val="none" w:sz="0" w:space="0" w:color="auto"/>
      </w:divBdr>
    </w:div>
    <w:div w:id="1260943468">
      <w:bodyDiv w:val="1"/>
      <w:marLeft w:val="0"/>
      <w:marRight w:val="0"/>
      <w:marTop w:val="0"/>
      <w:marBottom w:val="0"/>
      <w:divBdr>
        <w:top w:val="none" w:sz="0" w:space="0" w:color="auto"/>
        <w:left w:val="none" w:sz="0" w:space="0" w:color="auto"/>
        <w:bottom w:val="none" w:sz="0" w:space="0" w:color="auto"/>
        <w:right w:val="none" w:sz="0" w:space="0" w:color="auto"/>
      </w:divBdr>
    </w:div>
    <w:div w:id="1264260256">
      <w:bodyDiv w:val="1"/>
      <w:marLeft w:val="0"/>
      <w:marRight w:val="0"/>
      <w:marTop w:val="0"/>
      <w:marBottom w:val="0"/>
      <w:divBdr>
        <w:top w:val="none" w:sz="0" w:space="0" w:color="auto"/>
        <w:left w:val="none" w:sz="0" w:space="0" w:color="auto"/>
        <w:bottom w:val="none" w:sz="0" w:space="0" w:color="auto"/>
        <w:right w:val="none" w:sz="0" w:space="0" w:color="auto"/>
      </w:divBdr>
    </w:div>
    <w:div w:id="1265728434">
      <w:bodyDiv w:val="1"/>
      <w:marLeft w:val="0"/>
      <w:marRight w:val="0"/>
      <w:marTop w:val="0"/>
      <w:marBottom w:val="0"/>
      <w:divBdr>
        <w:top w:val="none" w:sz="0" w:space="0" w:color="auto"/>
        <w:left w:val="none" w:sz="0" w:space="0" w:color="auto"/>
        <w:bottom w:val="none" w:sz="0" w:space="0" w:color="auto"/>
        <w:right w:val="none" w:sz="0" w:space="0" w:color="auto"/>
      </w:divBdr>
    </w:div>
    <w:div w:id="1290476096">
      <w:bodyDiv w:val="1"/>
      <w:marLeft w:val="0"/>
      <w:marRight w:val="0"/>
      <w:marTop w:val="0"/>
      <w:marBottom w:val="0"/>
      <w:divBdr>
        <w:top w:val="none" w:sz="0" w:space="0" w:color="auto"/>
        <w:left w:val="none" w:sz="0" w:space="0" w:color="auto"/>
        <w:bottom w:val="none" w:sz="0" w:space="0" w:color="auto"/>
        <w:right w:val="none" w:sz="0" w:space="0" w:color="auto"/>
      </w:divBdr>
    </w:div>
    <w:div w:id="1292438712">
      <w:bodyDiv w:val="1"/>
      <w:marLeft w:val="0"/>
      <w:marRight w:val="0"/>
      <w:marTop w:val="0"/>
      <w:marBottom w:val="0"/>
      <w:divBdr>
        <w:top w:val="none" w:sz="0" w:space="0" w:color="auto"/>
        <w:left w:val="none" w:sz="0" w:space="0" w:color="auto"/>
        <w:bottom w:val="none" w:sz="0" w:space="0" w:color="auto"/>
        <w:right w:val="none" w:sz="0" w:space="0" w:color="auto"/>
      </w:divBdr>
    </w:div>
    <w:div w:id="1297490345">
      <w:bodyDiv w:val="1"/>
      <w:marLeft w:val="0"/>
      <w:marRight w:val="0"/>
      <w:marTop w:val="0"/>
      <w:marBottom w:val="0"/>
      <w:divBdr>
        <w:top w:val="none" w:sz="0" w:space="0" w:color="auto"/>
        <w:left w:val="none" w:sz="0" w:space="0" w:color="auto"/>
        <w:bottom w:val="none" w:sz="0" w:space="0" w:color="auto"/>
        <w:right w:val="none" w:sz="0" w:space="0" w:color="auto"/>
      </w:divBdr>
    </w:div>
    <w:div w:id="1306004024">
      <w:bodyDiv w:val="1"/>
      <w:marLeft w:val="0"/>
      <w:marRight w:val="0"/>
      <w:marTop w:val="0"/>
      <w:marBottom w:val="0"/>
      <w:divBdr>
        <w:top w:val="none" w:sz="0" w:space="0" w:color="auto"/>
        <w:left w:val="none" w:sz="0" w:space="0" w:color="auto"/>
        <w:bottom w:val="none" w:sz="0" w:space="0" w:color="auto"/>
        <w:right w:val="none" w:sz="0" w:space="0" w:color="auto"/>
      </w:divBdr>
      <w:divsChild>
        <w:div w:id="1952394502">
          <w:marLeft w:val="547"/>
          <w:marRight w:val="0"/>
          <w:marTop w:val="0"/>
          <w:marBottom w:val="0"/>
          <w:divBdr>
            <w:top w:val="none" w:sz="0" w:space="0" w:color="auto"/>
            <w:left w:val="none" w:sz="0" w:space="0" w:color="auto"/>
            <w:bottom w:val="none" w:sz="0" w:space="0" w:color="auto"/>
            <w:right w:val="none" w:sz="0" w:space="0" w:color="auto"/>
          </w:divBdr>
        </w:div>
      </w:divsChild>
    </w:div>
    <w:div w:id="1309475751">
      <w:bodyDiv w:val="1"/>
      <w:marLeft w:val="0"/>
      <w:marRight w:val="0"/>
      <w:marTop w:val="0"/>
      <w:marBottom w:val="0"/>
      <w:divBdr>
        <w:top w:val="none" w:sz="0" w:space="0" w:color="auto"/>
        <w:left w:val="none" w:sz="0" w:space="0" w:color="auto"/>
        <w:bottom w:val="none" w:sz="0" w:space="0" w:color="auto"/>
        <w:right w:val="none" w:sz="0" w:space="0" w:color="auto"/>
      </w:divBdr>
    </w:div>
    <w:div w:id="1315983932">
      <w:bodyDiv w:val="1"/>
      <w:marLeft w:val="0"/>
      <w:marRight w:val="0"/>
      <w:marTop w:val="0"/>
      <w:marBottom w:val="0"/>
      <w:divBdr>
        <w:top w:val="none" w:sz="0" w:space="0" w:color="auto"/>
        <w:left w:val="none" w:sz="0" w:space="0" w:color="auto"/>
        <w:bottom w:val="none" w:sz="0" w:space="0" w:color="auto"/>
        <w:right w:val="none" w:sz="0" w:space="0" w:color="auto"/>
      </w:divBdr>
    </w:div>
    <w:div w:id="1323199702">
      <w:bodyDiv w:val="1"/>
      <w:marLeft w:val="0"/>
      <w:marRight w:val="0"/>
      <w:marTop w:val="0"/>
      <w:marBottom w:val="0"/>
      <w:divBdr>
        <w:top w:val="none" w:sz="0" w:space="0" w:color="auto"/>
        <w:left w:val="none" w:sz="0" w:space="0" w:color="auto"/>
        <w:bottom w:val="none" w:sz="0" w:space="0" w:color="auto"/>
        <w:right w:val="none" w:sz="0" w:space="0" w:color="auto"/>
      </w:divBdr>
    </w:div>
    <w:div w:id="1329216476">
      <w:bodyDiv w:val="1"/>
      <w:marLeft w:val="0"/>
      <w:marRight w:val="0"/>
      <w:marTop w:val="0"/>
      <w:marBottom w:val="0"/>
      <w:divBdr>
        <w:top w:val="none" w:sz="0" w:space="0" w:color="auto"/>
        <w:left w:val="none" w:sz="0" w:space="0" w:color="auto"/>
        <w:bottom w:val="none" w:sz="0" w:space="0" w:color="auto"/>
        <w:right w:val="none" w:sz="0" w:space="0" w:color="auto"/>
      </w:divBdr>
    </w:div>
    <w:div w:id="1333800559">
      <w:bodyDiv w:val="1"/>
      <w:marLeft w:val="0"/>
      <w:marRight w:val="0"/>
      <w:marTop w:val="0"/>
      <w:marBottom w:val="0"/>
      <w:divBdr>
        <w:top w:val="none" w:sz="0" w:space="0" w:color="auto"/>
        <w:left w:val="none" w:sz="0" w:space="0" w:color="auto"/>
        <w:bottom w:val="none" w:sz="0" w:space="0" w:color="auto"/>
        <w:right w:val="none" w:sz="0" w:space="0" w:color="auto"/>
      </w:divBdr>
    </w:div>
    <w:div w:id="1334407183">
      <w:bodyDiv w:val="1"/>
      <w:marLeft w:val="0"/>
      <w:marRight w:val="0"/>
      <w:marTop w:val="0"/>
      <w:marBottom w:val="0"/>
      <w:divBdr>
        <w:top w:val="none" w:sz="0" w:space="0" w:color="auto"/>
        <w:left w:val="none" w:sz="0" w:space="0" w:color="auto"/>
        <w:bottom w:val="none" w:sz="0" w:space="0" w:color="auto"/>
        <w:right w:val="none" w:sz="0" w:space="0" w:color="auto"/>
      </w:divBdr>
    </w:div>
    <w:div w:id="1338920973">
      <w:bodyDiv w:val="1"/>
      <w:marLeft w:val="0"/>
      <w:marRight w:val="0"/>
      <w:marTop w:val="0"/>
      <w:marBottom w:val="0"/>
      <w:divBdr>
        <w:top w:val="none" w:sz="0" w:space="0" w:color="auto"/>
        <w:left w:val="none" w:sz="0" w:space="0" w:color="auto"/>
        <w:bottom w:val="none" w:sz="0" w:space="0" w:color="auto"/>
        <w:right w:val="none" w:sz="0" w:space="0" w:color="auto"/>
      </w:divBdr>
    </w:div>
    <w:div w:id="1346591124">
      <w:bodyDiv w:val="1"/>
      <w:marLeft w:val="0"/>
      <w:marRight w:val="0"/>
      <w:marTop w:val="0"/>
      <w:marBottom w:val="0"/>
      <w:divBdr>
        <w:top w:val="none" w:sz="0" w:space="0" w:color="auto"/>
        <w:left w:val="none" w:sz="0" w:space="0" w:color="auto"/>
        <w:bottom w:val="none" w:sz="0" w:space="0" w:color="auto"/>
        <w:right w:val="none" w:sz="0" w:space="0" w:color="auto"/>
      </w:divBdr>
    </w:div>
    <w:div w:id="1352024448">
      <w:bodyDiv w:val="1"/>
      <w:marLeft w:val="0"/>
      <w:marRight w:val="0"/>
      <w:marTop w:val="0"/>
      <w:marBottom w:val="0"/>
      <w:divBdr>
        <w:top w:val="none" w:sz="0" w:space="0" w:color="auto"/>
        <w:left w:val="none" w:sz="0" w:space="0" w:color="auto"/>
        <w:bottom w:val="none" w:sz="0" w:space="0" w:color="auto"/>
        <w:right w:val="none" w:sz="0" w:space="0" w:color="auto"/>
      </w:divBdr>
    </w:div>
    <w:div w:id="1358386126">
      <w:bodyDiv w:val="1"/>
      <w:marLeft w:val="0"/>
      <w:marRight w:val="0"/>
      <w:marTop w:val="0"/>
      <w:marBottom w:val="0"/>
      <w:divBdr>
        <w:top w:val="none" w:sz="0" w:space="0" w:color="auto"/>
        <w:left w:val="none" w:sz="0" w:space="0" w:color="auto"/>
        <w:bottom w:val="none" w:sz="0" w:space="0" w:color="auto"/>
        <w:right w:val="none" w:sz="0" w:space="0" w:color="auto"/>
      </w:divBdr>
    </w:div>
    <w:div w:id="1368069714">
      <w:bodyDiv w:val="1"/>
      <w:marLeft w:val="0"/>
      <w:marRight w:val="0"/>
      <w:marTop w:val="0"/>
      <w:marBottom w:val="0"/>
      <w:divBdr>
        <w:top w:val="none" w:sz="0" w:space="0" w:color="auto"/>
        <w:left w:val="none" w:sz="0" w:space="0" w:color="auto"/>
        <w:bottom w:val="none" w:sz="0" w:space="0" w:color="auto"/>
        <w:right w:val="none" w:sz="0" w:space="0" w:color="auto"/>
      </w:divBdr>
    </w:div>
    <w:div w:id="1371804315">
      <w:bodyDiv w:val="1"/>
      <w:marLeft w:val="0"/>
      <w:marRight w:val="0"/>
      <w:marTop w:val="0"/>
      <w:marBottom w:val="0"/>
      <w:divBdr>
        <w:top w:val="none" w:sz="0" w:space="0" w:color="auto"/>
        <w:left w:val="none" w:sz="0" w:space="0" w:color="auto"/>
        <w:bottom w:val="none" w:sz="0" w:space="0" w:color="auto"/>
        <w:right w:val="none" w:sz="0" w:space="0" w:color="auto"/>
      </w:divBdr>
    </w:div>
    <w:div w:id="1375229814">
      <w:bodyDiv w:val="1"/>
      <w:marLeft w:val="0"/>
      <w:marRight w:val="0"/>
      <w:marTop w:val="0"/>
      <w:marBottom w:val="0"/>
      <w:divBdr>
        <w:top w:val="none" w:sz="0" w:space="0" w:color="auto"/>
        <w:left w:val="none" w:sz="0" w:space="0" w:color="auto"/>
        <w:bottom w:val="none" w:sz="0" w:space="0" w:color="auto"/>
        <w:right w:val="none" w:sz="0" w:space="0" w:color="auto"/>
      </w:divBdr>
    </w:div>
    <w:div w:id="1378554892">
      <w:bodyDiv w:val="1"/>
      <w:marLeft w:val="0"/>
      <w:marRight w:val="0"/>
      <w:marTop w:val="0"/>
      <w:marBottom w:val="0"/>
      <w:divBdr>
        <w:top w:val="none" w:sz="0" w:space="0" w:color="auto"/>
        <w:left w:val="none" w:sz="0" w:space="0" w:color="auto"/>
        <w:bottom w:val="none" w:sz="0" w:space="0" w:color="auto"/>
        <w:right w:val="none" w:sz="0" w:space="0" w:color="auto"/>
      </w:divBdr>
    </w:div>
    <w:div w:id="1378696496">
      <w:bodyDiv w:val="1"/>
      <w:marLeft w:val="0"/>
      <w:marRight w:val="0"/>
      <w:marTop w:val="0"/>
      <w:marBottom w:val="0"/>
      <w:divBdr>
        <w:top w:val="none" w:sz="0" w:space="0" w:color="auto"/>
        <w:left w:val="none" w:sz="0" w:space="0" w:color="auto"/>
        <w:bottom w:val="none" w:sz="0" w:space="0" w:color="auto"/>
        <w:right w:val="none" w:sz="0" w:space="0" w:color="auto"/>
      </w:divBdr>
    </w:div>
    <w:div w:id="1384713308">
      <w:bodyDiv w:val="1"/>
      <w:marLeft w:val="0"/>
      <w:marRight w:val="0"/>
      <w:marTop w:val="0"/>
      <w:marBottom w:val="0"/>
      <w:divBdr>
        <w:top w:val="none" w:sz="0" w:space="0" w:color="auto"/>
        <w:left w:val="none" w:sz="0" w:space="0" w:color="auto"/>
        <w:bottom w:val="none" w:sz="0" w:space="0" w:color="auto"/>
        <w:right w:val="none" w:sz="0" w:space="0" w:color="auto"/>
      </w:divBdr>
    </w:div>
    <w:div w:id="1389575244">
      <w:bodyDiv w:val="1"/>
      <w:marLeft w:val="0"/>
      <w:marRight w:val="0"/>
      <w:marTop w:val="0"/>
      <w:marBottom w:val="0"/>
      <w:divBdr>
        <w:top w:val="none" w:sz="0" w:space="0" w:color="auto"/>
        <w:left w:val="none" w:sz="0" w:space="0" w:color="auto"/>
        <w:bottom w:val="none" w:sz="0" w:space="0" w:color="auto"/>
        <w:right w:val="none" w:sz="0" w:space="0" w:color="auto"/>
      </w:divBdr>
    </w:div>
    <w:div w:id="1391003824">
      <w:bodyDiv w:val="1"/>
      <w:marLeft w:val="0"/>
      <w:marRight w:val="0"/>
      <w:marTop w:val="0"/>
      <w:marBottom w:val="0"/>
      <w:divBdr>
        <w:top w:val="none" w:sz="0" w:space="0" w:color="auto"/>
        <w:left w:val="none" w:sz="0" w:space="0" w:color="auto"/>
        <w:bottom w:val="none" w:sz="0" w:space="0" w:color="auto"/>
        <w:right w:val="none" w:sz="0" w:space="0" w:color="auto"/>
      </w:divBdr>
    </w:div>
    <w:div w:id="1393386818">
      <w:bodyDiv w:val="1"/>
      <w:marLeft w:val="0"/>
      <w:marRight w:val="0"/>
      <w:marTop w:val="0"/>
      <w:marBottom w:val="0"/>
      <w:divBdr>
        <w:top w:val="none" w:sz="0" w:space="0" w:color="auto"/>
        <w:left w:val="none" w:sz="0" w:space="0" w:color="auto"/>
        <w:bottom w:val="none" w:sz="0" w:space="0" w:color="auto"/>
        <w:right w:val="none" w:sz="0" w:space="0" w:color="auto"/>
      </w:divBdr>
    </w:div>
    <w:div w:id="1393966347">
      <w:bodyDiv w:val="1"/>
      <w:marLeft w:val="0"/>
      <w:marRight w:val="0"/>
      <w:marTop w:val="0"/>
      <w:marBottom w:val="0"/>
      <w:divBdr>
        <w:top w:val="none" w:sz="0" w:space="0" w:color="auto"/>
        <w:left w:val="none" w:sz="0" w:space="0" w:color="auto"/>
        <w:bottom w:val="none" w:sz="0" w:space="0" w:color="auto"/>
        <w:right w:val="none" w:sz="0" w:space="0" w:color="auto"/>
      </w:divBdr>
    </w:div>
    <w:div w:id="1396467453">
      <w:bodyDiv w:val="1"/>
      <w:marLeft w:val="0"/>
      <w:marRight w:val="0"/>
      <w:marTop w:val="0"/>
      <w:marBottom w:val="0"/>
      <w:divBdr>
        <w:top w:val="none" w:sz="0" w:space="0" w:color="auto"/>
        <w:left w:val="none" w:sz="0" w:space="0" w:color="auto"/>
        <w:bottom w:val="none" w:sz="0" w:space="0" w:color="auto"/>
        <w:right w:val="none" w:sz="0" w:space="0" w:color="auto"/>
      </w:divBdr>
    </w:div>
    <w:div w:id="1397051149">
      <w:bodyDiv w:val="1"/>
      <w:marLeft w:val="0"/>
      <w:marRight w:val="0"/>
      <w:marTop w:val="0"/>
      <w:marBottom w:val="0"/>
      <w:divBdr>
        <w:top w:val="none" w:sz="0" w:space="0" w:color="auto"/>
        <w:left w:val="none" w:sz="0" w:space="0" w:color="auto"/>
        <w:bottom w:val="none" w:sz="0" w:space="0" w:color="auto"/>
        <w:right w:val="none" w:sz="0" w:space="0" w:color="auto"/>
      </w:divBdr>
    </w:div>
    <w:div w:id="1402557621">
      <w:bodyDiv w:val="1"/>
      <w:marLeft w:val="0"/>
      <w:marRight w:val="0"/>
      <w:marTop w:val="0"/>
      <w:marBottom w:val="0"/>
      <w:divBdr>
        <w:top w:val="none" w:sz="0" w:space="0" w:color="auto"/>
        <w:left w:val="none" w:sz="0" w:space="0" w:color="auto"/>
        <w:bottom w:val="none" w:sz="0" w:space="0" w:color="auto"/>
        <w:right w:val="none" w:sz="0" w:space="0" w:color="auto"/>
      </w:divBdr>
    </w:div>
    <w:div w:id="1407385696">
      <w:bodyDiv w:val="1"/>
      <w:marLeft w:val="0"/>
      <w:marRight w:val="0"/>
      <w:marTop w:val="0"/>
      <w:marBottom w:val="0"/>
      <w:divBdr>
        <w:top w:val="none" w:sz="0" w:space="0" w:color="auto"/>
        <w:left w:val="none" w:sz="0" w:space="0" w:color="auto"/>
        <w:bottom w:val="none" w:sz="0" w:space="0" w:color="auto"/>
        <w:right w:val="none" w:sz="0" w:space="0" w:color="auto"/>
      </w:divBdr>
    </w:div>
    <w:div w:id="1410232889">
      <w:bodyDiv w:val="1"/>
      <w:marLeft w:val="0"/>
      <w:marRight w:val="0"/>
      <w:marTop w:val="0"/>
      <w:marBottom w:val="0"/>
      <w:divBdr>
        <w:top w:val="none" w:sz="0" w:space="0" w:color="auto"/>
        <w:left w:val="none" w:sz="0" w:space="0" w:color="auto"/>
        <w:bottom w:val="none" w:sz="0" w:space="0" w:color="auto"/>
        <w:right w:val="none" w:sz="0" w:space="0" w:color="auto"/>
      </w:divBdr>
    </w:div>
    <w:div w:id="1411468016">
      <w:bodyDiv w:val="1"/>
      <w:marLeft w:val="0"/>
      <w:marRight w:val="0"/>
      <w:marTop w:val="0"/>
      <w:marBottom w:val="0"/>
      <w:divBdr>
        <w:top w:val="none" w:sz="0" w:space="0" w:color="auto"/>
        <w:left w:val="none" w:sz="0" w:space="0" w:color="auto"/>
        <w:bottom w:val="none" w:sz="0" w:space="0" w:color="auto"/>
        <w:right w:val="none" w:sz="0" w:space="0" w:color="auto"/>
      </w:divBdr>
    </w:div>
    <w:div w:id="1422947913">
      <w:bodyDiv w:val="1"/>
      <w:marLeft w:val="0"/>
      <w:marRight w:val="0"/>
      <w:marTop w:val="0"/>
      <w:marBottom w:val="0"/>
      <w:divBdr>
        <w:top w:val="none" w:sz="0" w:space="0" w:color="auto"/>
        <w:left w:val="none" w:sz="0" w:space="0" w:color="auto"/>
        <w:bottom w:val="none" w:sz="0" w:space="0" w:color="auto"/>
        <w:right w:val="none" w:sz="0" w:space="0" w:color="auto"/>
      </w:divBdr>
    </w:div>
    <w:div w:id="1424719678">
      <w:bodyDiv w:val="1"/>
      <w:marLeft w:val="0"/>
      <w:marRight w:val="0"/>
      <w:marTop w:val="0"/>
      <w:marBottom w:val="0"/>
      <w:divBdr>
        <w:top w:val="none" w:sz="0" w:space="0" w:color="auto"/>
        <w:left w:val="none" w:sz="0" w:space="0" w:color="auto"/>
        <w:bottom w:val="none" w:sz="0" w:space="0" w:color="auto"/>
        <w:right w:val="none" w:sz="0" w:space="0" w:color="auto"/>
      </w:divBdr>
    </w:div>
    <w:div w:id="1424915572">
      <w:bodyDiv w:val="1"/>
      <w:marLeft w:val="0"/>
      <w:marRight w:val="0"/>
      <w:marTop w:val="0"/>
      <w:marBottom w:val="0"/>
      <w:divBdr>
        <w:top w:val="none" w:sz="0" w:space="0" w:color="auto"/>
        <w:left w:val="none" w:sz="0" w:space="0" w:color="auto"/>
        <w:bottom w:val="none" w:sz="0" w:space="0" w:color="auto"/>
        <w:right w:val="none" w:sz="0" w:space="0" w:color="auto"/>
      </w:divBdr>
    </w:div>
    <w:div w:id="1429036720">
      <w:bodyDiv w:val="1"/>
      <w:marLeft w:val="0"/>
      <w:marRight w:val="0"/>
      <w:marTop w:val="0"/>
      <w:marBottom w:val="0"/>
      <w:divBdr>
        <w:top w:val="none" w:sz="0" w:space="0" w:color="auto"/>
        <w:left w:val="none" w:sz="0" w:space="0" w:color="auto"/>
        <w:bottom w:val="none" w:sz="0" w:space="0" w:color="auto"/>
        <w:right w:val="none" w:sz="0" w:space="0" w:color="auto"/>
      </w:divBdr>
    </w:div>
    <w:div w:id="1431390024">
      <w:bodyDiv w:val="1"/>
      <w:marLeft w:val="0"/>
      <w:marRight w:val="0"/>
      <w:marTop w:val="0"/>
      <w:marBottom w:val="0"/>
      <w:divBdr>
        <w:top w:val="none" w:sz="0" w:space="0" w:color="auto"/>
        <w:left w:val="none" w:sz="0" w:space="0" w:color="auto"/>
        <w:bottom w:val="none" w:sz="0" w:space="0" w:color="auto"/>
        <w:right w:val="none" w:sz="0" w:space="0" w:color="auto"/>
      </w:divBdr>
    </w:div>
    <w:div w:id="1434086075">
      <w:bodyDiv w:val="1"/>
      <w:marLeft w:val="0"/>
      <w:marRight w:val="0"/>
      <w:marTop w:val="0"/>
      <w:marBottom w:val="0"/>
      <w:divBdr>
        <w:top w:val="none" w:sz="0" w:space="0" w:color="auto"/>
        <w:left w:val="none" w:sz="0" w:space="0" w:color="auto"/>
        <w:bottom w:val="none" w:sz="0" w:space="0" w:color="auto"/>
        <w:right w:val="none" w:sz="0" w:space="0" w:color="auto"/>
      </w:divBdr>
    </w:div>
    <w:div w:id="1435126955">
      <w:bodyDiv w:val="1"/>
      <w:marLeft w:val="0"/>
      <w:marRight w:val="0"/>
      <w:marTop w:val="0"/>
      <w:marBottom w:val="0"/>
      <w:divBdr>
        <w:top w:val="none" w:sz="0" w:space="0" w:color="auto"/>
        <w:left w:val="none" w:sz="0" w:space="0" w:color="auto"/>
        <w:bottom w:val="none" w:sz="0" w:space="0" w:color="auto"/>
        <w:right w:val="none" w:sz="0" w:space="0" w:color="auto"/>
      </w:divBdr>
    </w:div>
    <w:div w:id="1437210899">
      <w:bodyDiv w:val="1"/>
      <w:marLeft w:val="0"/>
      <w:marRight w:val="0"/>
      <w:marTop w:val="0"/>
      <w:marBottom w:val="0"/>
      <w:divBdr>
        <w:top w:val="none" w:sz="0" w:space="0" w:color="auto"/>
        <w:left w:val="none" w:sz="0" w:space="0" w:color="auto"/>
        <w:bottom w:val="none" w:sz="0" w:space="0" w:color="auto"/>
        <w:right w:val="none" w:sz="0" w:space="0" w:color="auto"/>
      </w:divBdr>
    </w:div>
    <w:div w:id="1437335707">
      <w:bodyDiv w:val="1"/>
      <w:marLeft w:val="0"/>
      <w:marRight w:val="0"/>
      <w:marTop w:val="0"/>
      <w:marBottom w:val="0"/>
      <w:divBdr>
        <w:top w:val="none" w:sz="0" w:space="0" w:color="auto"/>
        <w:left w:val="none" w:sz="0" w:space="0" w:color="auto"/>
        <w:bottom w:val="none" w:sz="0" w:space="0" w:color="auto"/>
        <w:right w:val="none" w:sz="0" w:space="0" w:color="auto"/>
      </w:divBdr>
    </w:div>
    <w:div w:id="1439639213">
      <w:marLeft w:val="0"/>
      <w:marRight w:val="0"/>
      <w:marTop w:val="0"/>
      <w:marBottom w:val="0"/>
      <w:divBdr>
        <w:top w:val="none" w:sz="0" w:space="0" w:color="auto"/>
        <w:left w:val="none" w:sz="0" w:space="0" w:color="auto"/>
        <w:bottom w:val="none" w:sz="0" w:space="0" w:color="auto"/>
        <w:right w:val="none" w:sz="0" w:space="0" w:color="auto"/>
      </w:divBdr>
      <w:divsChild>
        <w:div w:id="1537309453">
          <w:marLeft w:val="0"/>
          <w:marRight w:val="0"/>
          <w:marTop w:val="0"/>
          <w:marBottom w:val="0"/>
          <w:divBdr>
            <w:top w:val="none" w:sz="0" w:space="0" w:color="auto"/>
            <w:left w:val="none" w:sz="0" w:space="0" w:color="auto"/>
            <w:bottom w:val="none" w:sz="0" w:space="0" w:color="auto"/>
            <w:right w:val="none" w:sz="0" w:space="0" w:color="auto"/>
          </w:divBdr>
        </w:div>
      </w:divsChild>
    </w:div>
    <w:div w:id="1451126857">
      <w:bodyDiv w:val="1"/>
      <w:marLeft w:val="0"/>
      <w:marRight w:val="0"/>
      <w:marTop w:val="0"/>
      <w:marBottom w:val="0"/>
      <w:divBdr>
        <w:top w:val="none" w:sz="0" w:space="0" w:color="auto"/>
        <w:left w:val="none" w:sz="0" w:space="0" w:color="auto"/>
        <w:bottom w:val="none" w:sz="0" w:space="0" w:color="auto"/>
        <w:right w:val="none" w:sz="0" w:space="0" w:color="auto"/>
      </w:divBdr>
    </w:div>
    <w:div w:id="1470779163">
      <w:bodyDiv w:val="1"/>
      <w:marLeft w:val="0"/>
      <w:marRight w:val="0"/>
      <w:marTop w:val="0"/>
      <w:marBottom w:val="0"/>
      <w:divBdr>
        <w:top w:val="none" w:sz="0" w:space="0" w:color="auto"/>
        <w:left w:val="none" w:sz="0" w:space="0" w:color="auto"/>
        <w:bottom w:val="none" w:sz="0" w:space="0" w:color="auto"/>
        <w:right w:val="none" w:sz="0" w:space="0" w:color="auto"/>
      </w:divBdr>
    </w:div>
    <w:div w:id="1476289436">
      <w:bodyDiv w:val="1"/>
      <w:marLeft w:val="0"/>
      <w:marRight w:val="0"/>
      <w:marTop w:val="0"/>
      <w:marBottom w:val="0"/>
      <w:divBdr>
        <w:top w:val="none" w:sz="0" w:space="0" w:color="auto"/>
        <w:left w:val="none" w:sz="0" w:space="0" w:color="auto"/>
        <w:bottom w:val="none" w:sz="0" w:space="0" w:color="auto"/>
        <w:right w:val="none" w:sz="0" w:space="0" w:color="auto"/>
      </w:divBdr>
    </w:div>
    <w:div w:id="1480224655">
      <w:bodyDiv w:val="1"/>
      <w:marLeft w:val="0"/>
      <w:marRight w:val="0"/>
      <w:marTop w:val="0"/>
      <w:marBottom w:val="0"/>
      <w:divBdr>
        <w:top w:val="none" w:sz="0" w:space="0" w:color="auto"/>
        <w:left w:val="none" w:sz="0" w:space="0" w:color="auto"/>
        <w:bottom w:val="none" w:sz="0" w:space="0" w:color="auto"/>
        <w:right w:val="none" w:sz="0" w:space="0" w:color="auto"/>
      </w:divBdr>
      <w:divsChild>
        <w:div w:id="509567779">
          <w:marLeft w:val="0"/>
          <w:marRight w:val="0"/>
          <w:marTop w:val="0"/>
          <w:marBottom w:val="0"/>
          <w:divBdr>
            <w:top w:val="none" w:sz="0" w:space="0" w:color="auto"/>
            <w:left w:val="none" w:sz="0" w:space="0" w:color="auto"/>
            <w:bottom w:val="none" w:sz="0" w:space="0" w:color="auto"/>
            <w:right w:val="none" w:sz="0" w:space="0" w:color="auto"/>
          </w:divBdr>
          <w:divsChild>
            <w:div w:id="478230492">
              <w:marLeft w:val="0"/>
              <w:marRight w:val="0"/>
              <w:marTop w:val="0"/>
              <w:marBottom w:val="0"/>
              <w:divBdr>
                <w:top w:val="none" w:sz="0" w:space="0" w:color="auto"/>
                <w:left w:val="none" w:sz="0" w:space="0" w:color="auto"/>
                <w:bottom w:val="none" w:sz="0" w:space="0" w:color="auto"/>
                <w:right w:val="none" w:sz="0" w:space="0" w:color="auto"/>
              </w:divBdr>
            </w:div>
          </w:divsChild>
        </w:div>
        <w:div w:id="751395690">
          <w:marLeft w:val="0"/>
          <w:marRight w:val="0"/>
          <w:marTop w:val="0"/>
          <w:marBottom w:val="0"/>
          <w:divBdr>
            <w:top w:val="none" w:sz="0" w:space="0" w:color="auto"/>
            <w:left w:val="none" w:sz="0" w:space="0" w:color="auto"/>
            <w:bottom w:val="none" w:sz="0" w:space="0" w:color="auto"/>
            <w:right w:val="none" w:sz="0" w:space="0" w:color="auto"/>
          </w:divBdr>
          <w:divsChild>
            <w:div w:id="1479809424">
              <w:marLeft w:val="0"/>
              <w:marRight w:val="0"/>
              <w:marTop w:val="0"/>
              <w:marBottom w:val="0"/>
              <w:divBdr>
                <w:top w:val="none" w:sz="0" w:space="0" w:color="auto"/>
                <w:left w:val="none" w:sz="0" w:space="0" w:color="auto"/>
                <w:bottom w:val="none" w:sz="0" w:space="0" w:color="auto"/>
                <w:right w:val="none" w:sz="0" w:space="0" w:color="auto"/>
              </w:divBdr>
            </w:div>
          </w:divsChild>
        </w:div>
        <w:div w:id="1261062178">
          <w:marLeft w:val="0"/>
          <w:marRight w:val="0"/>
          <w:marTop w:val="0"/>
          <w:marBottom w:val="0"/>
          <w:divBdr>
            <w:top w:val="none" w:sz="0" w:space="0" w:color="auto"/>
            <w:left w:val="none" w:sz="0" w:space="0" w:color="auto"/>
            <w:bottom w:val="none" w:sz="0" w:space="0" w:color="auto"/>
            <w:right w:val="none" w:sz="0" w:space="0" w:color="auto"/>
          </w:divBdr>
          <w:divsChild>
            <w:div w:id="20716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95593">
      <w:bodyDiv w:val="1"/>
      <w:marLeft w:val="0"/>
      <w:marRight w:val="0"/>
      <w:marTop w:val="0"/>
      <w:marBottom w:val="0"/>
      <w:divBdr>
        <w:top w:val="none" w:sz="0" w:space="0" w:color="auto"/>
        <w:left w:val="none" w:sz="0" w:space="0" w:color="auto"/>
        <w:bottom w:val="none" w:sz="0" w:space="0" w:color="auto"/>
        <w:right w:val="none" w:sz="0" w:space="0" w:color="auto"/>
      </w:divBdr>
    </w:div>
    <w:div w:id="1483697287">
      <w:bodyDiv w:val="1"/>
      <w:marLeft w:val="0"/>
      <w:marRight w:val="0"/>
      <w:marTop w:val="0"/>
      <w:marBottom w:val="0"/>
      <w:divBdr>
        <w:top w:val="none" w:sz="0" w:space="0" w:color="auto"/>
        <w:left w:val="none" w:sz="0" w:space="0" w:color="auto"/>
        <w:bottom w:val="none" w:sz="0" w:space="0" w:color="auto"/>
        <w:right w:val="none" w:sz="0" w:space="0" w:color="auto"/>
      </w:divBdr>
    </w:div>
    <w:div w:id="1499078511">
      <w:bodyDiv w:val="1"/>
      <w:marLeft w:val="0"/>
      <w:marRight w:val="0"/>
      <w:marTop w:val="0"/>
      <w:marBottom w:val="0"/>
      <w:divBdr>
        <w:top w:val="none" w:sz="0" w:space="0" w:color="auto"/>
        <w:left w:val="none" w:sz="0" w:space="0" w:color="auto"/>
        <w:bottom w:val="none" w:sz="0" w:space="0" w:color="auto"/>
        <w:right w:val="none" w:sz="0" w:space="0" w:color="auto"/>
      </w:divBdr>
    </w:div>
    <w:div w:id="1505320536">
      <w:bodyDiv w:val="1"/>
      <w:marLeft w:val="0"/>
      <w:marRight w:val="0"/>
      <w:marTop w:val="0"/>
      <w:marBottom w:val="0"/>
      <w:divBdr>
        <w:top w:val="none" w:sz="0" w:space="0" w:color="auto"/>
        <w:left w:val="none" w:sz="0" w:space="0" w:color="auto"/>
        <w:bottom w:val="none" w:sz="0" w:space="0" w:color="auto"/>
        <w:right w:val="none" w:sz="0" w:space="0" w:color="auto"/>
      </w:divBdr>
    </w:div>
    <w:div w:id="1510146233">
      <w:bodyDiv w:val="1"/>
      <w:marLeft w:val="0"/>
      <w:marRight w:val="0"/>
      <w:marTop w:val="0"/>
      <w:marBottom w:val="0"/>
      <w:divBdr>
        <w:top w:val="none" w:sz="0" w:space="0" w:color="auto"/>
        <w:left w:val="none" w:sz="0" w:space="0" w:color="auto"/>
        <w:bottom w:val="none" w:sz="0" w:space="0" w:color="auto"/>
        <w:right w:val="none" w:sz="0" w:space="0" w:color="auto"/>
      </w:divBdr>
    </w:div>
    <w:div w:id="1512793956">
      <w:bodyDiv w:val="1"/>
      <w:marLeft w:val="0"/>
      <w:marRight w:val="0"/>
      <w:marTop w:val="0"/>
      <w:marBottom w:val="0"/>
      <w:divBdr>
        <w:top w:val="none" w:sz="0" w:space="0" w:color="auto"/>
        <w:left w:val="none" w:sz="0" w:space="0" w:color="auto"/>
        <w:bottom w:val="none" w:sz="0" w:space="0" w:color="auto"/>
        <w:right w:val="none" w:sz="0" w:space="0" w:color="auto"/>
      </w:divBdr>
    </w:div>
    <w:div w:id="1513570622">
      <w:bodyDiv w:val="1"/>
      <w:marLeft w:val="0"/>
      <w:marRight w:val="0"/>
      <w:marTop w:val="0"/>
      <w:marBottom w:val="0"/>
      <w:divBdr>
        <w:top w:val="none" w:sz="0" w:space="0" w:color="auto"/>
        <w:left w:val="none" w:sz="0" w:space="0" w:color="auto"/>
        <w:bottom w:val="none" w:sz="0" w:space="0" w:color="auto"/>
        <w:right w:val="none" w:sz="0" w:space="0" w:color="auto"/>
      </w:divBdr>
    </w:div>
    <w:div w:id="1519660804">
      <w:bodyDiv w:val="1"/>
      <w:marLeft w:val="0"/>
      <w:marRight w:val="0"/>
      <w:marTop w:val="0"/>
      <w:marBottom w:val="0"/>
      <w:divBdr>
        <w:top w:val="none" w:sz="0" w:space="0" w:color="auto"/>
        <w:left w:val="none" w:sz="0" w:space="0" w:color="auto"/>
        <w:bottom w:val="none" w:sz="0" w:space="0" w:color="auto"/>
        <w:right w:val="none" w:sz="0" w:space="0" w:color="auto"/>
      </w:divBdr>
    </w:div>
    <w:div w:id="1523199740">
      <w:bodyDiv w:val="1"/>
      <w:marLeft w:val="0"/>
      <w:marRight w:val="0"/>
      <w:marTop w:val="0"/>
      <w:marBottom w:val="0"/>
      <w:divBdr>
        <w:top w:val="none" w:sz="0" w:space="0" w:color="auto"/>
        <w:left w:val="none" w:sz="0" w:space="0" w:color="auto"/>
        <w:bottom w:val="none" w:sz="0" w:space="0" w:color="auto"/>
        <w:right w:val="none" w:sz="0" w:space="0" w:color="auto"/>
      </w:divBdr>
    </w:div>
    <w:div w:id="1527329297">
      <w:bodyDiv w:val="1"/>
      <w:marLeft w:val="0"/>
      <w:marRight w:val="0"/>
      <w:marTop w:val="0"/>
      <w:marBottom w:val="0"/>
      <w:divBdr>
        <w:top w:val="none" w:sz="0" w:space="0" w:color="auto"/>
        <w:left w:val="none" w:sz="0" w:space="0" w:color="auto"/>
        <w:bottom w:val="none" w:sz="0" w:space="0" w:color="auto"/>
        <w:right w:val="none" w:sz="0" w:space="0" w:color="auto"/>
      </w:divBdr>
    </w:div>
    <w:div w:id="1527793992">
      <w:bodyDiv w:val="1"/>
      <w:marLeft w:val="0"/>
      <w:marRight w:val="0"/>
      <w:marTop w:val="0"/>
      <w:marBottom w:val="0"/>
      <w:divBdr>
        <w:top w:val="none" w:sz="0" w:space="0" w:color="auto"/>
        <w:left w:val="none" w:sz="0" w:space="0" w:color="auto"/>
        <w:bottom w:val="none" w:sz="0" w:space="0" w:color="auto"/>
        <w:right w:val="none" w:sz="0" w:space="0" w:color="auto"/>
      </w:divBdr>
    </w:div>
    <w:div w:id="1529415186">
      <w:bodyDiv w:val="1"/>
      <w:marLeft w:val="0"/>
      <w:marRight w:val="0"/>
      <w:marTop w:val="0"/>
      <w:marBottom w:val="0"/>
      <w:divBdr>
        <w:top w:val="none" w:sz="0" w:space="0" w:color="auto"/>
        <w:left w:val="none" w:sz="0" w:space="0" w:color="auto"/>
        <w:bottom w:val="none" w:sz="0" w:space="0" w:color="auto"/>
        <w:right w:val="none" w:sz="0" w:space="0" w:color="auto"/>
      </w:divBdr>
    </w:div>
    <w:div w:id="1531643566">
      <w:bodyDiv w:val="1"/>
      <w:marLeft w:val="0"/>
      <w:marRight w:val="0"/>
      <w:marTop w:val="0"/>
      <w:marBottom w:val="0"/>
      <w:divBdr>
        <w:top w:val="none" w:sz="0" w:space="0" w:color="auto"/>
        <w:left w:val="none" w:sz="0" w:space="0" w:color="auto"/>
        <w:bottom w:val="none" w:sz="0" w:space="0" w:color="auto"/>
        <w:right w:val="none" w:sz="0" w:space="0" w:color="auto"/>
      </w:divBdr>
    </w:div>
    <w:div w:id="1534928240">
      <w:bodyDiv w:val="1"/>
      <w:marLeft w:val="0"/>
      <w:marRight w:val="0"/>
      <w:marTop w:val="0"/>
      <w:marBottom w:val="0"/>
      <w:divBdr>
        <w:top w:val="none" w:sz="0" w:space="0" w:color="auto"/>
        <w:left w:val="none" w:sz="0" w:space="0" w:color="auto"/>
        <w:bottom w:val="none" w:sz="0" w:space="0" w:color="auto"/>
        <w:right w:val="none" w:sz="0" w:space="0" w:color="auto"/>
      </w:divBdr>
    </w:div>
    <w:div w:id="1535535897">
      <w:bodyDiv w:val="1"/>
      <w:marLeft w:val="0"/>
      <w:marRight w:val="0"/>
      <w:marTop w:val="0"/>
      <w:marBottom w:val="0"/>
      <w:divBdr>
        <w:top w:val="none" w:sz="0" w:space="0" w:color="auto"/>
        <w:left w:val="none" w:sz="0" w:space="0" w:color="auto"/>
        <w:bottom w:val="none" w:sz="0" w:space="0" w:color="auto"/>
        <w:right w:val="none" w:sz="0" w:space="0" w:color="auto"/>
      </w:divBdr>
    </w:div>
    <w:div w:id="1540193907">
      <w:bodyDiv w:val="1"/>
      <w:marLeft w:val="0"/>
      <w:marRight w:val="0"/>
      <w:marTop w:val="0"/>
      <w:marBottom w:val="0"/>
      <w:divBdr>
        <w:top w:val="none" w:sz="0" w:space="0" w:color="auto"/>
        <w:left w:val="none" w:sz="0" w:space="0" w:color="auto"/>
        <w:bottom w:val="none" w:sz="0" w:space="0" w:color="auto"/>
        <w:right w:val="none" w:sz="0" w:space="0" w:color="auto"/>
      </w:divBdr>
    </w:div>
    <w:div w:id="1548687292">
      <w:bodyDiv w:val="1"/>
      <w:marLeft w:val="0"/>
      <w:marRight w:val="0"/>
      <w:marTop w:val="0"/>
      <w:marBottom w:val="0"/>
      <w:divBdr>
        <w:top w:val="none" w:sz="0" w:space="0" w:color="auto"/>
        <w:left w:val="none" w:sz="0" w:space="0" w:color="auto"/>
        <w:bottom w:val="none" w:sz="0" w:space="0" w:color="auto"/>
        <w:right w:val="none" w:sz="0" w:space="0" w:color="auto"/>
      </w:divBdr>
    </w:div>
    <w:div w:id="1552767697">
      <w:bodyDiv w:val="1"/>
      <w:marLeft w:val="0"/>
      <w:marRight w:val="0"/>
      <w:marTop w:val="0"/>
      <w:marBottom w:val="0"/>
      <w:divBdr>
        <w:top w:val="none" w:sz="0" w:space="0" w:color="auto"/>
        <w:left w:val="none" w:sz="0" w:space="0" w:color="auto"/>
        <w:bottom w:val="none" w:sz="0" w:space="0" w:color="auto"/>
        <w:right w:val="none" w:sz="0" w:space="0" w:color="auto"/>
      </w:divBdr>
    </w:div>
    <w:div w:id="1566527365">
      <w:bodyDiv w:val="1"/>
      <w:marLeft w:val="0"/>
      <w:marRight w:val="0"/>
      <w:marTop w:val="0"/>
      <w:marBottom w:val="0"/>
      <w:divBdr>
        <w:top w:val="none" w:sz="0" w:space="0" w:color="auto"/>
        <w:left w:val="none" w:sz="0" w:space="0" w:color="auto"/>
        <w:bottom w:val="none" w:sz="0" w:space="0" w:color="auto"/>
        <w:right w:val="none" w:sz="0" w:space="0" w:color="auto"/>
      </w:divBdr>
    </w:div>
    <w:div w:id="1567102424">
      <w:bodyDiv w:val="1"/>
      <w:marLeft w:val="0"/>
      <w:marRight w:val="0"/>
      <w:marTop w:val="0"/>
      <w:marBottom w:val="0"/>
      <w:divBdr>
        <w:top w:val="none" w:sz="0" w:space="0" w:color="auto"/>
        <w:left w:val="none" w:sz="0" w:space="0" w:color="auto"/>
        <w:bottom w:val="none" w:sz="0" w:space="0" w:color="auto"/>
        <w:right w:val="none" w:sz="0" w:space="0" w:color="auto"/>
      </w:divBdr>
    </w:div>
    <w:div w:id="1570917016">
      <w:bodyDiv w:val="1"/>
      <w:marLeft w:val="0"/>
      <w:marRight w:val="0"/>
      <w:marTop w:val="0"/>
      <w:marBottom w:val="0"/>
      <w:divBdr>
        <w:top w:val="none" w:sz="0" w:space="0" w:color="auto"/>
        <w:left w:val="none" w:sz="0" w:space="0" w:color="auto"/>
        <w:bottom w:val="none" w:sz="0" w:space="0" w:color="auto"/>
        <w:right w:val="none" w:sz="0" w:space="0" w:color="auto"/>
      </w:divBdr>
    </w:div>
    <w:div w:id="1585533742">
      <w:bodyDiv w:val="1"/>
      <w:marLeft w:val="0"/>
      <w:marRight w:val="0"/>
      <w:marTop w:val="0"/>
      <w:marBottom w:val="0"/>
      <w:divBdr>
        <w:top w:val="none" w:sz="0" w:space="0" w:color="auto"/>
        <w:left w:val="none" w:sz="0" w:space="0" w:color="auto"/>
        <w:bottom w:val="none" w:sz="0" w:space="0" w:color="auto"/>
        <w:right w:val="none" w:sz="0" w:space="0" w:color="auto"/>
      </w:divBdr>
    </w:div>
    <w:div w:id="1591355434">
      <w:bodyDiv w:val="1"/>
      <w:marLeft w:val="0"/>
      <w:marRight w:val="0"/>
      <w:marTop w:val="0"/>
      <w:marBottom w:val="0"/>
      <w:divBdr>
        <w:top w:val="none" w:sz="0" w:space="0" w:color="auto"/>
        <w:left w:val="none" w:sz="0" w:space="0" w:color="auto"/>
        <w:bottom w:val="none" w:sz="0" w:space="0" w:color="auto"/>
        <w:right w:val="none" w:sz="0" w:space="0" w:color="auto"/>
      </w:divBdr>
    </w:div>
    <w:div w:id="1595549046">
      <w:bodyDiv w:val="1"/>
      <w:marLeft w:val="0"/>
      <w:marRight w:val="0"/>
      <w:marTop w:val="0"/>
      <w:marBottom w:val="0"/>
      <w:divBdr>
        <w:top w:val="none" w:sz="0" w:space="0" w:color="auto"/>
        <w:left w:val="none" w:sz="0" w:space="0" w:color="auto"/>
        <w:bottom w:val="none" w:sz="0" w:space="0" w:color="auto"/>
        <w:right w:val="none" w:sz="0" w:space="0" w:color="auto"/>
      </w:divBdr>
    </w:div>
    <w:div w:id="1598752888">
      <w:bodyDiv w:val="1"/>
      <w:marLeft w:val="0"/>
      <w:marRight w:val="0"/>
      <w:marTop w:val="0"/>
      <w:marBottom w:val="0"/>
      <w:divBdr>
        <w:top w:val="none" w:sz="0" w:space="0" w:color="auto"/>
        <w:left w:val="none" w:sz="0" w:space="0" w:color="auto"/>
        <w:bottom w:val="none" w:sz="0" w:space="0" w:color="auto"/>
        <w:right w:val="none" w:sz="0" w:space="0" w:color="auto"/>
      </w:divBdr>
    </w:div>
    <w:div w:id="1599294176">
      <w:bodyDiv w:val="1"/>
      <w:marLeft w:val="0"/>
      <w:marRight w:val="0"/>
      <w:marTop w:val="0"/>
      <w:marBottom w:val="0"/>
      <w:divBdr>
        <w:top w:val="none" w:sz="0" w:space="0" w:color="auto"/>
        <w:left w:val="none" w:sz="0" w:space="0" w:color="auto"/>
        <w:bottom w:val="none" w:sz="0" w:space="0" w:color="auto"/>
        <w:right w:val="none" w:sz="0" w:space="0" w:color="auto"/>
      </w:divBdr>
    </w:div>
    <w:div w:id="1600479163">
      <w:bodyDiv w:val="1"/>
      <w:marLeft w:val="0"/>
      <w:marRight w:val="0"/>
      <w:marTop w:val="0"/>
      <w:marBottom w:val="0"/>
      <w:divBdr>
        <w:top w:val="none" w:sz="0" w:space="0" w:color="auto"/>
        <w:left w:val="none" w:sz="0" w:space="0" w:color="auto"/>
        <w:bottom w:val="none" w:sz="0" w:space="0" w:color="auto"/>
        <w:right w:val="none" w:sz="0" w:space="0" w:color="auto"/>
      </w:divBdr>
    </w:div>
    <w:div w:id="1601642745">
      <w:bodyDiv w:val="1"/>
      <w:marLeft w:val="0"/>
      <w:marRight w:val="0"/>
      <w:marTop w:val="0"/>
      <w:marBottom w:val="0"/>
      <w:divBdr>
        <w:top w:val="none" w:sz="0" w:space="0" w:color="auto"/>
        <w:left w:val="none" w:sz="0" w:space="0" w:color="auto"/>
        <w:bottom w:val="none" w:sz="0" w:space="0" w:color="auto"/>
        <w:right w:val="none" w:sz="0" w:space="0" w:color="auto"/>
      </w:divBdr>
    </w:div>
    <w:div w:id="1620990188">
      <w:bodyDiv w:val="1"/>
      <w:marLeft w:val="0"/>
      <w:marRight w:val="0"/>
      <w:marTop w:val="0"/>
      <w:marBottom w:val="0"/>
      <w:divBdr>
        <w:top w:val="none" w:sz="0" w:space="0" w:color="auto"/>
        <w:left w:val="none" w:sz="0" w:space="0" w:color="auto"/>
        <w:bottom w:val="none" w:sz="0" w:space="0" w:color="auto"/>
        <w:right w:val="none" w:sz="0" w:space="0" w:color="auto"/>
      </w:divBdr>
    </w:div>
    <w:div w:id="1627739760">
      <w:bodyDiv w:val="1"/>
      <w:marLeft w:val="0"/>
      <w:marRight w:val="0"/>
      <w:marTop w:val="0"/>
      <w:marBottom w:val="0"/>
      <w:divBdr>
        <w:top w:val="none" w:sz="0" w:space="0" w:color="auto"/>
        <w:left w:val="none" w:sz="0" w:space="0" w:color="auto"/>
        <w:bottom w:val="none" w:sz="0" w:space="0" w:color="auto"/>
        <w:right w:val="none" w:sz="0" w:space="0" w:color="auto"/>
      </w:divBdr>
    </w:div>
    <w:div w:id="1638947121">
      <w:bodyDiv w:val="1"/>
      <w:marLeft w:val="0"/>
      <w:marRight w:val="0"/>
      <w:marTop w:val="0"/>
      <w:marBottom w:val="0"/>
      <w:divBdr>
        <w:top w:val="none" w:sz="0" w:space="0" w:color="auto"/>
        <w:left w:val="none" w:sz="0" w:space="0" w:color="auto"/>
        <w:bottom w:val="none" w:sz="0" w:space="0" w:color="auto"/>
        <w:right w:val="none" w:sz="0" w:space="0" w:color="auto"/>
      </w:divBdr>
    </w:div>
    <w:div w:id="1658151591">
      <w:bodyDiv w:val="1"/>
      <w:marLeft w:val="0"/>
      <w:marRight w:val="0"/>
      <w:marTop w:val="0"/>
      <w:marBottom w:val="0"/>
      <w:divBdr>
        <w:top w:val="none" w:sz="0" w:space="0" w:color="auto"/>
        <w:left w:val="none" w:sz="0" w:space="0" w:color="auto"/>
        <w:bottom w:val="none" w:sz="0" w:space="0" w:color="auto"/>
        <w:right w:val="none" w:sz="0" w:space="0" w:color="auto"/>
      </w:divBdr>
    </w:div>
    <w:div w:id="1658192129">
      <w:bodyDiv w:val="1"/>
      <w:marLeft w:val="0"/>
      <w:marRight w:val="0"/>
      <w:marTop w:val="0"/>
      <w:marBottom w:val="0"/>
      <w:divBdr>
        <w:top w:val="none" w:sz="0" w:space="0" w:color="auto"/>
        <w:left w:val="none" w:sz="0" w:space="0" w:color="auto"/>
        <w:bottom w:val="none" w:sz="0" w:space="0" w:color="auto"/>
        <w:right w:val="none" w:sz="0" w:space="0" w:color="auto"/>
      </w:divBdr>
    </w:div>
    <w:div w:id="1658613657">
      <w:bodyDiv w:val="1"/>
      <w:marLeft w:val="0"/>
      <w:marRight w:val="0"/>
      <w:marTop w:val="0"/>
      <w:marBottom w:val="0"/>
      <w:divBdr>
        <w:top w:val="none" w:sz="0" w:space="0" w:color="auto"/>
        <w:left w:val="none" w:sz="0" w:space="0" w:color="auto"/>
        <w:bottom w:val="none" w:sz="0" w:space="0" w:color="auto"/>
        <w:right w:val="none" w:sz="0" w:space="0" w:color="auto"/>
      </w:divBdr>
    </w:div>
    <w:div w:id="1662730654">
      <w:bodyDiv w:val="1"/>
      <w:marLeft w:val="0"/>
      <w:marRight w:val="0"/>
      <w:marTop w:val="0"/>
      <w:marBottom w:val="0"/>
      <w:divBdr>
        <w:top w:val="none" w:sz="0" w:space="0" w:color="auto"/>
        <w:left w:val="none" w:sz="0" w:space="0" w:color="auto"/>
        <w:bottom w:val="none" w:sz="0" w:space="0" w:color="auto"/>
        <w:right w:val="none" w:sz="0" w:space="0" w:color="auto"/>
      </w:divBdr>
    </w:div>
    <w:div w:id="1672099649">
      <w:marLeft w:val="0"/>
      <w:marRight w:val="0"/>
      <w:marTop w:val="0"/>
      <w:marBottom w:val="0"/>
      <w:divBdr>
        <w:top w:val="none" w:sz="0" w:space="0" w:color="auto"/>
        <w:left w:val="none" w:sz="0" w:space="0" w:color="auto"/>
        <w:bottom w:val="none" w:sz="0" w:space="0" w:color="auto"/>
        <w:right w:val="none" w:sz="0" w:space="0" w:color="auto"/>
      </w:divBdr>
      <w:divsChild>
        <w:div w:id="805321798">
          <w:marLeft w:val="0"/>
          <w:marRight w:val="0"/>
          <w:marTop w:val="0"/>
          <w:marBottom w:val="0"/>
          <w:divBdr>
            <w:top w:val="none" w:sz="0" w:space="0" w:color="auto"/>
            <w:left w:val="none" w:sz="0" w:space="0" w:color="auto"/>
            <w:bottom w:val="none" w:sz="0" w:space="0" w:color="auto"/>
            <w:right w:val="none" w:sz="0" w:space="0" w:color="auto"/>
          </w:divBdr>
        </w:div>
      </w:divsChild>
    </w:div>
    <w:div w:id="1682972579">
      <w:bodyDiv w:val="1"/>
      <w:marLeft w:val="0"/>
      <w:marRight w:val="0"/>
      <w:marTop w:val="0"/>
      <w:marBottom w:val="0"/>
      <w:divBdr>
        <w:top w:val="none" w:sz="0" w:space="0" w:color="auto"/>
        <w:left w:val="none" w:sz="0" w:space="0" w:color="auto"/>
        <w:bottom w:val="none" w:sz="0" w:space="0" w:color="auto"/>
        <w:right w:val="none" w:sz="0" w:space="0" w:color="auto"/>
      </w:divBdr>
    </w:div>
    <w:div w:id="1684934665">
      <w:bodyDiv w:val="1"/>
      <w:marLeft w:val="0"/>
      <w:marRight w:val="0"/>
      <w:marTop w:val="0"/>
      <w:marBottom w:val="0"/>
      <w:divBdr>
        <w:top w:val="none" w:sz="0" w:space="0" w:color="auto"/>
        <w:left w:val="none" w:sz="0" w:space="0" w:color="auto"/>
        <w:bottom w:val="none" w:sz="0" w:space="0" w:color="auto"/>
        <w:right w:val="none" w:sz="0" w:space="0" w:color="auto"/>
      </w:divBdr>
    </w:div>
    <w:div w:id="1695879909">
      <w:bodyDiv w:val="1"/>
      <w:marLeft w:val="0"/>
      <w:marRight w:val="0"/>
      <w:marTop w:val="0"/>
      <w:marBottom w:val="0"/>
      <w:divBdr>
        <w:top w:val="none" w:sz="0" w:space="0" w:color="auto"/>
        <w:left w:val="none" w:sz="0" w:space="0" w:color="auto"/>
        <w:bottom w:val="none" w:sz="0" w:space="0" w:color="auto"/>
        <w:right w:val="none" w:sz="0" w:space="0" w:color="auto"/>
      </w:divBdr>
    </w:div>
    <w:div w:id="1697383311">
      <w:bodyDiv w:val="1"/>
      <w:marLeft w:val="0"/>
      <w:marRight w:val="0"/>
      <w:marTop w:val="0"/>
      <w:marBottom w:val="0"/>
      <w:divBdr>
        <w:top w:val="none" w:sz="0" w:space="0" w:color="auto"/>
        <w:left w:val="none" w:sz="0" w:space="0" w:color="auto"/>
        <w:bottom w:val="none" w:sz="0" w:space="0" w:color="auto"/>
        <w:right w:val="none" w:sz="0" w:space="0" w:color="auto"/>
      </w:divBdr>
    </w:div>
    <w:div w:id="1702050195">
      <w:bodyDiv w:val="1"/>
      <w:marLeft w:val="0"/>
      <w:marRight w:val="0"/>
      <w:marTop w:val="0"/>
      <w:marBottom w:val="0"/>
      <w:divBdr>
        <w:top w:val="none" w:sz="0" w:space="0" w:color="auto"/>
        <w:left w:val="none" w:sz="0" w:space="0" w:color="auto"/>
        <w:bottom w:val="none" w:sz="0" w:space="0" w:color="auto"/>
        <w:right w:val="none" w:sz="0" w:space="0" w:color="auto"/>
      </w:divBdr>
    </w:div>
    <w:div w:id="1702822107">
      <w:bodyDiv w:val="1"/>
      <w:marLeft w:val="0"/>
      <w:marRight w:val="0"/>
      <w:marTop w:val="0"/>
      <w:marBottom w:val="0"/>
      <w:divBdr>
        <w:top w:val="none" w:sz="0" w:space="0" w:color="auto"/>
        <w:left w:val="none" w:sz="0" w:space="0" w:color="auto"/>
        <w:bottom w:val="none" w:sz="0" w:space="0" w:color="auto"/>
        <w:right w:val="none" w:sz="0" w:space="0" w:color="auto"/>
      </w:divBdr>
    </w:div>
    <w:div w:id="1706325957">
      <w:marLeft w:val="0"/>
      <w:marRight w:val="0"/>
      <w:marTop w:val="0"/>
      <w:marBottom w:val="0"/>
      <w:divBdr>
        <w:top w:val="none" w:sz="0" w:space="0" w:color="auto"/>
        <w:left w:val="none" w:sz="0" w:space="0" w:color="auto"/>
        <w:bottom w:val="none" w:sz="0" w:space="0" w:color="auto"/>
        <w:right w:val="none" w:sz="0" w:space="0" w:color="auto"/>
      </w:divBdr>
      <w:divsChild>
        <w:div w:id="1957061842">
          <w:marLeft w:val="0"/>
          <w:marRight w:val="0"/>
          <w:marTop w:val="0"/>
          <w:marBottom w:val="0"/>
          <w:divBdr>
            <w:top w:val="none" w:sz="0" w:space="0" w:color="auto"/>
            <w:left w:val="none" w:sz="0" w:space="0" w:color="auto"/>
            <w:bottom w:val="none" w:sz="0" w:space="0" w:color="auto"/>
            <w:right w:val="none" w:sz="0" w:space="0" w:color="auto"/>
          </w:divBdr>
        </w:div>
      </w:divsChild>
    </w:div>
    <w:div w:id="1707755624">
      <w:bodyDiv w:val="1"/>
      <w:marLeft w:val="0"/>
      <w:marRight w:val="0"/>
      <w:marTop w:val="0"/>
      <w:marBottom w:val="0"/>
      <w:divBdr>
        <w:top w:val="none" w:sz="0" w:space="0" w:color="auto"/>
        <w:left w:val="none" w:sz="0" w:space="0" w:color="auto"/>
        <w:bottom w:val="none" w:sz="0" w:space="0" w:color="auto"/>
        <w:right w:val="none" w:sz="0" w:space="0" w:color="auto"/>
      </w:divBdr>
    </w:div>
    <w:div w:id="1707827815">
      <w:bodyDiv w:val="1"/>
      <w:marLeft w:val="0"/>
      <w:marRight w:val="0"/>
      <w:marTop w:val="0"/>
      <w:marBottom w:val="0"/>
      <w:divBdr>
        <w:top w:val="none" w:sz="0" w:space="0" w:color="auto"/>
        <w:left w:val="none" w:sz="0" w:space="0" w:color="auto"/>
        <w:bottom w:val="none" w:sz="0" w:space="0" w:color="auto"/>
        <w:right w:val="none" w:sz="0" w:space="0" w:color="auto"/>
      </w:divBdr>
    </w:div>
    <w:div w:id="1713920560">
      <w:bodyDiv w:val="1"/>
      <w:marLeft w:val="0"/>
      <w:marRight w:val="0"/>
      <w:marTop w:val="0"/>
      <w:marBottom w:val="0"/>
      <w:divBdr>
        <w:top w:val="none" w:sz="0" w:space="0" w:color="auto"/>
        <w:left w:val="none" w:sz="0" w:space="0" w:color="auto"/>
        <w:bottom w:val="none" w:sz="0" w:space="0" w:color="auto"/>
        <w:right w:val="none" w:sz="0" w:space="0" w:color="auto"/>
      </w:divBdr>
    </w:div>
    <w:div w:id="1714888032">
      <w:bodyDiv w:val="1"/>
      <w:marLeft w:val="0"/>
      <w:marRight w:val="0"/>
      <w:marTop w:val="0"/>
      <w:marBottom w:val="0"/>
      <w:divBdr>
        <w:top w:val="none" w:sz="0" w:space="0" w:color="auto"/>
        <w:left w:val="none" w:sz="0" w:space="0" w:color="auto"/>
        <w:bottom w:val="none" w:sz="0" w:space="0" w:color="auto"/>
        <w:right w:val="none" w:sz="0" w:space="0" w:color="auto"/>
      </w:divBdr>
    </w:div>
    <w:div w:id="1733190737">
      <w:bodyDiv w:val="1"/>
      <w:marLeft w:val="0"/>
      <w:marRight w:val="0"/>
      <w:marTop w:val="0"/>
      <w:marBottom w:val="0"/>
      <w:divBdr>
        <w:top w:val="none" w:sz="0" w:space="0" w:color="auto"/>
        <w:left w:val="none" w:sz="0" w:space="0" w:color="auto"/>
        <w:bottom w:val="none" w:sz="0" w:space="0" w:color="auto"/>
        <w:right w:val="none" w:sz="0" w:space="0" w:color="auto"/>
      </w:divBdr>
    </w:div>
    <w:div w:id="1740902667">
      <w:bodyDiv w:val="1"/>
      <w:marLeft w:val="0"/>
      <w:marRight w:val="0"/>
      <w:marTop w:val="0"/>
      <w:marBottom w:val="0"/>
      <w:divBdr>
        <w:top w:val="none" w:sz="0" w:space="0" w:color="auto"/>
        <w:left w:val="none" w:sz="0" w:space="0" w:color="auto"/>
        <w:bottom w:val="none" w:sz="0" w:space="0" w:color="auto"/>
        <w:right w:val="none" w:sz="0" w:space="0" w:color="auto"/>
      </w:divBdr>
    </w:div>
    <w:div w:id="1740981071">
      <w:bodyDiv w:val="1"/>
      <w:marLeft w:val="0"/>
      <w:marRight w:val="0"/>
      <w:marTop w:val="0"/>
      <w:marBottom w:val="0"/>
      <w:divBdr>
        <w:top w:val="none" w:sz="0" w:space="0" w:color="auto"/>
        <w:left w:val="none" w:sz="0" w:space="0" w:color="auto"/>
        <w:bottom w:val="none" w:sz="0" w:space="0" w:color="auto"/>
        <w:right w:val="none" w:sz="0" w:space="0" w:color="auto"/>
      </w:divBdr>
    </w:div>
    <w:div w:id="1743530168">
      <w:bodyDiv w:val="1"/>
      <w:marLeft w:val="0"/>
      <w:marRight w:val="0"/>
      <w:marTop w:val="0"/>
      <w:marBottom w:val="0"/>
      <w:divBdr>
        <w:top w:val="none" w:sz="0" w:space="0" w:color="auto"/>
        <w:left w:val="none" w:sz="0" w:space="0" w:color="auto"/>
        <w:bottom w:val="none" w:sz="0" w:space="0" w:color="auto"/>
        <w:right w:val="none" w:sz="0" w:space="0" w:color="auto"/>
      </w:divBdr>
    </w:div>
    <w:div w:id="1745835184">
      <w:bodyDiv w:val="1"/>
      <w:marLeft w:val="0"/>
      <w:marRight w:val="0"/>
      <w:marTop w:val="0"/>
      <w:marBottom w:val="0"/>
      <w:divBdr>
        <w:top w:val="none" w:sz="0" w:space="0" w:color="auto"/>
        <w:left w:val="none" w:sz="0" w:space="0" w:color="auto"/>
        <w:bottom w:val="none" w:sz="0" w:space="0" w:color="auto"/>
        <w:right w:val="none" w:sz="0" w:space="0" w:color="auto"/>
      </w:divBdr>
    </w:div>
    <w:div w:id="1746754799">
      <w:bodyDiv w:val="1"/>
      <w:marLeft w:val="0"/>
      <w:marRight w:val="0"/>
      <w:marTop w:val="0"/>
      <w:marBottom w:val="0"/>
      <w:divBdr>
        <w:top w:val="none" w:sz="0" w:space="0" w:color="auto"/>
        <w:left w:val="none" w:sz="0" w:space="0" w:color="auto"/>
        <w:bottom w:val="none" w:sz="0" w:space="0" w:color="auto"/>
        <w:right w:val="none" w:sz="0" w:space="0" w:color="auto"/>
      </w:divBdr>
    </w:div>
    <w:div w:id="1751728283">
      <w:bodyDiv w:val="1"/>
      <w:marLeft w:val="0"/>
      <w:marRight w:val="0"/>
      <w:marTop w:val="0"/>
      <w:marBottom w:val="0"/>
      <w:divBdr>
        <w:top w:val="none" w:sz="0" w:space="0" w:color="auto"/>
        <w:left w:val="none" w:sz="0" w:space="0" w:color="auto"/>
        <w:bottom w:val="none" w:sz="0" w:space="0" w:color="auto"/>
        <w:right w:val="none" w:sz="0" w:space="0" w:color="auto"/>
      </w:divBdr>
    </w:div>
    <w:div w:id="1756777645">
      <w:bodyDiv w:val="1"/>
      <w:marLeft w:val="0"/>
      <w:marRight w:val="0"/>
      <w:marTop w:val="0"/>
      <w:marBottom w:val="0"/>
      <w:divBdr>
        <w:top w:val="none" w:sz="0" w:space="0" w:color="auto"/>
        <w:left w:val="none" w:sz="0" w:space="0" w:color="auto"/>
        <w:bottom w:val="none" w:sz="0" w:space="0" w:color="auto"/>
        <w:right w:val="none" w:sz="0" w:space="0" w:color="auto"/>
      </w:divBdr>
    </w:div>
    <w:div w:id="1774859892">
      <w:bodyDiv w:val="1"/>
      <w:marLeft w:val="0"/>
      <w:marRight w:val="0"/>
      <w:marTop w:val="0"/>
      <w:marBottom w:val="0"/>
      <w:divBdr>
        <w:top w:val="none" w:sz="0" w:space="0" w:color="auto"/>
        <w:left w:val="none" w:sz="0" w:space="0" w:color="auto"/>
        <w:bottom w:val="none" w:sz="0" w:space="0" w:color="auto"/>
        <w:right w:val="none" w:sz="0" w:space="0" w:color="auto"/>
      </w:divBdr>
    </w:div>
    <w:div w:id="1775127184">
      <w:bodyDiv w:val="1"/>
      <w:marLeft w:val="0"/>
      <w:marRight w:val="0"/>
      <w:marTop w:val="0"/>
      <w:marBottom w:val="0"/>
      <w:divBdr>
        <w:top w:val="none" w:sz="0" w:space="0" w:color="auto"/>
        <w:left w:val="none" w:sz="0" w:space="0" w:color="auto"/>
        <w:bottom w:val="none" w:sz="0" w:space="0" w:color="auto"/>
        <w:right w:val="none" w:sz="0" w:space="0" w:color="auto"/>
      </w:divBdr>
    </w:div>
    <w:div w:id="1779913930">
      <w:bodyDiv w:val="1"/>
      <w:marLeft w:val="0"/>
      <w:marRight w:val="0"/>
      <w:marTop w:val="0"/>
      <w:marBottom w:val="0"/>
      <w:divBdr>
        <w:top w:val="none" w:sz="0" w:space="0" w:color="auto"/>
        <w:left w:val="none" w:sz="0" w:space="0" w:color="auto"/>
        <w:bottom w:val="none" w:sz="0" w:space="0" w:color="auto"/>
        <w:right w:val="none" w:sz="0" w:space="0" w:color="auto"/>
      </w:divBdr>
      <w:divsChild>
        <w:div w:id="273295640">
          <w:marLeft w:val="0"/>
          <w:marRight w:val="0"/>
          <w:marTop w:val="0"/>
          <w:marBottom w:val="0"/>
          <w:divBdr>
            <w:top w:val="none" w:sz="0" w:space="0" w:color="auto"/>
            <w:left w:val="none" w:sz="0" w:space="0" w:color="auto"/>
            <w:bottom w:val="none" w:sz="0" w:space="0" w:color="auto"/>
            <w:right w:val="none" w:sz="0" w:space="0" w:color="auto"/>
          </w:divBdr>
          <w:divsChild>
            <w:div w:id="182985450">
              <w:marLeft w:val="0"/>
              <w:marRight w:val="0"/>
              <w:marTop w:val="0"/>
              <w:marBottom w:val="0"/>
              <w:divBdr>
                <w:top w:val="none" w:sz="0" w:space="0" w:color="auto"/>
                <w:left w:val="none" w:sz="0" w:space="0" w:color="auto"/>
                <w:bottom w:val="none" w:sz="0" w:space="0" w:color="auto"/>
                <w:right w:val="none" w:sz="0" w:space="0" w:color="auto"/>
              </w:divBdr>
              <w:divsChild>
                <w:div w:id="1589581254">
                  <w:marLeft w:val="0"/>
                  <w:marRight w:val="0"/>
                  <w:marTop w:val="0"/>
                  <w:marBottom w:val="0"/>
                  <w:divBdr>
                    <w:top w:val="none" w:sz="0" w:space="0" w:color="auto"/>
                    <w:left w:val="none" w:sz="0" w:space="0" w:color="auto"/>
                    <w:bottom w:val="none" w:sz="0" w:space="0" w:color="auto"/>
                    <w:right w:val="none" w:sz="0" w:space="0" w:color="auto"/>
                  </w:divBdr>
                </w:div>
                <w:div w:id="1494948414">
                  <w:marLeft w:val="0"/>
                  <w:marRight w:val="0"/>
                  <w:marTop w:val="0"/>
                  <w:marBottom w:val="0"/>
                  <w:divBdr>
                    <w:top w:val="none" w:sz="0" w:space="0" w:color="auto"/>
                    <w:left w:val="none" w:sz="0" w:space="0" w:color="auto"/>
                    <w:bottom w:val="none" w:sz="0" w:space="0" w:color="auto"/>
                    <w:right w:val="none" w:sz="0" w:space="0" w:color="auto"/>
                  </w:divBdr>
                </w:div>
                <w:div w:id="1283269913">
                  <w:marLeft w:val="0"/>
                  <w:marRight w:val="0"/>
                  <w:marTop w:val="0"/>
                  <w:marBottom w:val="0"/>
                  <w:divBdr>
                    <w:top w:val="none" w:sz="0" w:space="0" w:color="auto"/>
                    <w:left w:val="none" w:sz="0" w:space="0" w:color="auto"/>
                    <w:bottom w:val="none" w:sz="0" w:space="0" w:color="auto"/>
                    <w:right w:val="none" w:sz="0" w:space="0" w:color="auto"/>
                  </w:divBdr>
                </w:div>
                <w:div w:id="83217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56609">
          <w:marLeft w:val="0"/>
          <w:marRight w:val="0"/>
          <w:marTop w:val="0"/>
          <w:marBottom w:val="0"/>
          <w:divBdr>
            <w:top w:val="none" w:sz="0" w:space="0" w:color="auto"/>
            <w:left w:val="none" w:sz="0" w:space="0" w:color="auto"/>
            <w:bottom w:val="none" w:sz="0" w:space="0" w:color="auto"/>
            <w:right w:val="none" w:sz="0" w:space="0" w:color="auto"/>
          </w:divBdr>
          <w:divsChild>
            <w:div w:id="543250656">
              <w:marLeft w:val="0"/>
              <w:marRight w:val="0"/>
              <w:marTop w:val="0"/>
              <w:marBottom w:val="0"/>
              <w:divBdr>
                <w:top w:val="none" w:sz="0" w:space="0" w:color="auto"/>
                <w:left w:val="none" w:sz="0" w:space="0" w:color="auto"/>
                <w:bottom w:val="none" w:sz="0" w:space="0" w:color="auto"/>
                <w:right w:val="none" w:sz="0" w:space="0" w:color="auto"/>
              </w:divBdr>
              <w:divsChild>
                <w:div w:id="2140996622">
                  <w:marLeft w:val="0"/>
                  <w:marRight w:val="0"/>
                  <w:marTop w:val="0"/>
                  <w:marBottom w:val="0"/>
                  <w:divBdr>
                    <w:top w:val="none" w:sz="0" w:space="0" w:color="auto"/>
                    <w:left w:val="none" w:sz="0" w:space="0" w:color="auto"/>
                    <w:bottom w:val="none" w:sz="0" w:space="0" w:color="auto"/>
                    <w:right w:val="none" w:sz="0" w:space="0" w:color="auto"/>
                  </w:divBdr>
                </w:div>
                <w:div w:id="554122518">
                  <w:marLeft w:val="0"/>
                  <w:marRight w:val="0"/>
                  <w:marTop w:val="0"/>
                  <w:marBottom w:val="0"/>
                  <w:divBdr>
                    <w:top w:val="none" w:sz="0" w:space="0" w:color="auto"/>
                    <w:left w:val="none" w:sz="0" w:space="0" w:color="auto"/>
                    <w:bottom w:val="none" w:sz="0" w:space="0" w:color="auto"/>
                    <w:right w:val="none" w:sz="0" w:space="0" w:color="auto"/>
                  </w:divBdr>
                </w:div>
                <w:div w:id="315763615">
                  <w:marLeft w:val="0"/>
                  <w:marRight w:val="0"/>
                  <w:marTop w:val="0"/>
                  <w:marBottom w:val="0"/>
                  <w:divBdr>
                    <w:top w:val="none" w:sz="0" w:space="0" w:color="auto"/>
                    <w:left w:val="none" w:sz="0" w:space="0" w:color="auto"/>
                    <w:bottom w:val="none" w:sz="0" w:space="0" w:color="auto"/>
                    <w:right w:val="none" w:sz="0" w:space="0" w:color="auto"/>
                  </w:divBdr>
                </w:div>
                <w:div w:id="5193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463031">
      <w:bodyDiv w:val="1"/>
      <w:marLeft w:val="0"/>
      <w:marRight w:val="0"/>
      <w:marTop w:val="0"/>
      <w:marBottom w:val="0"/>
      <w:divBdr>
        <w:top w:val="none" w:sz="0" w:space="0" w:color="auto"/>
        <w:left w:val="none" w:sz="0" w:space="0" w:color="auto"/>
        <w:bottom w:val="none" w:sz="0" w:space="0" w:color="auto"/>
        <w:right w:val="none" w:sz="0" w:space="0" w:color="auto"/>
      </w:divBdr>
      <w:divsChild>
        <w:div w:id="919412981">
          <w:marLeft w:val="0"/>
          <w:marRight w:val="0"/>
          <w:marTop w:val="0"/>
          <w:marBottom w:val="0"/>
          <w:divBdr>
            <w:top w:val="none" w:sz="0" w:space="0" w:color="auto"/>
            <w:left w:val="none" w:sz="0" w:space="0" w:color="auto"/>
            <w:bottom w:val="none" w:sz="0" w:space="0" w:color="auto"/>
            <w:right w:val="none" w:sz="0" w:space="0" w:color="auto"/>
          </w:divBdr>
        </w:div>
        <w:div w:id="1984772386">
          <w:marLeft w:val="0"/>
          <w:marRight w:val="0"/>
          <w:marTop w:val="0"/>
          <w:marBottom w:val="0"/>
          <w:divBdr>
            <w:top w:val="none" w:sz="0" w:space="0" w:color="auto"/>
            <w:left w:val="none" w:sz="0" w:space="0" w:color="auto"/>
            <w:bottom w:val="none" w:sz="0" w:space="0" w:color="auto"/>
            <w:right w:val="none" w:sz="0" w:space="0" w:color="auto"/>
          </w:divBdr>
        </w:div>
        <w:div w:id="2006735577">
          <w:marLeft w:val="0"/>
          <w:marRight w:val="0"/>
          <w:marTop w:val="0"/>
          <w:marBottom w:val="0"/>
          <w:divBdr>
            <w:top w:val="none" w:sz="0" w:space="0" w:color="auto"/>
            <w:left w:val="none" w:sz="0" w:space="0" w:color="auto"/>
            <w:bottom w:val="none" w:sz="0" w:space="0" w:color="auto"/>
            <w:right w:val="none" w:sz="0" w:space="0" w:color="auto"/>
          </w:divBdr>
        </w:div>
        <w:div w:id="1816332685">
          <w:marLeft w:val="0"/>
          <w:marRight w:val="0"/>
          <w:marTop w:val="0"/>
          <w:marBottom w:val="0"/>
          <w:divBdr>
            <w:top w:val="none" w:sz="0" w:space="0" w:color="auto"/>
            <w:left w:val="none" w:sz="0" w:space="0" w:color="auto"/>
            <w:bottom w:val="none" w:sz="0" w:space="0" w:color="auto"/>
            <w:right w:val="none" w:sz="0" w:space="0" w:color="auto"/>
          </w:divBdr>
        </w:div>
        <w:div w:id="1949774210">
          <w:marLeft w:val="0"/>
          <w:marRight w:val="0"/>
          <w:marTop w:val="0"/>
          <w:marBottom w:val="0"/>
          <w:divBdr>
            <w:top w:val="none" w:sz="0" w:space="0" w:color="auto"/>
            <w:left w:val="none" w:sz="0" w:space="0" w:color="auto"/>
            <w:bottom w:val="none" w:sz="0" w:space="0" w:color="auto"/>
            <w:right w:val="none" w:sz="0" w:space="0" w:color="auto"/>
          </w:divBdr>
        </w:div>
        <w:div w:id="1829133942">
          <w:marLeft w:val="0"/>
          <w:marRight w:val="0"/>
          <w:marTop w:val="0"/>
          <w:marBottom w:val="0"/>
          <w:divBdr>
            <w:top w:val="none" w:sz="0" w:space="0" w:color="auto"/>
            <w:left w:val="none" w:sz="0" w:space="0" w:color="auto"/>
            <w:bottom w:val="none" w:sz="0" w:space="0" w:color="auto"/>
            <w:right w:val="none" w:sz="0" w:space="0" w:color="auto"/>
          </w:divBdr>
        </w:div>
        <w:div w:id="170876674">
          <w:marLeft w:val="0"/>
          <w:marRight w:val="0"/>
          <w:marTop w:val="0"/>
          <w:marBottom w:val="0"/>
          <w:divBdr>
            <w:top w:val="none" w:sz="0" w:space="0" w:color="auto"/>
            <w:left w:val="none" w:sz="0" w:space="0" w:color="auto"/>
            <w:bottom w:val="none" w:sz="0" w:space="0" w:color="auto"/>
            <w:right w:val="none" w:sz="0" w:space="0" w:color="auto"/>
          </w:divBdr>
        </w:div>
      </w:divsChild>
    </w:div>
    <w:div w:id="1796413681">
      <w:bodyDiv w:val="1"/>
      <w:marLeft w:val="0"/>
      <w:marRight w:val="0"/>
      <w:marTop w:val="0"/>
      <w:marBottom w:val="0"/>
      <w:divBdr>
        <w:top w:val="none" w:sz="0" w:space="0" w:color="auto"/>
        <w:left w:val="none" w:sz="0" w:space="0" w:color="auto"/>
        <w:bottom w:val="none" w:sz="0" w:space="0" w:color="auto"/>
        <w:right w:val="none" w:sz="0" w:space="0" w:color="auto"/>
      </w:divBdr>
      <w:divsChild>
        <w:div w:id="970524984">
          <w:marLeft w:val="0"/>
          <w:marRight w:val="0"/>
          <w:marTop w:val="0"/>
          <w:marBottom w:val="0"/>
          <w:divBdr>
            <w:top w:val="none" w:sz="0" w:space="0" w:color="auto"/>
            <w:left w:val="none" w:sz="0" w:space="0" w:color="auto"/>
            <w:bottom w:val="none" w:sz="0" w:space="0" w:color="auto"/>
            <w:right w:val="none" w:sz="0" w:space="0" w:color="auto"/>
          </w:divBdr>
          <w:divsChild>
            <w:div w:id="1610702009">
              <w:marLeft w:val="0"/>
              <w:marRight w:val="0"/>
              <w:marTop w:val="0"/>
              <w:marBottom w:val="0"/>
              <w:divBdr>
                <w:top w:val="none" w:sz="0" w:space="0" w:color="auto"/>
                <w:left w:val="none" w:sz="0" w:space="0" w:color="auto"/>
                <w:bottom w:val="none" w:sz="0" w:space="0" w:color="auto"/>
                <w:right w:val="none" w:sz="0" w:space="0" w:color="auto"/>
              </w:divBdr>
              <w:divsChild>
                <w:div w:id="1005402731">
                  <w:marLeft w:val="0"/>
                  <w:marRight w:val="0"/>
                  <w:marTop w:val="0"/>
                  <w:marBottom w:val="0"/>
                  <w:divBdr>
                    <w:top w:val="none" w:sz="0" w:space="0" w:color="auto"/>
                    <w:left w:val="none" w:sz="0" w:space="0" w:color="auto"/>
                    <w:bottom w:val="none" w:sz="0" w:space="0" w:color="auto"/>
                    <w:right w:val="none" w:sz="0" w:space="0" w:color="auto"/>
                  </w:divBdr>
                </w:div>
                <w:div w:id="891423285">
                  <w:marLeft w:val="0"/>
                  <w:marRight w:val="0"/>
                  <w:marTop w:val="0"/>
                  <w:marBottom w:val="0"/>
                  <w:divBdr>
                    <w:top w:val="none" w:sz="0" w:space="0" w:color="auto"/>
                    <w:left w:val="none" w:sz="0" w:space="0" w:color="auto"/>
                    <w:bottom w:val="none" w:sz="0" w:space="0" w:color="auto"/>
                    <w:right w:val="none" w:sz="0" w:space="0" w:color="auto"/>
                  </w:divBdr>
                </w:div>
                <w:div w:id="110410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103116">
          <w:marLeft w:val="0"/>
          <w:marRight w:val="0"/>
          <w:marTop w:val="0"/>
          <w:marBottom w:val="0"/>
          <w:divBdr>
            <w:top w:val="none" w:sz="0" w:space="0" w:color="auto"/>
            <w:left w:val="none" w:sz="0" w:space="0" w:color="auto"/>
            <w:bottom w:val="none" w:sz="0" w:space="0" w:color="auto"/>
            <w:right w:val="none" w:sz="0" w:space="0" w:color="auto"/>
          </w:divBdr>
          <w:divsChild>
            <w:div w:id="1026255807">
              <w:marLeft w:val="0"/>
              <w:marRight w:val="0"/>
              <w:marTop w:val="0"/>
              <w:marBottom w:val="0"/>
              <w:divBdr>
                <w:top w:val="none" w:sz="0" w:space="0" w:color="auto"/>
                <w:left w:val="none" w:sz="0" w:space="0" w:color="auto"/>
                <w:bottom w:val="none" w:sz="0" w:space="0" w:color="auto"/>
                <w:right w:val="none" w:sz="0" w:space="0" w:color="auto"/>
              </w:divBdr>
              <w:divsChild>
                <w:div w:id="820268311">
                  <w:marLeft w:val="0"/>
                  <w:marRight w:val="0"/>
                  <w:marTop w:val="0"/>
                  <w:marBottom w:val="0"/>
                  <w:divBdr>
                    <w:top w:val="none" w:sz="0" w:space="0" w:color="auto"/>
                    <w:left w:val="none" w:sz="0" w:space="0" w:color="auto"/>
                    <w:bottom w:val="none" w:sz="0" w:space="0" w:color="auto"/>
                    <w:right w:val="none" w:sz="0" w:space="0" w:color="auto"/>
                  </w:divBdr>
                </w:div>
                <w:div w:id="164246202">
                  <w:marLeft w:val="0"/>
                  <w:marRight w:val="0"/>
                  <w:marTop w:val="0"/>
                  <w:marBottom w:val="0"/>
                  <w:divBdr>
                    <w:top w:val="none" w:sz="0" w:space="0" w:color="auto"/>
                    <w:left w:val="none" w:sz="0" w:space="0" w:color="auto"/>
                    <w:bottom w:val="none" w:sz="0" w:space="0" w:color="auto"/>
                    <w:right w:val="none" w:sz="0" w:space="0" w:color="auto"/>
                  </w:divBdr>
                </w:div>
                <w:div w:id="407046105">
                  <w:marLeft w:val="0"/>
                  <w:marRight w:val="0"/>
                  <w:marTop w:val="0"/>
                  <w:marBottom w:val="0"/>
                  <w:divBdr>
                    <w:top w:val="none" w:sz="0" w:space="0" w:color="auto"/>
                    <w:left w:val="none" w:sz="0" w:space="0" w:color="auto"/>
                    <w:bottom w:val="none" w:sz="0" w:space="0" w:color="auto"/>
                    <w:right w:val="none" w:sz="0" w:space="0" w:color="auto"/>
                  </w:divBdr>
                </w:div>
                <w:div w:id="640161499">
                  <w:marLeft w:val="0"/>
                  <w:marRight w:val="0"/>
                  <w:marTop w:val="0"/>
                  <w:marBottom w:val="0"/>
                  <w:divBdr>
                    <w:top w:val="none" w:sz="0" w:space="0" w:color="auto"/>
                    <w:left w:val="none" w:sz="0" w:space="0" w:color="auto"/>
                    <w:bottom w:val="none" w:sz="0" w:space="0" w:color="auto"/>
                    <w:right w:val="none" w:sz="0" w:space="0" w:color="auto"/>
                  </w:divBdr>
                </w:div>
                <w:div w:id="1669745317">
                  <w:marLeft w:val="0"/>
                  <w:marRight w:val="0"/>
                  <w:marTop w:val="0"/>
                  <w:marBottom w:val="0"/>
                  <w:divBdr>
                    <w:top w:val="none" w:sz="0" w:space="0" w:color="auto"/>
                    <w:left w:val="none" w:sz="0" w:space="0" w:color="auto"/>
                    <w:bottom w:val="none" w:sz="0" w:space="0" w:color="auto"/>
                    <w:right w:val="none" w:sz="0" w:space="0" w:color="auto"/>
                  </w:divBdr>
                </w:div>
                <w:div w:id="1294218541">
                  <w:marLeft w:val="0"/>
                  <w:marRight w:val="0"/>
                  <w:marTop w:val="0"/>
                  <w:marBottom w:val="0"/>
                  <w:divBdr>
                    <w:top w:val="none" w:sz="0" w:space="0" w:color="auto"/>
                    <w:left w:val="none" w:sz="0" w:space="0" w:color="auto"/>
                    <w:bottom w:val="none" w:sz="0" w:space="0" w:color="auto"/>
                    <w:right w:val="none" w:sz="0" w:space="0" w:color="auto"/>
                  </w:divBdr>
                </w:div>
                <w:div w:id="373963611">
                  <w:marLeft w:val="0"/>
                  <w:marRight w:val="0"/>
                  <w:marTop w:val="0"/>
                  <w:marBottom w:val="0"/>
                  <w:divBdr>
                    <w:top w:val="none" w:sz="0" w:space="0" w:color="auto"/>
                    <w:left w:val="none" w:sz="0" w:space="0" w:color="auto"/>
                    <w:bottom w:val="none" w:sz="0" w:space="0" w:color="auto"/>
                    <w:right w:val="none" w:sz="0" w:space="0" w:color="auto"/>
                  </w:divBdr>
                </w:div>
                <w:div w:id="73813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459385">
      <w:bodyDiv w:val="1"/>
      <w:marLeft w:val="0"/>
      <w:marRight w:val="0"/>
      <w:marTop w:val="0"/>
      <w:marBottom w:val="0"/>
      <w:divBdr>
        <w:top w:val="none" w:sz="0" w:space="0" w:color="auto"/>
        <w:left w:val="none" w:sz="0" w:space="0" w:color="auto"/>
        <w:bottom w:val="none" w:sz="0" w:space="0" w:color="auto"/>
        <w:right w:val="none" w:sz="0" w:space="0" w:color="auto"/>
      </w:divBdr>
    </w:div>
    <w:div w:id="1810783881">
      <w:bodyDiv w:val="1"/>
      <w:marLeft w:val="0"/>
      <w:marRight w:val="0"/>
      <w:marTop w:val="0"/>
      <w:marBottom w:val="0"/>
      <w:divBdr>
        <w:top w:val="none" w:sz="0" w:space="0" w:color="auto"/>
        <w:left w:val="none" w:sz="0" w:space="0" w:color="auto"/>
        <w:bottom w:val="none" w:sz="0" w:space="0" w:color="auto"/>
        <w:right w:val="none" w:sz="0" w:space="0" w:color="auto"/>
      </w:divBdr>
    </w:div>
    <w:div w:id="1820342511">
      <w:bodyDiv w:val="1"/>
      <w:marLeft w:val="0"/>
      <w:marRight w:val="0"/>
      <w:marTop w:val="0"/>
      <w:marBottom w:val="0"/>
      <w:divBdr>
        <w:top w:val="none" w:sz="0" w:space="0" w:color="auto"/>
        <w:left w:val="none" w:sz="0" w:space="0" w:color="auto"/>
        <w:bottom w:val="none" w:sz="0" w:space="0" w:color="auto"/>
        <w:right w:val="none" w:sz="0" w:space="0" w:color="auto"/>
      </w:divBdr>
    </w:div>
    <w:div w:id="1828472181">
      <w:bodyDiv w:val="1"/>
      <w:marLeft w:val="0"/>
      <w:marRight w:val="0"/>
      <w:marTop w:val="0"/>
      <w:marBottom w:val="0"/>
      <w:divBdr>
        <w:top w:val="none" w:sz="0" w:space="0" w:color="auto"/>
        <w:left w:val="none" w:sz="0" w:space="0" w:color="auto"/>
        <w:bottom w:val="none" w:sz="0" w:space="0" w:color="auto"/>
        <w:right w:val="none" w:sz="0" w:space="0" w:color="auto"/>
      </w:divBdr>
    </w:div>
    <w:div w:id="1830514525">
      <w:bodyDiv w:val="1"/>
      <w:marLeft w:val="0"/>
      <w:marRight w:val="0"/>
      <w:marTop w:val="0"/>
      <w:marBottom w:val="0"/>
      <w:divBdr>
        <w:top w:val="none" w:sz="0" w:space="0" w:color="auto"/>
        <w:left w:val="none" w:sz="0" w:space="0" w:color="auto"/>
        <w:bottom w:val="none" w:sz="0" w:space="0" w:color="auto"/>
        <w:right w:val="none" w:sz="0" w:space="0" w:color="auto"/>
      </w:divBdr>
    </w:div>
    <w:div w:id="1834450881">
      <w:bodyDiv w:val="1"/>
      <w:marLeft w:val="0"/>
      <w:marRight w:val="0"/>
      <w:marTop w:val="0"/>
      <w:marBottom w:val="0"/>
      <w:divBdr>
        <w:top w:val="none" w:sz="0" w:space="0" w:color="auto"/>
        <w:left w:val="none" w:sz="0" w:space="0" w:color="auto"/>
        <w:bottom w:val="none" w:sz="0" w:space="0" w:color="auto"/>
        <w:right w:val="none" w:sz="0" w:space="0" w:color="auto"/>
      </w:divBdr>
    </w:div>
    <w:div w:id="1841310154">
      <w:bodyDiv w:val="1"/>
      <w:marLeft w:val="0"/>
      <w:marRight w:val="0"/>
      <w:marTop w:val="0"/>
      <w:marBottom w:val="0"/>
      <w:divBdr>
        <w:top w:val="none" w:sz="0" w:space="0" w:color="auto"/>
        <w:left w:val="none" w:sz="0" w:space="0" w:color="auto"/>
        <w:bottom w:val="none" w:sz="0" w:space="0" w:color="auto"/>
        <w:right w:val="none" w:sz="0" w:space="0" w:color="auto"/>
      </w:divBdr>
    </w:div>
    <w:div w:id="1843203365">
      <w:bodyDiv w:val="1"/>
      <w:marLeft w:val="0"/>
      <w:marRight w:val="0"/>
      <w:marTop w:val="0"/>
      <w:marBottom w:val="0"/>
      <w:divBdr>
        <w:top w:val="none" w:sz="0" w:space="0" w:color="auto"/>
        <w:left w:val="none" w:sz="0" w:space="0" w:color="auto"/>
        <w:bottom w:val="none" w:sz="0" w:space="0" w:color="auto"/>
        <w:right w:val="none" w:sz="0" w:space="0" w:color="auto"/>
      </w:divBdr>
    </w:div>
    <w:div w:id="1845705846">
      <w:bodyDiv w:val="1"/>
      <w:marLeft w:val="0"/>
      <w:marRight w:val="0"/>
      <w:marTop w:val="0"/>
      <w:marBottom w:val="0"/>
      <w:divBdr>
        <w:top w:val="none" w:sz="0" w:space="0" w:color="auto"/>
        <w:left w:val="none" w:sz="0" w:space="0" w:color="auto"/>
        <w:bottom w:val="none" w:sz="0" w:space="0" w:color="auto"/>
        <w:right w:val="none" w:sz="0" w:space="0" w:color="auto"/>
      </w:divBdr>
    </w:div>
    <w:div w:id="1846705303">
      <w:bodyDiv w:val="1"/>
      <w:marLeft w:val="0"/>
      <w:marRight w:val="0"/>
      <w:marTop w:val="0"/>
      <w:marBottom w:val="0"/>
      <w:divBdr>
        <w:top w:val="none" w:sz="0" w:space="0" w:color="auto"/>
        <w:left w:val="none" w:sz="0" w:space="0" w:color="auto"/>
        <w:bottom w:val="none" w:sz="0" w:space="0" w:color="auto"/>
        <w:right w:val="none" w:sz="0" w:space="0" w:color="auto"/>
      </w:divBdr>
    </w:div>
    <w:div w:id="1858496896">
      <w:bodyDiv w:val="1"/>
      <w:marLeft w:val="0"/>
      <w:marRight w:val="0"/>
      <w:marTop w:val="0"/>
      <w:marBottom w:val="0"/>
      <w:divBdr>
        <w:top w:val="none" w:sz="0" w:space="0" w:color="auto"/>
        <w:left w:val="none" w:sz="0" w:space="0" w:color="auto"/>
        <w:bottom w:val="none" w:sz="0" w:space="0" w:color="auto"/>
        <w:right w:val="none" w:sz="0" w:space="0" w:color="auto"/>
      </w:divBdr>
    </w:div>
    <w:div w:id="1859271223">
      <w:bodyDiv w:val="1"/>
      <w:marLeft w:val="0"/>
      <w:marRight w:val="0"/>
      <w:marTop w:val="0"/>
      <w:marBottom w:val="0"/>
      <w:divBdr>
        <w:top w:val="none" w:sz="0" w:space="0" w:color="auto"/>
        <w:left w:val="none" w:sz="0" w:space="0" w:color="auto"/>
        <w:bottom w:val="none" w:sz="0" w:space="0" w:color="auto"/>
        <w:right w:val="none" w:sz="0" w:space="0" w:color="auto"/>
      </w:divBdr>
    </w:div>
    <w:div w:id="1861240299">
      <w:bodyDiv w:val="1"/>
      <w:marLeft w:val="0"/>
      <w:marRight w:val="0"/>
      <w:marTop w:val="0"/>
      <w:marBottom w:val="0"/>
      <w:divBdr>
        <w:top w:val="none" w:sz="0" w:space="0" w:color="auto"/>
        <w:left w:val="none" w:sz="0" w:space="0" w:color="auto"/>
        <w:bottom w:val="none" w:sz="0" w:space="0" w:color="auto"/>
        <w:right w:val="none" w:sz="0" w:space="0" w:color="auto"/>
      </w:divBdr>
    </w:div>
    <w:div w:id="1864517503">
      <w:bodyDiv w:val="1"/>
      <w:marLeft w:val="0"/>
      <w:marRight w:val="0"/>
      <w:marTop w:val="0"/>
      <w:marBottom w:val="0"/>
      <w:divBdr>
        <w:top w:val="none" w:sz="0" w:space="0" w:color="auto"/>
        <w:left w:val="none" w:sz="0" w:space="0" w:color="auto"/>
        <w:bottom w:val="none" w:sz="0" w:space="0" w:color="auto"/>
        <w:right w:val="none" w:sz="0" w:space="0" w:color="auto"/>
      </w:divBdr>
    </w:div>
    <w:div w:id="1870291614">
      <w:marLeft w:val="0"/>
      <w:marRight w:val="0"/>
      <w:marTop w:val="0"/>
      <w:marBottom w:val="0"/>
      <w:divBdr>
        <w:top w:val="none" w:sz="0" w:space="0" w:color="auto"/>
        <w:left w:val="none" w:sz="0" w:space="0" w:color="auto"/>
        <w:bottom w:val="none" w:sz="0" w:space="0" w:color="auto"/>
        <w:right w:val="none" w:sz="0" w:space="0" w:color="auto"/>
      </w:divBdr>
      <w:divsChild>
        <w:div w:id="1296527611">
          <w:marLeft w:val="0"/>
          <w:marRight w:val="0"/>
          <w:marTop w:val="0"/>
          <w:marBottom w:val="0"/>
          <w:divBdr>
            <w:top w:val="none" w:sz="0" w:space="0" w:color="auto"/>
            <w:left w:val="none" w:sz="0" w:space="0" w:color="auto"/>
            <w:bottom w:val="none" w:sz="0" w:space="0" w:color="auto"/>
            <w:right w:val="none" w:sz="0" w:space="0" w:color="auto"/>
          </w:divBdr>
        </w:div>
      </w:divsChild>
    </w:div>
    <w:div w:id="1877695270">
      <w:bodyDiv w:val="1"/>
      <w:marLeft w:val="0"/>
      <w:marRight w:val="0"/>
      <w:marTop w:val="0"/>
      <w:marBottom w:val="0"/>
      <w:divBdr>
        <w:top w:val="none" w:sz="0" w:space="0" w:color="auto"/>
        <w:left w:val="none" w:sz="0" w:space="0" w:color="auto"/>
        <w:bottom w:val="none" w:sz="0" w:space="0" w:color="auto"/>
        <w:right w:val="none" w:sz="0" w:space="0" w:color="auto"/>
      </w:divBdr>
    </w:div>
    <w:div w:id="1878001379">
      <w:bodyDiv w:val="1"/>
      <w:marLeft w:val="0"/>
      <w:marRight w:val="0"/>
      <w:marTop w:val="0"/>
      <w:marBottom w:val="0"/>
      <w:divBdr>
        <w:top w:val="none" w:sz="0" w:space="0" w:color="auto"/>
        <w:left w:val="none" w:sz="0" w:space="0" w:color="auto"/>
        <w:bottom w:val="none" w:sz="0" w:space="0" w:color="auto"/>
        <w:right w:val="none" w:sz="0" w:space="0" w:color="auto"/>
      </w:divBdr>
    </w:div>
    <w:div w:id="1878201933">
      <w:bodyDiv w:val="1"/>
      <w:marLeft w:val="0"/>
      <w:marRight w:val="0"/>
      <w:marTop w:val="0"/>
      <w:marBottom w:val="0"/>
      <w:divBdr>
        <w:top w:val="none" w:sz="0" w:space="0" w:color="auto"/>
        <w:left w:val="none" w:sz="0" w:space="0" w:color="auto"/>
        <w:bottom w:val="none" w:sz="0" w:space="0" w:color="auto"/>
        <w:right w:val="none" w:sz="0" w:space="0" w:color="auto"/>
      </w:divBdr>
    </w:div>
    <w:div w:id="1883252999">
      <w:bodyDiv w:val="1"/>
      <w:marLeft w:val="0"/>
      <w:marRight w:val="0"/>
      <w:marTop w:val="0"/>
      <w:marBottom w:val="0"/>
      <w:divBdr>
        <w:top w:val="none" w:sz="0" w:space="0" w:color="auto"/>
        <w:left w:val="none" w:sz="0" w:space="0" w:color="auto"/>
        <w:bottom w:val="none" w:sz="0" w:space="0" w:color="auto"/>
        <w:right w:val="none" w:sz="0" w:space="0" w:color="auto"/>
      </w:divBdr>
    </w:div>
    <w:div w:id="1895580379">
      <w:bodyDiv w:val="1"/>
      <w:marLeft w:val="0"/>
      <w:marRight w:val="0"/>
      <w:marTop w:val="0"/>
      <w:marBottom w:val="0"/>
      <w:divBdr>
        <w:top w:val="none" w:sz="0" w:space="0" w:color="auto"/>
        <w:left w:val="none" w:sz="0" w:space="0" w:color="auto"/>
        <w:bottom w:val="none" w:sz="0" w:space="0" w:color="auto"/>
        <w:right w:val="none" w:sz="0" w:space="0" w:color="auto"/>
      </w:divBdr>
    </w:div>
    <w:div w:id="1901018826">
      <w:bodyDiv w:val="1"/>
      <w:marLeft w:val="0"/>
      <w:marRight w:val="0"/>
      <w:marTop w:val="0"/>
      <w:marBottom w:val="0"/>
      <w:divBdr>
        <w:top w:val="none" w:sz="0" w:space="0" w:color="auto"/>
        <w:left w:val="none" w:sz="0" w:space="0" w:color="auto"/>
        <w:bottom w:val="none" w:sz="0" w:space="0" w:color="auto"/>
        <w:right w:val="none" w:sz="0" w:space="0" w:color="auto"/>
      </w:divBdr>
      <w:divsChild>
        <w:div w:id="1276136586">
          <w:marLeft w:val="547"/>
          <w:marRight w:val="0"/>
          <w:marTop w:val="0"/>
          <w:marBottom w:val="0"/>
          <w:divBdr>
            <w:top w:val="none" w:sz="0" w:space="0" w:color="auto"/>
            <w:left w:val="none" w:sz="0" w:space="0" w:color="auto"/>
            <w:bottom w:val="none" w:sz="0" w:space="0" w:color="auto"/>
            <w:right w:val="none" w:sz="0" w:space="0" w:color="auto"/>
          </w:divBdr>
        </w:div>
      </w:divsChild>
    </w:div>
    <w:div w:id="1906333461">
      <w:bodyDiv w:val="1"/>
      <w:marLeft w:val="0"/>
      <w:marRight w:val="0"/>
      <w:marTop w:val="0"/>
      <w:marBottom w:val="0"/>
      <w:divBdr>
        <w:top w:val="none" w:sz="0" w:space="0" w:color="auto"/>
        <w:left w:val="none" w:sz="0" w:space="0" w:color="auto"/>
        <w:bottom w:val="none" w:sz="0" w:space="0" w:color="auto"/>
        <w:right w:val="none" w:sz="0" w:space="0" w:color="auto"/>
      </w:divBdr>
    </w:div>
    <w:div w:id="1908998503">
      <w:bodyDiv w:val="1"/>
      <w:marLeft w:val="0"/>
      <w:marRight w:val="0"/>
      <w:marTop w:val="0"/>
      <w:marBottom w:val="0"/>
      <w:divBdr>
        <w:top w:val="none" w:sz="0" w:space="0" w:color="auto"/>
        <w:left w:val="none" w:sz="0" w:space="0" w:color="auto"/>
        <w:bottom w:val="none" w:sz="0" w:space="0" w:color="auto"/>
        <w:right w:val="none" w:sz="0" w:space="0" w:color="auto"/>
      </w:divBdr>
    </w:div>
    <w:div w:id="1913351901">
      <w:bodyDiv w:val="1"/>
      <w:marLeft w:val="0"/>
      <w:marRight w:val="0"/>
      <w:marTop w:val="0"/>
      <w:marBottom w:val="0"/>
      <w:divBdr>
        <w:top w:val="none" w:sz="0" w:space="0" w:color="auto"/>
        <w:left w:val="none" w:sz="0" w:space="0" w:color="auto"/>
        <w:bottom w:val="none" w:sz="0" w:space="0" w:color="auto"/>
        <w:right w:val="none" w:sz="0" w:space="0" w:color="auto"/>
      </w:divBdr>
    </w:div>
    <w:div w:id="1921985172">
      <w:bodyDiv w:val="1"/>
      <w:marLeft w:val="0"/>
      <w:marRight w:val="0"/>
      <w:marTop w:val="0"/>
      <w:marBottom w:val="0"/>
      <w:divBdr>
        <w:top w:val="none" w:sz="0" w:space="0" w:color="auto"/>
        <w:left w:val="none" w:sz="0" w:space="0" w:color="auto"/>
        <w:bottom w:val="none" w:sz="0" w:space="0" w:color="auto"/>
        <w:right w:val="none" w:sz="0" w:space="0" w:color="auto"/>
      </w:divBdr>
    </w:div>
    <w:div w:id="1929075397">
      <w:bodyDiv w:val="1"/>
      <w:marLeft w:val="0"/>
      <w:marRight w:val="0"/>
      <w:marTop w:val="0"/>
      <w:marBottom w:val="0"/>
      <w:divBdr>
        <w:top w:val="none" w:sz="0" w:space="0" w:color="auto"/>
        <w:left w:val="none" w:sz="0" w:space="0" w:color="auto"/>
        <w:bottom w:val="none" w:sz="0" w:space="0" w:color="auto"/>
        <w:right w:val="none" w:sz="0" w:space="0" w:color="auto"/>
      </w:divBdr>
    </w:div>
    <w:div w:id="1937905810">
      <w:bodyDiv w:val="1"/>
      <w:marLeft w:val="0"/>
      <w:marRight w:val="0"/>
      <w:marTop w:val="0"/>
      <w:marBottom w:val="0"/>
      <w:divBdr>
        <w:top w:val="none" w:sz="0" w:space="0" w:color="auto"/>
        <w:left w:val="none" w:sz="0" w:space="0" w:color="auto"/>
        <w:bottom w:val="none" w:sz="0" w:space="0" w:color="auto"/>
        <w:right w:val="none" w:sz="0" w:space="0" w:color="auto"/>
      </w:divBdr>
    </w:div>
    <w:div w:id="1945333803">
      <w:bodyDiv w:val="1"/>
      <w:marLeft w:val="0"/>
      <w:marRight w:val="0"/>
      <w:marTop w:val="0"/>
      <w:marBottom w:val="0"/>
      <w:divBdr>
        <w:top w:val="none" w:sz="0" w:space="0" w:color="auto"/>
        <w:left w:val="none" w:sz="0" w:space="0" w:color="auto"/>
        <w:bottom w:val="none" w:sz="0" w:space="0" w:color="auto"/>
        <w:right w:val="none" w:sz="0" w:space="0" w:color="auto"/>
      </w:divBdr>
    </w:div>
    <w:div w:id="1947538497">
      <w:bodyDiv w:val="1"/>
      <w:marLeft w:val="0"/>
      <w:marRight w:val="0"/>
      <w:marTop w:val="0"/>
      <w:marBottom w:val="0"/>
      <w:divBdr>
        <w:top w:val="none" w:sz="0" w:space="0" w:color="auto"/>
        <w:left w:val="none" w:sz="0" w:space="0" w:color="auto"/>
        <w:bottom w:val="none" w:sz="0" w:space="0" w:color="auto"/>
        <w:right w:val="none" w:sz="0" w:space="0" w:color="auto"/>
      </w:divBdr>
    </w:div>
    <w:div w:id="1949655306">
      <w:bodyDiv w:val="1"/>
      <w:marLeft w:val="0"/>
      <w:marRight w:val="0"/>
      <w:marTop w:val="0"/>
      <w:marBottom w:val="0"/>
      <w:divBdr>
        <w:top w:val="none" w:sz="0" w:space="0" w:color="auto"/>
        <w:left w:val="none" w:sz="0" w:space="0" w:color="auto"/>
        <w:bottom w:val="none" w:sz="0" w:space="0" w:color="auto"/>
        <w:right w:val="none" w:sz="0" w:space="0" w:color="auto"/>
      </w:divBdr>
      <w:divsChild>
        <w:div w:id="9647067">
          <w:marLeft w:val="0"/>
          <w:marRight w:val="0"/>
          <w:marTop w:val="0"/>
          <w:marBottom w:val="0"/>
          <w:divBdr>
            <w:top w:val="none" w:sz="0" w:space="0" w:color="auto"/>
            <w:left w:val="none" w:sz="0" w:space="0" w:color="auto"/>
            <w:bottom w:val="none" w:sz="0" w:space="0" w:color="auto"/>
            <w:right w:val="none" w:sz="0" w:space="0" w:color="auto"/>
          </w:divBdr>
        </w:div>
        <w:div w:id="13576681">
          <w:marLeft w:val="0"/>
          <w:marRight w:val="0"/>
          <w:marTop w:val="0"/>
          <w:marBottom w:val="0"/>
          <w:divBdr>
            <w:top w:val="none" w:sz="0" w:space="0" w:color="auto"/>
            <w:left w:val="none" w:sz="0" w:space="0" w:color="auto"/>
            <w:bottom w:val="none" w:sz="0" w:space="0" w:color="auto"/>
            <w:right w:val="none" w:sz="0" w:space="0" w:color="auto"/>
          </w:divBdr>
        </w:div>
        <w:div w:id="17898825">
          <w:marLeft w:val="0"/>
          <w:marRight w:val="0"/>
          <w:marTop w:val="0"/>
          <w:marBottom w:val="0"/>
          <w:divBdr>
            <w:top w:val="none" w:sz="0" w:space="0" w:color="auto"/>
            <w:left w:val="none" w:sz="0" w:space="0" w:color="auto"/>
            <w:bottom w:val="none" w:sz="0" w:space="0" w:color="auto"/>
            <w:right w:val="none" w:sz="0" w:space="0" w:color="auto"/>
          </w:divBdr>
        </w:div>
        <w:div w:id="38631983">
          <w:marLeft w:val="0"/>
          <w:marRight w:val="0"/>
          <w:marTop w:val="0"/>
          <w:marBottom w:val="0"/>
          <w:divBdr>
            <w:top w:val="none" w:sz="0" w:space="0" w:color="auto"/>
            <w:left w:val="none" w:sz="0" w:space="0" w:color="auto"/>
            <w:bottom w:val="none" w:sz="0" w:space="0" w:color="auto"/>
            <w:right w:val="none" w:sz="0" w:space="0" w:color="auto"/>
          </w:divBdr>
        </w:div>
        <w:div w:id="44566922">
          <w:marLeft w:val="0"/>
          <w:marRight w:val="0"/>
          <w:marTop w:val="0"/>
          <w:marBottom w:val="0"/>
          <w:divBdr>
            <w:top w:val="none" w:sz="0" w:space="0" w:color="auto"/>
            <w:left w:val="none" w:sz="0" w:space="0" w:color="auto"/>
            <w:bottom w:val="none" w:sz="0" w:space="0" w:color="auto"/>
            <w:right w:val="none" w:sz="0" w:space="0" w:color="auto"/>
          </w:divBdr>
        </w:div>
        <w:div w:id="52244426">
          <w:marLeft w:val="0"/>
          <w:marRight w:val="0"/>
          <w:marTop w:val="0"/>
          <w:marBottom w:val="0"/>
          <w:divBdr>
            <w:top w:val="none" w:sz="0" w:space="0" w:color="auto"/>
            <w:left w:val="none" w:sz="0" w:space="0" w:color="auto"/>
            <w:bottom w:val="none" w:sz="0" w:space="0" w:color="auto"/>
            <w:right w:val="none" w:sz="0" w:space="0" w:color="auto"/>
          </w:divBdr>
        </w:div>
        <w:div w:id="78257728">
          <w:marLeft w:val="0"/>
          <w:marRight w:val="0"/>
          <w:marTop w:val="0"/>
          <w:marBottom w:val="0"/>
          <w:divBdr>
            <w:top w:val="none" w:sz="0" w:space="0" w:color="auto"/>
            <w:left w:val="none" w:sz="0" w:space="0" w:color="auto"/>
            <w:bottom w:val="none" w:sz="0" w:space="0" w:color="auto"/>
            <w:right w:val="none" w:sz="0" w:space="0" w:color="auto"/>
          </w:divBdr>
        </w:div>
        <w:div w:id="88740388">
          <w:marLeft w:val="0"/>
          <w:marRight w:val="0"/>
          <w:marTop w:val="0"/>
          <w:marBottom w:val="0"/>
          <w:divBdr>
            <w:top w:val="none" w:sz="0" w:space="0" w:color="auto"/>
            <w:left w:val="none" w:sz="0" w:space="0" w:color="auto"/>
            <w:bottom w:val="none" w:sz="0" w:space="0" w:color="auto"/>
            <w:right w:val="none" w:sz="0" w:space="0" w:color="auto"/>
          </w:divBdr>
        </w:div>
        <w:div w:id="94251414">
          <w:marLeft w:val="0"/>
          <w:marRight w:val="0"/>
          <w:marTop w:val="0"/>
          <w:marBottom w:val="0"/>
          <w:divBdr>
            <w:top w:val="none" w:sz="0" w:space="0" w:color="auto"/>
            <w:left w:val="none" w:sz="0" w:space="0" w:color="auto"/>
            <w:bottom w:val="none" w:sz="0" w:space="0" w:color="auto"/>
            <w:right w:val="none" w:sz="0" w:space="0" w:color="auto"/>
          </w:divBdr>
        </w:div>
        <w:div w:id="100995261">
          <w:marLeft w:val="0"/>
          <w:marRight w:val="0"/>
          <w:marTop w:val="0"/>
          <w:marBottom w:val="0"/>
          <w:divBdr>
            <w:top w:val="none" w:sz="0" w:space="0" w:color="auto"/>
            <w:left w:val="none" w:sz="0" w:space="0" w:color="auto"/>
            <w:bottom w:val="none" w:sz="0" w:space="0" w:color="auto"/>
            <w:right w:val="none" w:sz="0" w:space="0" w:color="auto"/>
          </w:divBdr>
        </w:div>
        <w:div w:id="117384834">
          <w:marLeft w:val="0"/>
          <w:marRight w:val="0"/>
          <w:marTop w:val="0"/>
          <w:marBottom w:val="0"/>
          <w:divBdr>
            <w:top w:val="none" w:sz="0" w:space="0" w:color="auto"/>
            <w:left w:val="none" w:sz="0" w:space="0" w:color="auto"/>
            <w:bottom w:val="none" w:sz="0" w:space="0" w:color="auto"/>
            <w:right w:val="none" w:sz="0" w:space="0" w:color="auto"/>
          </w:divBdr>
        </w:div>
        <w:div w:id="118650518">
          <w:marLeft w:val="0"/>
          <w:marRight w:val="0"/>
          <w:marTop w:val="0"/>
          <w:marBottom w:val="0"/>
          <w:divBdr>
            <w:top w:val="none" w:sz="0" w:space="0" w:color="auto"/>
            <w:left w:val="none" w:sz="0" w:space="0" w:color="auto"/>
            <w:bottom w:val="none" w:sz="0" w:space="0" w:color="auto"/>
            <w:right w:val="none" w:sz="0" w:space="0" w:color="auto"/>
          </w:divBdr>
        </w:div>
        <w:div w:id="121121504">
          <w:marLeft w:val="0"/>
          <w:marRight w:val="0"/>
          <w:marTop w:val="0"/>
          <w:marBottom w:val="0"/>
          <w:divBdr>
            <w:top w:val="none" w:sz="0" w:space="0" w:color="auto"/>
            <w:left w:val="none" w:sz="0" w:space="0" w:color="auto"/>
            <w:bottom w:val="none" w:sz="0" w:space="0" w:color="auto"/>
            <w:right w:val="none" w:sz="0" w:space="0" w:color="auto"/>
          </w:divBdr>
        </w:div>
        <w:div w:id="136535212">
          <w:marLeft w:val="0"/>
          <w:marRight w:val="0"/>
          <w:marTop w:val="0"/>
          <w:marBottom w:val="0"/>
          <w:divBdr>
            <w:top w:val="none" w:sz="0" w:space="0" w:color="auto"/>
            <w:left w:val="none" w:sz="0" w:space="0" w:color="auto"/>
            <w:bottom w:val="none" w:sz="0" w:space="0" w:color="auto"/>
            <w:right w:val="none" w:sz="0" w:space="0" w:color="auto"/>
          </w:divBdr>
        </w:div>
        <w:div w:id="140659759">
          <w:marLeft w:val="0"/>
          <w:marRight w:val="0"/>
          <w:marTop w:val="0"/>
          <w:marBottom w:val="0"/>
          <w:divBdr>
            <w:top w:val="none" w:sz="0" w:space="0" w:color="auto"/>
            <w:left w:val="none" w:sz="0" w:space="0" w:color="auto"/>
            <w:bottom w:val="none" w:sz="0" w:space="0" w:color="auto"/>
            <w:right w:val="none" w:sz="0" w:space="0" w:color="auto"/>
          </w:divBdr>
        </w:div>
        <w:div w:id="142278785">
          <w:marLeft w:val="0"/>
          <w:marRight w:val="0"/>
          <w:marTop w:val="0"/>
          <w:marBottom w:val="0"/>
          <w:divBdr>
            <w:top w:val="none" w:sz="0" w:space="0" w:color="auto"/>
            <w:left w:val="none" w:sz="0" w:space="0" w:color="auto"/>
            <w:bottom w:val="none" w:sz="0" w:space="0" w:color="auto"/>
            <w:right w:val="none" w:sz="0" w:space="0" w:color="auto"/>
          </w:divBdr>
        </w:div>
        <w:div w:id="154105442">
          <w:marLeft w:val="0"/>
          <w:marRight w:val="0"/>
          <w:marTop w:val="0"/>
          <w:marBottom w:val="0"/>
          <w:divBdr>
            <w:top w:val="none" w:sz="0" w:space="0" w:color="auto"/>
            <w:left w:val="none" w:sz="0" w:space="0" w:color="auto"/>
            <w:bottom w:val="none" w:sz="0" w:space="0" w:color="auto"/>
            <w:right w:val="none" w:sz="0" w:space="0" w:color="auto"/>
          </w:divBdr>
        </w:div>
        <w:div w:id="176699324">
          <w:marLeft w:val="0"/>
          <w:marRight w:val="0"/>
          <w:marTop w:val="0"/>
          <w:marBottom w:val="0"/>
          <w:divBdr>
            <w:top w:val="none" w:sz="0" w:space="0" w:color="auto"/>
            <w:left w:val="none" w:sz="0" w:space="0" w:color="auto"/>
            <w:bottom w:val="none" w:sz="0" w:space="0" w:color="auto"/>
            <w:right w:val="none" w:sz="0" w:space="0" w:color="auto"/>
          </w:divBdr>
        </w:div>
        <w:div w:id="183833161">
          <w:marLeft w:val="0"/>
          <w:marRight w:val="0"/>
          <w:marTop w:val="0"/>
          <w:marBottom w:val="0"/>
          <w:divBdr>
            <w:top w:val="none" w:sz="0" w:space="0" w:color="auto"/>
            <w:left w:val="none" w:sz="0" w:space="0" w:color="auto"/>
            <w:bottom w:val="none" w:sz="0" w:space="0" w:color="auto"/>
            <w:right w:val="none" w:sz="0" w:space="0" w:color="auto"/>
          </w:divBdr>
        </w:div>
        <w:div w:id="195243677">
          <w:marLeft w:val="0"/>
          <w:marRight w:val="0"/>
          <w:marTop w:val="0"/>
          <w:marBottom w:val="0"/>
          <w:divBdr>
            <w:top w:val="none" w:sz="0" w:space="0" w:color="auto"/>
            <w:left w:val="none" w:sz="0" w:space="0" w:color="auto"/>
            <w:bottom w:val="none" w:sz="0" w:space="0" w:color="auto"/>
            <w:right w:val="none" w:sz="0" w:space="0" w:color="auto"/>
          </w:divBdr>
        </w:div>
        <w:div w:id="212353522">
          <w:marLeft w:val="0"/>
          <w:marRight w:val="0"/>
          <w:marTop w:val="0"/>
          <w:marBottom w:val="0"/>
          <w:divBdr>
            <w:top w:val="none" w:sz="0" w:space="0" w:color="auto"/>
            <w:left w:val="none" w:sz="0" w:space="0" w:color="auto"/>
            <w:bottom w:val="none" w:sz="0" w:space="0" w:color="auto"/>
            <w:right w:val="none" w:sz="0" w:space="0" w:color="auto"/>
          </w:divBdr>
        </w:div>
        <w:div w:id="224603905">
          <w:marLeft w:val="0"/>
          <w:marRight w:val="0"/>
          <w:marTop w:val="0"/>
          <w:marBottom w:val="0"/>
          <w:divBdr>
            <w:top w:val="none" w:sz="0" w:space="0" w:color="auto"/>
            <w:left w:val="none" w:sz="0" w:space="0" w:color="auto"/>
            <w:bottom w:val="none" w:sz="0" w:space="0" w:color="auto"/>
            <w:right w:val="none" w:sz="0" w:space="0" w:color="auto"/>
          </w:divBdr>
        </w:div>
        <w:div w:id="234437831">
          <w:marLeft w:val="0"/>
          <w:marRight w:val="0"/>
          <w:marTop w:val="0"/>
          <w:marBottom w:val="0"/>
          <w:divBdr>
            <w:top w:val="none" w:sz="0" w:space="0" w:color="auto"/>
            <w:left w:val="none" w:sz="0" w:space="0" w:color="auto"/>
            <w:bottom w:val="none" w:sz="0" w:space="0" w:color="auto"/>
            <w:right w:val="none" w:sz="0" w:space="0" w:color="auto"/>
          </w:divBdr>
        </w:div>
        <w:div w:id="243224711">
          <w:marLeft w:val="0"/>
          <w:marRight w:val="0"/>
          <w:marTop w:val="0"/>
          <w:marBottom w:val="0"/>
          <w:divBdr>
            <w:top w:val="none" w:sz="0" w:space="0" w:color="auto"/>
            <w:left w:val="none" w:sz="0" w:space="0" w:color="auto"/>
            <w:bottom w:val="none" w:sz="0" w:space="0" w:color="auto"/>
            <w:right w:val="none" w:sz="0" w:space="0" w:color="auto"/>
          </w:divBdr>
        </w:div>
        <w:div w:id="246381357">
          <w:marLeft w:val="0"/>
          <w:marRight w:val="0"/>
          <w:marTop w:val="0"/>
          <w:marBottom w:val="0"/>
          <w:divBdr>
            <w:top w:val="none" w:sz="0" w:space="0" w:color="auto"/>
            <w:left w:val="none" w:sz="0" w:space="0" w:color="auto"/>
            <w:bottom w:val="none" w:sz="0" w:space="0" w:color="auto"/>
            <w:right w:val="none" w:sz="0" w:space="0" w:color="auto"/>
          </w:divBdr>
        </w:div>
        <w:div w:id="263416500">
          <w:marLeft w:val="0"/>
          <w:marRight w:val="0"/>
          <w:marTop w:val="0"/>
          <w:marBottom w:val="0"/>
          <w:divBdr>
            <w:top w:val="none" w:sz="0" w:space="0" w:color="auto"/>
            <w:left w:val="none" w:sz="0" w:space="0" w:color="auto"/>
            <w:bottom w:val="none" w:sz="0" w:space="0" w:color="auto"/>
            <w:right w:val="none" w:sz="0" w:space="0" w:color="auto"/>
          </w:divBdr>
        </w:div>
        <w:div w:id="265305699">
          <w:marLeft w:val="0"/>
          <w:marRight w:val="0"/>
          <w:marTop w:val="0"/>
          <w:marBottom w:val="0"/>
          <w:divBdr>
            <w:top w:val="none" w:sz="0" w:space="0" w:color="auto"/>
            <w:left w:val="none" w:sz="0" w:space="0" w:color="auto"/>
            <w:bottom w:val="none" w:sz="0" w:space="0" w:color="auto"/>
            <w:right w:val="none" w:sz="0" w:space="0" w:color="auto"/>
          </w:divBdr>
        </w:div>
        <w:div w:id="293297432">
          <w:marLeft w:val="0"/>
          <w:marRight w:val="0"/>
          <w:marTop w:val="0"/>
          <w:marBottom w:val="0"/>
          <w:divBdr>
            <w:top w:val="none" w:sz="0" w:space="0" w:color="auto"/>
            <w:left w:val="none" w:sz="0" w:space="0" w:color="auto"/>
            <w:bottom w:val="none" w:sz="0" w:space="0" w:color="auto"/>
            <w:right w:val="none" w:sz="0" w:space="0" w:color="auto"/>
          </w:divBdr>
        </w:div>
        <w:div w:id="294527193">
          <w:marLeft w:val="0"/>
          <w:marRight w:val="0"/>
          <w:marTop w:val="0"/>
          <w:marBottom w:val="0"/>
          <w:divBdr>
            <w:top w:val="none" w:sz="0" w:space="0" w:color="auto"/>
            <w:left w:val="none" w:sz="0" w:space="0" w:color="auto"/>
            <w:bottom w:val="none" w:sz="0" w:space="0" w:color="auto"/>
            <w:right w:val="none" w:sz="0" w:space="0" w:color="auto"/>
          </w:divBdr>
        </w:div>
        <w:div w:id="295457838">
          <w:marLeft w:val="0"/>
          <w:marRight w:val="0"/>
          <w:marTop w:val="0"/>
          <w:marBottom w:val="0"/>
          <w:divBdr>
            <w:top w:val="none" w:sz="0" w:space="0" w:color="auto"/>
            <w:left w:val="none" w:sz="0" w:space="0" w:color="auto"/>
            <w:bottom w:val="none" w:sz="0" w:space="0" w:color="auto"/>
            <w:right w:val="none" w:sz="0" w:space="0" w:color="auto"/>
          </w:divBdr>
        </w:div>
        <w:div w:id="296297620">
          <w:marLeft w:val="0"/>
          <w:marRight w:val="0"/>
          <w:marTop w:val="0"/>
          <w:marBottom w:val="0"/>
          <w:divBdr>
            <w:top w:val="none" w:sz="0" w:space="0" w:color="auto"/>
            <w:left w:val="none" w:sz="0" w:space="0" w:color="auto"/>
            <w:bottom w:val="none" w:sz="0" w:space="0" w:color="auto"/>
            <w:right w:val="none" w:sz="0" w:space="0" w:color="auto"/>
          </w:divBdr>
        </w:div>
        <w:div w:id="313605702">
          <w:marLeft w:val="0"/>
          <w:marRight w:val="0"/>
          <w:marTop w:val="0"/>
          <w:marBottom w:val="0"/>
          <w:divBdr>
            <w:top w:val="none" w:sz="0" w:space="0" w:color="auto"/>
            <w:left w:val="none" w:sz="0" w:space="0" w:color="auto"/>
            <w:bottom w:val="none" w:sz="0" w:space="0" w:color="auto"/>
            <w:right w:val="none" w:sz="0" w:space="0" w:color="auto"/>
          </w:divBdr>
        </w:div>
        <w:div w:id="317736457">
          <w:marLeft w:val="0"/>
          <w:marRight w:val="0"/>
          <w:marTop w:val="0"/>
          <w:marBottom w:val="0"/>
          <w:divBdr>
            <w:top w:val="none" w:sz="0" w:space="0" w:color="auto"/>
            <w:left w:val="none" w:sz="0" w:space="0" w:color="auto"/>
            <w:bottom w:val="none" w:sz="0" w:space="0" w:color="auto"/>
            <w:right w:val="none" w:sz="0" w:space="0" w:color="auto"/>
          </w:divBdr>
        </w:div>
        <w:div w:id="322127429">
          <w:marLeft w:val="0"/>
          <w:marRight w:val="0"/>
          <w:marTop w:val="0"/>
          <w:marBottom w:val="0"/>
          <w:divBdr>
            <w:top w:val="none" w:sz="0" w:space="0" w:color="auto"/>
            <w:left w:val="none" w:sz="0" w:space="0" w:color="auto"/>
            <w:bottom w:val="none" w:sz="0" w:space="0" w:color="auto"/>
            <w:right w:val="none" w:sz="0" w:space="0" w:color="auto"/>
          </w:divBdr>
        </w:div>
        <w:div w:id="335351611">
          <w:marLeft w:val="0"/>
          <w:marRight w:val="0"/>
          <w:marTop w:val="0"/>
          <w:marBottom w:val="0"/>
          <w:divBdr>
            <w:top w:val="none" w:sz="0" w:space="0" w:color="auto"/>
            <w:left w:val="none" w:sz="0" w:space="0" w:color="auto"/>
            <w:bottom w:val="none" w:sz="0" w:space="0" w:color="auto"/>
            <w:right w:val="none" w:sz="0" w:space="0" w:color="auto"/>
          </w:divBdr>
        </w:div>
        <w:div w:id="335498161">
          <w:marLeft w:val="0"/>
          <w:marRight w:val="0"/>
          <w:marTop w:val="0"/>
          <w:marBottom w:val="0"/>
          <w:divBdr>
            <w:top w:val="none" w:sz="0" w:space="0" w:color="auto"/>
            <w:left w:val="none" w:sz="0" w:space="0" w:color="auto"/>
            <w:bottom w:val="none" w:sz="0" w:space="0" w:color="auto"/>
            <w:right w:val="none" w:sz="0" w:space="0" w:color="auto"/>
          </w:divBdr>
        </w:div>
        <w:div w:id="357396241">
          <w:marLeft w:val="0"/>
          <w:marRight w:val="0"/>
          <w:marTop w:val="0"/>
          <w:marBottom w:val="0"/>
          <w:divBdr>
            <w:top w:val="none" w:sz="0" w:space="0" w:color="auto"/>
            <w:left w:val="none" w:sz="0" w:space="0" w:color="auto"/>
            <w:bottom w:val="none" w:sz="0" w:space="0" w:color="auto"/>
            <w:right w:val="none" w:sz="0" w:space="0" w:color="auto"/>
          </w:divBdr>
        </w:div>
        <w:div w:id="358703636">
          <w:marLeft w:val="0"/>
          <w:marRight w:val="0"/>
          <w:marTop w:val="0"/>
          <w:marBottom w:val="0"/>
          <w:divBdr>
            <w:top w:val="none" w:sz="0" w:space="0" w:color="auto"/>
            <w:left w:val="none" w:sz="0" w:space="0" w:color="auto"/>
            <w:bottom w:val="none" w:sz="0" w:space="0" w:color="auto"/>
            <w:right w:val="none" w:sz="0" w:space="0" w:color="auto"/>
          </w:divBdr>
        </w:div>
        <w:div w:id="369496456">
          <w:marLeft w:val="0"/>
          <w:marRight w:val="0"/>
          <w:marTop w:val="0"/>
          <w:marBottom w:val="0"/>
          <w:divBdr>
            <w:top w:val="none" w:sz="0" w:space="0" w:color="auto"/>
            <w:left w:val="none" w:sz="0" w:space="0" w:color="auto"/>
            <w:bottom w:val="none" w:sz="0" w:space="0" w:color="auto"/>
            <w:right w:val="none" w:sz="0" w:space="0" w:color="auto"/>
          </w:divBdr>
        </w:div>
        <w:div w:id="383604058">
          <w:marLeft w:val="0"/>
          <w:marRight w:val="0"/>
          <w:marTop w:val="0"/>
          <w:marBottom w:val="0"/>
          <w:divBdr>
            <w:top w:val="none" w:sz="0" w:space="0" w:color="auto"/>
            <w:left w:val="none" w:sz="0" w:space="0" w:color="auto"/>
            <w:bottom w:val="none" w:sz="0" w:space="0" w:color="auto"/>
            <w:right w:val="none" w:sz="0" w:space="0" w:color="auto"/>
          </w:divBdr>
        </w:div>
        <w:div w:id="388456054">
          <w:marLeft w:val="0"/>
          <w:marRight w:val="0"/>
          <w:marTop w:val="0"/>
          <w:marBottom w:val="0"/>
          <w:divBdr>
            <w:top w:val="none" w:sz="0" w:space="0" w:color="auto"/>
            <w:left w:val="none" w:sz="0" w:space="0" w:color="auto"/>
            <w:bottom w:val="none" w:sz="0" w:space="0" w:color="auto"/>
            <w:right w:val="none" w:sz="0" w:space="0" w:color="auto"/>
          </w:divBdr>
        </w:div>
        <w:div w:id="421607024">
          <w:marLeft w:val="0"/>
          <w:marRight w:val="0"/>
          <w:marTop w:val="0"/>
          <w:marBottom w:val="0"/>
          <w:divBdr>
            <w:top w:val="none" w:sz="0" w:space="0" w:color="auto"/>
            <w:left w:val="none" w:sz="0" w:space="0" w:color="auto"/>
            <w:bottom w:val="none" w:sz="0" w:space="0" w:color="auto"/>
            <w:right w:val="none" w:sz="0" w:space="0" w:color="auto"/>
          </w:divBdr>
        </w:div>
        <w:div w:id="421756485">
          <w:marLeft w:val="0"/>
          <w:marRight w:val="0"/>
          <w:marTop w:val="0"/>
          <w:marBottom w:val="0"/>
          <w:divBdr>
            <w:top w:val="none" w:sz="0" w:space="0" w:color="auto"/>
            <w:left w:val="none" w:sz="0" w:space="0" w:color="auto"/>
            <w:bottom w:val="none" w:sz="0" w:space="0" w:color="auto"/>
            <w:right w:val="none" w:sz="0" w:space="0" w:color="auto"/>
          </w:divBdr>
        </w:div>
        <w:div w:id="429853979">
          <w:marLeft w:val="0"/>
          <w:marRight w:val="0"/>
          <w:marTop w:val="0"/>
          <w:marBottom w:val="0"/>
          <w:divBdr>
            <w:top w:val="none" w:sz="0" w:space="0" w:color="auto"/>
            <w:left w:val="none" w:sz="0" w:space="0" w:color="auto"/>
            <w:bottom w:val="none" w:sz="0" w:space="0" w:color="auto"/>
            <w:right w:val="none" w:sz="0" w:space="0" w:color="auto"/>
          </w:divBdr>
        </w:div>
        <w:div w:id="435684385">
          <w:marLeft w:val="0"/>
          <w:marRight w:val="0"/>
          <w:marTop w:val="0"/>
          <w:marBottom w:val="0"/>
          <w:divBdr>
            <w:top w:val="none" w:sz="0" w:space="0" w:color="auto"/>
            <w:left w:val="none" w:sz="0" w:space="0" w:color="auto"/>
            <w:bottom w:val="none" w:sz="0" w:space="0" w:color="auto"/>
            <w:right w:val="none" w:sz="0" w:space="0" w:color="auto"/>
          </w:divBdr>
        </w:div>
        <w:div w:id="436406642">
          <w:marLeft w:val="0"/>
          <w:marRight w:val="0"/>
          <w:marTop w:val="0"/>
          <w:marBottom w:val="0"/>
          <w:divBdr>
            <w:top w:val="none" w:sz="0" w:space="0" w:color="auto"/>
            <w:left w:val="none" w:sz="0" w:space="0" w:color="auto"/>
            <w:bottom w:val="none" w:sz="0" w:space="0" w:color="auto"/>
            <w:right w:val="none" w:sz="0" w:space="0" w:color="auto"/>
          </w:divBdr>
        </w:div>
        <w:div w:id="467087808">
          <w:marLeft w:val="0"/>
          <w:marRight w:val="0"/>
          <w:marTop w:val="0"/>
          <w:marBottom w:val="0"/>
          <w:divBdr>
            <w:top w:val="none" w:sz="0" w:space="0" w:color="auto"/>
            <w:left w:val="none" w:sz="0" w:space="0" w:color="auto"/>
            <w:bottom w:val="none" w:sz="0" w:space="0" w:color="auto"/>
            <w:right w:val="none" w:sz="0" w:space="0" w:color="auto"/>
          </w:divBdr>
        </w:div>
        <w:div w:id="473521203">
          <w:marLeft w:val="0"/>
          <w:marRight w:val="0"/>
          <w:marTop w:val="0"/>
          <w:marBottom w:val="0"/>
          <w:divBdr>
            <w:top w:val="none" w:sz="0" w:space="0" w:color="auto"/>
            <w:left w:val="none" w:sz="0" w:space="0" w:color="auto"/>
            <w:bottom w:val="none" w:sz="0" w:space="0" w:color="auto"/>
            <w:right w:val="none" w:sz="0" w:space="0" w:color="auto"/>
          </w:divBdr>
        </w:div>
        <w:div w:id="486633306">
          <w:marLeft w:val="0"/>
          <w:marRight w:val="0"/>
          <w:marTop w:val="0"/>
          <w:marBottom w:val="0"/>
          <w:divBdr>
            <w:top w:val="none" w:sz="0" w:space="0" w:color="auto"/>
            <w:left w:val="none" w:sz="0" w:space="0" w:color="auto"/>
            <w:bottom w:val="none" w:sz="0" w:space="0" w:color="auto"/>
            <w:right w:val="none" w:sz="0" w:space="0" w:color="auto"/>
          </w:divBdr>
        </w:div>
        <w:div w:id="489758051">
          <w:marLeft w:val="0"/>
          <w:marRight w:val="0"/>
          <w:marTop w:val="0"/>
          <w:marBottom w:val="0"/>
          <w:divBdr>
            <w:top w:val="none" w:sz="0" w:space="0" w:color="auto"/>
            <w:left w:val="none" w:sz="0" w:space="0" w:color="auto"/>
            <w:bottom w:val="none" w:sz="0" w:space="0" w:color="auto"/>
            <w:right w:val="none" w:sz="0" w:space="0" w:color="auto"/>
          </w:divBdr>
        </w:div>
        <w:div w:id="499588781">
          <w:marLeft w:val="0"/>
          <w:marRight w:val="0"/>
          <w:marTop w:val="0"/>
          <w:marBottom w:val="0"/>
          <w:divBdr>
            <w:top w:val="none" w:sz="0" w:space="0" w:color="auto"/>
            <w:left w:val="none" w:sz="0" w:space="0" w:color="auto"/>
            <w:bottom w:val="none" w:sz="0" w:space="0" w:color="auto"/>
            <w:right w:val="none" w:sz="0" w:space="0" w:color="auto"/>
          </w:divBdr>
        </w:div>
        <w:div w:id="500390964">
          <w:marLeft w:val="0"/>
          <w:marRight w:val="0"/>
          <w:marTop w:val="0"/>
          <w:marBottom w:val="0"/>
          <w:divBdr>
            <w:top w:val="none" w:sz="0" w:space="0" w:color="auto"/>
            <w:left w:val="none" w:sz="0" w:space="0" w:color="auto"/>
            <w:bottom w:val="none" w:sz="0" w:space="0" w:color="auto"/>
            <w:right w:val="none" w:sz="0" w:space="0" w:color="auto"/>
          </w:divBdr>
        </w:div>
        <w:div w:id="505827937">
          <w:marLeft w:val="0"/>
          <w:marRight w:val="0"/>
          <w:marTop w:val="0"/>
          <w:marBottom w:val="0"/>
          <w:divBdr>
            <w:top w:val="none" w:sz="0" w:space="0" w:color="auto"/>
            <w:left w:val="none" w:sz="0" w:space="0" w:color="auto"/>
            <w:bottom w:val="none" w:sz="0" w:space="0" w:color="auto"/>
            <w:right w:val="none" w:sz="0" w:space="0" w:color="auto"/>
          </w:divBdr>
        </w:div>
        <w:div w:id="508374487">
          <w:marLeft w:val="0"/>
          <w:marRight w:val="0"/>
          <w:marTop w:val="0"/>
          <w:marBottom w:val="0"/>
          <w:divBdr>
            <w:top w:val="none" w:sz="0" w:space="0" w:color="auto"/>
            <w:left w:val="none" w:sz="0" w:space="0" w:color="auto"/>
            <w:bottom w:val="none" w:sz="0" w:space="0" w:color="auto"/>
            <w:right w:val="none" w:sz="0" w:space="0" w:color="auto"/>
          </w:divBdr>
        </w:div>
        <w:div w:id="508711961">
          <w:marLeft w:val="0"/>
          <w:marRight w:val="0"/>
          <w:marTop w:val="0"/>
          <w:marBottom w:val="0"/>
          <w:divBdr>
            <w:top w:val="none" w:sz="0" w:space="0" w:color="auto"/>
            <w:left w:val="none" w:sz="0" w:space="0" w:color="auto"/>
            <w:bottom w:val="none" w:sz="0" w:space="0" w:color="auto"/>
            <w:right w:val="none" w:sz="0" w:space="0" w:color="auto"/>
          </w:divBdr>
        </w:div>
        <w:div w:id="521668797">
          <w:marLeft w:val="0"/>
          <w:marRight w:val="0"/>
          <w:marTop w:val="0"/>
          <w:marBottom w:val="0"/>
          <w:divBdr>
            <w:top w:val="none" w:sz="0" w:space="0" w:color="auto"/>
            <w:left w:val="none" w:sz="0" w:space="0" w:color="auto"/>
            <w:bottom w:val="none" w:sz="0" w:space="0" w:color="auto"/>
            <w:right w:val="none" w:sz="0" w:space="0" w:color="auto"/>
          </w:divBdr>
        </w:div>
        <w:div w:id="535653309">
          <w:marLeft w:val="0"/>
          <w:marRight w:val="0"/>
          <w:marTop w:val="0"/>
          <w:marBottom w:val="0"/>
          <w:divBdr>
            <w:top w:val="none" w:sz="0" w:space="0" w:color="auto"/>
            <w:left w:val="none" w:sz="0" w:space="0" w:color="auto"/>
            <w:bottom w:val="none" w:sz="0" w:space="0" w:color="auto"/>
            <w:right w:val="none" w:sz="0" w:space="0" w:color="auto"/>
          </w:divBdr>
        </w:div>
        <w:div w:id="554465513">
          <w:marLeft w:val="0"/>
          <w:marRight w:val="0"/>
          <w:marTop w:val="0"/>
          <w:marBottom w:val="0"/>
          <w:divBdr>
            <w:top w:val="none" w:sz="0" w:space="0" w:color="auto"/>
            <w:left w:val="none" w:sz="0" w:space="0" w:color="auto"/>
            <w:bottom w:val="none" w:sz="0" w:space="0" w:color="auto"/>
            <w:right w:val="none" w:sz="0" w:space="0" w:color="auto"/>
          </w:divBdr>
        </w:div>
        <w:div w:id="559511852">
          <w:marLeft w:val="0"/>
          <w:marRight w:val="0"/>
          <w:marTop w:val="0"/>
          <w:marBottom w:val="0"/>
          <w:divBdr>
            <w:top w:val="none" w:sz="0" w:space="0" w:color="auto"/>
            <w:left w:val="none" w:sz="0" w:space="0" w:color="auto"/>
            <w:bottom w:val="none" w:sz="0" w:space="0" w:color="auto"/>
            <w:right w:val="none" w:sz="0" w:space="0" w:color="auto"/>
          </w:divBdr>
        </w:div>
        <w:div w:id="561447931">
          <w:marLeft w:val="0"/>
          <w:marRight w:val="0"/>
          <w:marTop w:val="0"/>
          <w:marBottom w:val="0"/>
          <w:divBdr>
            <w:top w:val="none" w:sz="0" w:space="0" w:color="auto"/>
            <w:left w:val="none" w:sz="0" w:space="0" w:color="auto"/>
            <w:bottom w:val="none" w:sz="0" w:space="0" w:color="auto"/>
            <w:right w:val="none" w:sz="0" w:space="0" w:color="auto"/>
          </w:divBdr>
        </w:div>
        <w:div w:id="581833426">
          <w:marLeft w:val="0"/>
          <w:marRight w:val="0"/>
          <w:marTop w:val="0"/>
          <w:marBottom w:val="0"/>
          <w:divBdr>
            <w:top w:val="none" w:sz="0" w:space="0" w:color="auto"/>
            <w:left w:val="none" w:sz="0" w:space="0" w:color="auto"/>
            <w:bottom w:val="none" w:sz="0" w:space="0" w:color="auto"/>
            <w:right w:val="none" w:sz="0" w:space="0" w:color="auto"/>
          </w:divBdr>
        </w:div>
        <w:div w:id="619150946">
          <w:marLeft w:val="0"/>
          <w:marRight w:val="0"/>
          <w:marTop w:val="0"/>
          <w:marBottom w:val="0"/>
          <w:divBdr>
            <w:top w:val="none" w:sz="0" w:space="0" w:color="auto"/>
            <w:left w:val="none" w:sz="0" w:space="0" w:color="auto"/>
            <w:bottom w:val="none" w:sz="0" w:space="0" w:color="auto"/>
            <w:right w:val="none" w:sz="0" w:space="0" w:color="auto"/>
          </w:divBdr>
        </w:div>
        <w:div w:id="630208154">
          <w:marLeft w:val="0"/>
          <w:marRight w:val="0"/>
          <w:marTop w:val="0"/>
          <w:marBottom w:val="0"/>
          <w:divBdr>
            <w:top w:val="none" w:sz="0" w:space="0" w:color="auto"/>
            <w:left w:val="none" w:sz="0" w:space="0" w:color="auto"/>
            <w:bottom w:val="none" w:sz="0" w:space="0" w:color="auto"/>
            <w:right w:val="none" w:sz="0" w:space="0" w:color="auto"/>
          </w:divBdr>
        </w:div>
        <w:div w:id="650715220">
          <w:marLeft w:val="0"/>
          <w:marRight w:val="0"/>
          <w:marTop w:val="0"/>
          <w:marBottom w:val="0"/>
          <w:divBdr>
            <w:top w:val="none" w:sz="0" w:space="0" w:color="auto"/>
            <w:left w:val="none" w:sz="0" w:space="0" w:color="auto"/>
            <w:bottom w:val="none" w:sz="0" w:space="0" w:color="auto"/>
            <w:right w:val="none" w:sz="0" w:space="0" w:color="auto"/>
          </w:divBdr>
        </w:div>
        <w:div w:id="652754579">
          <w:marLeft w:val="0"/>
          <w:marRight w:val="0"/>
          <w:marTop w:val="0"/>
          <w:marBottom w:val="0"/>
          <w:divBdr>
            <w:top w:val="none" w:sz="0" w:space="0" w:color="auto"/>
            <w:left w:val="none" w:sz="0" w:space="0" w:color="auto"/>
            <w:bottom w:val="none" w:sz="0" w:space="0" w:color="auto"/>
            <w:right w:val="none" w:sz="0" w:space="0" w:color="auto"/>
          </w:divBdr>
        </w:div>
        <w:div w:id="665520912">
          <w:marLeft w:val="0"/>
          <w:marRight w:val="0"/>
          <w:marTop w:val="0"/>
          <w:marBottom w:val="0"/>
          <w:divBdr>
            <w:top w:val="none" w:sz="0" w:space="0" w:color="auto"/>
            <w:left w:val="none" w:sz="0" w:space="0" w:color="auto"/>
            <w:bottom w:val="none" w:sz="0" w:space="0" w:color="auto"/>
            <w:right w:val="none" w:sz="0" w:space="0" w:color="auto"/>
          </w:divBdr>
        </w:div>
        <w:div w:id="707417018">
          <w:marLeft w:val="0"/>
          <w:marRight w:val="0"/>
          <w:marTop w:val="0"/>
          <w:marBottom w:val="0"/>
          <w:divBdr>
            <w:top w:val="none" w:sz="0" w:space="0" w:color="auto"/>
            <w:left w:val="none" w:sz="0" w:space="0" w:color="auto"/>
            <w:bottom w:val="none" w:sz="0" w:space="0" w:color="auto"/>
            <w:right w:val="none" w:sz="0" w:space="0" w:color="auto"/>
          </w:divBdr>
        </w:div>
        <w:div w:id="724335132">
          <w:marLeft w:val="0"/>
          <w:marRight w:val="0"/>
          <w:marTop w:val="0"/>
          <w:marBottom w:val="0"/>
          <w:divBdr>
            <w:top w:val="none" w:sz="0" w:space="0" w:color="auto"/>
            <w:left w:val="none" w:sz="0" w:space="0" w:color="auto"/>
            <w:bottom w:val="none" w:sz="0" w:space="0" w:color="auto"/>
            <w:right w:val="none" w:sz="0" w:space="0" w:color="auto"/>
          </w:divBdr>
        </w:div>
        <w:div w:id="726492737">
          <w:marLeft w:val="0"/>
          <w:marRight w:val="0"/>
          <w:marTop w:val="0"/>
          <w:marBottom w:val="0"/>
          <w:divBdr>
            <w:top w:val="none" w:sz="0" w:space="0" w:color="auto"/>
            <w:left w:val="none" w:sz="0" w:space="0" w:color="auto"/>
            <w:bottom w:val="none" w:sz="0" w:space="0" w:color="auto"/>
            <w:right w:val="none" w:sz="0" w:space="0" w:color="auto"/>
          </w:divBdr>
        </w:div>
        <w:div w:id="747964644">
          <w:marLeft w:val="0"/>
          <w:marRight w:val="0"/>
          <w:marTop w:val="0"/>
          <w:marBottom w:val="0"/>
          <w:divBdr>
            <w:top w:val="none" w:sz="0" w:space="0" w:color="auto"/>
            <w:left w:val="none" w:sz="0" w:space="0" w:color="auto"/>
            <w:bottom w:val="none" w:sz="0" w:space="0" w:color="auto"/>
            <w:right w:val="none" w:sz="0" w:space="0" w:color="auto"/>
          </w:divBdr>
        </w:div>
        <w:div w:id="749155607">
          <w:marLeft w:val="0"/>
          <w:marRight w:val="0"/>
          <w:marTop w:val="0"/>
          <w:marBottom w:val="0"/>
          <w:divBdr>
            <w:top w:val="none" w:sz="0" w:space="0" w:color="auto"/>
            <w:left w:val="none" w:sz="0" w:space="0" w:color="auto"/>
            <w:bottom w:val="none" w:sz="0" w:space="0" w:color="auto"/>
            <w:right w:val="none" w:sz="0" w:space="0" w:color="auto"/>
          </w:divBdr>
        </w:div>
        <w:div w:id="762650780">
          <w:marLeft w:val="0"/>
          <w:marRight w:val="0"/>
          <w:marTop w:val="0"/>
          <w:marBottom w:val="0"/>
          <w:divBdr>
            <w:top w:val="none" w:sz="0" w:space="0" w:color="auto"/>
            <w:left w:val="none" w:sz="0" w:space="0" w:color="auto"/>
            <w:bottom w:val="none" w:sz="0" w:space="0" w:color="auto"/>
            <w:right w:val="none" w:sz="0" w:space="0" w:color="auto"/>
          </w:divBdr>
        </w:div>
        <w:div w:id="767041899">
          <w:marLeft w:val="0"/>
          <w:marRight w:val="0"/>
          <w:marTop w:val="0"/>
          <w:marBottom w:val="0"/>
          <w:divBdr>
            <w:top w:val="none" w:sz="0" w:space="0" w:color="auto"/>
            <w:left w:val="none" w:sz="0" w:space="0" w:color="auto"/>
            <w:bottom w:val="none" w:sz="0" w:space="0" w:color="auto"/>
            <w:right w:val="none" w:sz="0" w:space="0" w:color="auto"/>
          </w:divBdr>
        </w:div>
        <w:div w:id="772894989">
          <w:marLeft w:val="0"/>
          <w:marRight w:val="0"/>
          <w:marTop w:val="0"/>
          <w:marBottom w:val="0"/>
          <w:divBdr>
            <w:top w:val="none" w:sz="0" w:space="0" w:color="auto"/>
            <w:left w:val="none" w:sz="0" w:space="0" w:color="auto"/>
            <w:bottom w:val="none" w:sz="0" w:space="0" w:color="auto"/>
            <w:right w:val="none" w:sz="0" w:space="0" w:color="auto"/>
          </w:divBdr>
        </w:div>
        <w:div w:id="782654131">
          <w:marLeft w:val="0"/>
          <w:marRight w:val="0"/>
          <w:marTop w:val="0"/>
          <w:marBottom w:val="0"/>
          <w:divBdr>
            <w:top w:val="none" w:sz="0" w:space="0" w:color="auto"/>
            <w:left w:val="none" w:sz="0" w:space="0" w:color="auto"/>
            <w:bottom w:val="none" w:sz="0" w:space="0" w:color="auto"/>
            <w:right w:val="none" w:sz="0" w:space="0" w:color="auto"/>
          </w:divBdr>
        </w:div>
        <w:div w:id="784614310">
          <w:marLeft w:val="0"/>
          <w:marRight w:val="0"/>
          <w:marTop w:val="0"/>
          <w:marBottom w:val="0"/>
          <w:divBdr>
            <w:top w:val="none" w:sz="0" w:space="0" w:color="auto"/>
            <w:left w:val="none" w:sz="0" w:space="0" w:color="auto"/>
            <w:bottom w:val="none" w:sz="0" w:space="0" w:color="auto"/>
            <w:right w:val="none" w:sz="0" w:space="0" w:color="auto"/>
          </w:divBdr>
        </w:div>
        <w:div w:id="806246535">
          <w:marLeft w:val="0"/>
          <w:marRight w:val="0"/>
          <w:marTop w:val="0"/>
          <w:marBottom w:val="0"/>
          <w:divBdr>
            <w:top w:val="none" w:sz="0" w:space="0" w:color="auto"/>
            <w:left w:val="none" w:sz="0" w:space="0" w:color="auto"/>
            <w:bottom w:val="none" w:sz="0" w:space="0" w:color="auto"/>
            <w:right w:val="none" w:sz="0" w:space="0" w:color="auto"/>
          </w:divBdr>
        </w:div>
        <w:div w:id="814219885">
          <w:marLeft w:val="0"/>
          <w:marRight w:val="0"/>
          <w:marTop w:val="0"/>
          <w:marBottom w:val="0"/>
          <w:divBdr>
            <w:top w:val="none" w:sz="0" w:space="0" w:color="auto"/>
            <w:left w:val="none" w:sz="0" w:space="0" w:color="auto"/>
            <w:bottom w:val="none" w:sz="0" w:space="0" w:color="auto"/>
            <w:right w:val="none" w:sz="0" w:space="0" w:color="auto"/>
          </w:divBdr>
        </w:div>
        <w:div w:id="829635969">
          <w:marLeft w:val="0"/>
          <w:marRight w:val="0"/>
          <w:marTop w:val="0"/>
          <w:marBottom w:val="0"/>
          <w:divBdr>
            <w:top w:val="none" w:sz="0" w:space="0" w:color="auto"/>
            <w:left w:val="none" w:sz="0" w:space="0" w:color="auto"/>
            <w:bottom w:val="none" w:sz="0" w:space="0" w:color="auto"/>
            <w:right w:val="none" w:sz="0" w:space="0" w:color="auto"/>
          </w:divBdr>
        </w:div>
        <w:div w:id="830366049">
          <w:marLeft w:val="0"/>
          <w:marRight w:val="0"/>
          <w:marTop w:val="0"/>
          <w:marBottom w:val="0"/>
          <w:divBdr>
            <w:top w:val="none" w:sz="0" w:space="0" w:color="auto"/>
            <w:left w:val="none" w:sz="0" w:space="0" w:color="auto"/>
            <w:bottom w:val="none" w:sz="0" w:space="0" w:color="auto"/>
            <w:right w:val="none" w:sz="0" w:space="0" w:color="auto"/>
          </w:divBdr>
        </w:div>
        <w:div w:id="856311238">
          <w:marLeft w:val="0"/>
          <w:marRight w:val="0"/>
          <w:marTop w:val="0"/>
          <w:marBottom w:val="0"/>
          <w:divBdr>
            <w:top w:val="none" w:sz="0" w:space="0" w:color="auto"/>
            <w:left w:val="none" w:sz="0" w:space="0" w:color="auto"/>
            <w:bottom w:val="none" w:sz="0" w:space="0" w:color="auto"/>
            <w:right w:val="none" w:sz="0" w:space="0" w:color="auto"/>
          </w:divBdr>
        </w:div>
        <w:div w:id="864442588">
          <w:marLeft w:val="0"/>
          <w:marRight w:val="0"/>
          <w:marTop w:val="0"/>
          <w:marBottom w:val="0"/>
          <w:divBdr>
            <w:top w:val="none" w:sz="0" w:space="0" w:color="auto"/>
            <w:left w:val="none" w:sz="0" w:space="0" w:color="auto"/>
            <w:bottom w:val="none" w:sz="0" w:space="0" w:color="auto"/>
            <w:right w:val="none" w:sz="0" w:space="0" w:color="auto"/>
          </w:divBdr>
        </w:div>
        <w:div w:id="866602189">
          <w:marLeft w:val="0"/>
          <w:marRight w:val="0"/>
          <w:marTop w:val="0"/>
          <w:marBottom w:val="0"/>
          <w:divBdr>
            <w:top w:val="none" w:sz="0" w:space="0" w:color="auto"/>
            <w:left w:val="none" w:sz="0" w:space="0" w:color="auto"/>
            <w:bottom w:val="none" w:sz="0" w:space="0" w:color="auto"/>
            <w:right w:val="none" w:sz="0" w:space="0" w:color="auto"/>
          </w:divBdr>
        </w:div>
        <w:div w:id="880214100">
          <w:marLeft w:val="0"/>
          <w:marRight w:val="0"/>
          <w:marTop w:val="0"/>
          <w:marBottom w:val="0"/>
          <w:divBdr>
            <w:top w:val="none" w:sz="0" w:space="0" w:color="auto"/>
            <w:left w:val="none" w:sz="0" w:space="0" w:color="auto"/>
            <w:bottom w:val="none" w:sz="0" w:space="0" w:color="auto"/>
            <w:right w:val="none" w:sz="0" w:space="0" w:color="auto"/>
          </w:divBdr>
        </w:div>
        <w:div w:id="894899668">
          <w:marLeft w:val="0"/>
          <w:marRight w:val="0"/>
          <w:marTop w:val="0"/>
          <w:marBottom w:val="0"/>
          <w:divBdr>
            <w:top w:val="none" w:sz="0" w:space="0" w:color="auto"/>
            <w:left w:val="none" w:sz="0" w:space="0" w:color="auto"/>
            <w:bottom w:val="none" w:sz="0" w:space="0" w:color="auto"/>
            <w:right w:val="none" w:sz="0" w:space="0" w:color="auto"/>
          </w:divBdr>
        </w:div>
        <w:div w:id="905847409">
          <w:marLeft w:val="0"/>
          <w:marRight w:val="0"/>
          <w:marTop w:val="0"/>
          <w:marBottom w:val="0"/>
          <w:divBdr>
            <w:top w:val="none" w:sz="0" w:space="0" w:color="auto"/>
            <w:left w:val="none" w:sz="0" w:space="0" w:color="auto"/>
            <w:bottom w:val="none" w:sz="0" w:space="0" w:color="auto"/>
            <w:right w:val="none" w:sz="0" w:space="0" w:color="auto"/>
          </w:divBdr>
        </w:div>
        <w:div w:id="912741241">
          <w:marLeft w:val="0"/>
          <w:marRight w:val="0"/>
          <w:marTop w:val="0"/>
          <w:marBottom w:val="0"/>
          <w:divBdr>
            <w:top w:val="none" w:sz="0" w:space="0" w:color="auto"/>
            <w:left w:val="none" w:sz="0" w:space="0" w:color="auto"/>
            <w:bottom w:val="none" w:sz="0" w:space="0" w:color="auto"/>
            <w:right w:val="none" w:sz="0" w:space="0" w:color="auto"/>
          </w:divBdr>
        </w:div>
        <w:div w:id="913511230">
          <w:marLeft w:val="0"/>
          <w:marRight w:val="0"/>
          <w:marTop w:val="0"/>
          <w:marBottom w:val="0"/>
          <w:divBdr>
            <w:top w:val="none" w:sz="0" w:space="0" w:color="auto"/>
            <w:left w:val="none" w:sz="0" w:space="0" w:color="auto"/>
            <w:bottom w:val="none" w:sz="0" w:space="0" w:color="auto"/>
            <w:right w:val="none" w:sz="0" w:space="0" w:color="auto"/>
          </w:divBdr>
        </w:div>
        <w:div w:id="926311232">
          <w:marLeft w:val="0"/>
          <w:marRight w:val="0"/>
          <w:marTop w:val="0"/>
          <w:marBottom w:val="0"/>
          <w:divBdr>
            <w:top w:val="none" w:sz="0" w:space="0" w:color="auto"/>
            <w:left w:val="none" w:sz="0" w:space="0" w:color="auto"/>
            <w:bottom w:val="none" w:sz="0" w:space="0" w:color="auto"/>
            <w:right w:val="none" w:sz="0" w:space="0" w:color="auto"/>
          </w:divBdr>
        </w:div>
        <w:div w:id="943267344">
          <w:marLeft w:val="0"/>
          <w:marRight w:val="0"/>
          <w:marTop w:val="0"/>
          <w:marBottom w:val="0"/>
          <w:divBdr>
            <w:top w:val="none" w:sz="0" w:space="0" w:color="auto"/>
            <w:left w:val="none" w:sz="0" w:space="0" w:color="auto"/>
            <w:bottom w:val="none" w:sz="0" w:space="0" w:color="auto"/>
            <w:right w:val="none" w:sz="0" w:space="0" w:color="auto"/>
          </w:divBdr>
        </w:div>
        <w:div w:id="944384453">
          <w:marLeft w:val="0"/>
          <w:marRight w:val="0"/>
          <w:marTop w:val="0"/>
          <w:marBottom w:val="0"/>
          <w:divBdr>
            <w:top w:val="none" w:sz="0" w:space="0" w:color="auto"/>
            <w:left w:val="none" w:sz="0" w:space="0" w:color="auto"/>
            <w:bottom w:val="none" w:sz="0" w:space="0" w:color="auto"/>
            <w:right w:val="none" w:sz="0" w:space="0" w:color="auto"/>
          </w:divBdr>
        </w:div>
        <w:div w:id="951133550">
          <w:marLeft w:val="0"/>
          <w:marRight w:val="0"/>
          <w:marTop w:val="0"/>
          <w:marBottom w:val="0"/>
          <w:divBdr>
            <w:top w:val="none" w:sz="0" w:space="0" w:color="auto"/>
            <w:left w:val="none" w:sz="0" w:space="0" w:color="auto"/>
            <w:bottom w:val="none" w:sz="0" w:space="0" w:color="auto"/>
            <w:right w:val="none" w:sz="0" w:space="0" w:color="auto"/>
          </w:divBdr>
        </w:div>
        <w:div w:id="955986094">
          <w:marLeft w:val="0"/>
          <w:marRight w:val="0"/>
          <w:marTop w:val="0"/>
          <w:marBottom w:val="0"/>
          <w:divBdr>
            <w:top w:val="none" w:sz="0" w:space="0" w:color="auto"/>
            <w:left w:val="none" w:sz="0" w:space="0" w:color="auto"/>
            <w:bottom w:val="none" w:sz="0" w:space="0" w:color="auto"/>
            <w:right w:val="none" w:sz="0" w:space="0" w:color="auto"/>
          </w:divBdr>
        </w:div>
        <w:div w:id="960456529">
          <w:marLeft w:val="0"/>
          <w:marRight w:val="0"/>
          <w:marTop w:val="0"/>
          <w:marBottom w:val="0"/>
          <w:divBdr>
            <w:top w:val="none" w:sz="0" w:space="0" w:color="auto"/>
            <w:left w:val="none" w:sz="0" w:space="0" w:color="auto"/>
            <w:bottom w:val="none" w:sz="0" w:space="0" w:color="auto"/>
            <w:right w:val="none" w:sz="0" w:space="0" w:color="auto"/>
          </w:divBdr>
        </w:div>
        <w:div w:id="976177951">
          <w:marLeft w:val="0"/>
          <w:marRight w:val="0"/>
          <w:marTop w:val="0"/>
          <w:marBottom w:val="0"/>
          <w:divBdr>
            <w:top w:val="none" w:sz="0" w:space="0" w:color="auto"/>
            <w:left w:val="none" w:sz="0" w:space="0" w:color="auto"/>
            <w:bottom w:val="none" w:sz="0" w:space="0" w:color="auto"/>
            <w:right w:val="none" w:sz="0" w:space="0" w:color="auto"/>
          </w:divBdr>
        </w:div>
        <w:div w:id="981621525">
          <w:marLeft w:val="0"/>
          <w:marRight w:val="0"/>
          <w:marTop w:val="0"/>
          <w:marBottom w:val="0"/>
          <w:divBdr>
            <w:top w:val="none" w:sz="0" w:space="0" w:color="auto"/>
            <w:left w:val="none" w:sz="0" w:space="0" w:color="auto"/>
            <w:bottom w:val="none" w:sz="0" w:space="0" w:color="auto"/>
            <w:right w:val="none" w:sz="0" w:space="0" w:color="auto"/>
          </w:divBdr>
        </w:div>
        <w:div w:id="989020484">
          <w:marLeft w:val="0"/>
          <w:marRight w:val="0"/>
          <w:marTop w:val="0"/>
          <w:marBottom w:val="0"/>
          <w:divBdr>
            <w:top w:val="none" w:sz="0" w:space="0" w:color="auto"/>
            <w:left w:val="none" w:sz="0" w:space="0" w:color="auto"/>
            <w:bottom w:val="none" w:sz="0" w:space="0" w:color="auto"/>
            <w:right w:val="none" w:sz="0" w:space="0" w:color="auto"/>
          </w:divBdr>
        </w:div>
        <w:div w:id="1011565764">
          <w:marLeft w:val="0"/>
          <w:marRight w:val="0"/>
          <w:marTop w:val="0"/>
          <w:marBottom w:val="0"/>
          <w:divBdr>
            <w:top w:val="none" w:sz="0" w:space="0" w:color="auto"/>
            <w:left w:val="none" w:sz="0" w:space="0" w:color="auto"/>
            <w:bottom w:val="none" w:sz="0" w:space="0" w:color="auto"/>
            <w:right w:val="none" w:sz="0" w:space="0" w:color="auto"/>
          </w:divBdr>
        </w:div>
        <w:div w:id="1021860043">
          <w:marLeft w:val="0"/>
          <w:marRight w:val="0"/>
          <w:marTop w:val="0"/>
          <w:marBottom w:val="0"/>
          <w:divBdr>
            <w:top w:val="none" w:sz="0" w:space="0" w:color="auto"/>
            <w:left w:val="none" w:sz="0" w:space="0" w:color="auto"/>
            <w:bottom w:val="none" w:sz="0" w:space="0" w:color="auto"/>
            <w:right w:val="none" w:sz="0" w:space="0" w:color="auto"/>
          </w:divBdr>
        </w:div>
        <w:div w:id="1035885731">
          <w:marLeft w:val="0"/>
          <w:marRight w:val="0"/>
          <w:marTop w:val="0"/>
          <w:marBottom w:val="0"/>
          <w:divBdr>
            <w:top w:val="none" w:sz="0" w:space="0" w:color="auto"/>
            <w:left w:val="none" w:sz="0" w:space="0" w:color="auto"/>
            <w:bottom w:val="none" w:sz="0" w:space="0" w:color="auto"/>
            <w:right w:val="none" w:sz="0" w:space="0" w:color="auto"/>
          </w:divBdr>
        </w:div>
        <w:div w:id="1045063636">
          <w:marLeft w:val="0"/>
          <w:marRight w:val="0"/>
          <w:marTop w:val="0"/>
          <w:marBottom w:val="0"/>
          <w:divBdr>
            <w:top w:val="none" w:sz="0" w:space="0" w:color="auto"/>
            <w:left w:val="none" w:sz="0" w:space="0" w:color="auto"/>
            <w:bottom w:val="none" w:sz="0" w:space="0" w:color="auto"/>
            <w:right w:val="none" w:sz="0" w:space="0" w:color="auto"/>
          </w:divBdr>
        </w:div>
        <w:div w:id="1046954585">
          <w:marLeft w:val="0"/>
          <w:marRight w:val="0"/>
          <w:marTop w:val="0"/>
          <w:marBottom w:val="0"/>
          <w:divBdr>
            <w:top w:val="none" w:sz="0" w:space="0" w:color="auto"/>
            <w:left w:val="none" w:sz="0" w:space="0" w:color="auto"/>
            <w:bottom w:val="none" w:sz="0" w:space="0" w:color="auto"/>
            <w:right w:val="none" w:sz="0" w:space="0" w:color="auto"/>
          </w:divBdr>
        </w:div>
        <w:div w:id="1062290583">
          <w:marLeft w:val="0"/>
          <w:marRight w:val="0"/>
          <w:marTop w:val="0"/>
          <w:marBottom w:val="0"/>
          <w:divBdr>
            <w:top w:val="none" w:sz="0" w:space="0" w:color="auto"/>
            <w:left w:val="none" w:sz="0" w:space="0" w:color="auto"/>
            <w:bottom w:val="none" w:sz="0" w:space="0" w:color="auto"/>
            <w:right w:val="none" w:sz="0" w:space="0" w:color="auto"/>
          </w:divBdr>
        </w:div>
        <w:div w:id="1064833521">
          <w:marLeft w:val="0"/>
          <w:marRight w:val="0"/>
          <w:marTop w:val="0"/>
          <w:marBottom w:val="0"/>
          <w:divBdr>
            <w:top w:val="none" w:sz="0" w:space="0" w:color="auto"/>
            <w:left w:val="none" w:sz="0" w:space="0" w:color="auto"/>
            <w:bottom w:val="none" w:sz="0" w:space="0" w:color="auto"/>
            <w:right w:val="none" w:sz="0" w:space="0" w:color="auto"/>
          </w:divBdr>
        </w:div>
        <w:div w:id="1087387308">
          <w:marLeft w:val="0"/>
          <w:marRight w:val="0"/>
          <w:marTop w:val="0"/>
          <w:marBottom w:val="0"/>
          <w:divBdr>
            <w:top w:val="none" w:sz="0" w:space="0" w:color="auto"/>
            <w:left w:val="none" w:sz="0" w:space="0" w:color="auto"/>
            <w:bottom w:val="none" w:sz="0" w:space="0" w:color="auto"/>
            <w:right w:val="none" w:sz="0" w:space="0" w:color="auto"/>
          </w:divBdr>
        </w:div>
        <w:div w:id="1088884847">
          <w:marLeft w:val="0"/>
          <w:marRight w:val="0"/>
          <w:marTop w:val="0"/>
          <w:marBottom w:val="0"/>
          <w:divBdr>
            <w:top w:val="none" w:sz="0" w:space="0" w:color="auto"/>
            <w:left w:val="none" w:sz="0" w:space="0" w:color="auto"/>
            <w:bottom w:val="none" w:sz="0" w:space="0" w:color="auto"/>
            <w:right w:val="none" w:sz="0" w:space="0" w:color="auto"/>
          </w:divBdr>
        </w:div>
        <w:div w:id="1098213351">
          <w:marLeft w:val="0"/>
          <w:marRight w:val="0"/>
          <w:marTop w:val="0"/>
          <w:marBottom w:val="0"/>
          <w:divBdr>
            <w:top w:val="none" w:sz="0" w:space="0" w:color="auto"/>
            <w:left w:val="none" w:sz="0" w:space="0" w:color="auto"/>
            <w:bottom w:val="none" w:sz="0" w:space="0" w:color="auto"/>
            <w:right w:val="none" w:sz="0" w:space="0" w:color="auto"/>
          </w:divBdr>
        </w:div>
        <w:div w:id="1136215932">
          <w:marLeft w:val="0"/>
          <w:marRight w:val="0"/>
          <w:marTop w:val="0"/>
          <w:marBottom w:val="0"/>
          <w:divBdr>
            <w:top w:val="none" w:sz="0" w:space="0" w:color="auto"/>
            <w:left w:val="none" w:sz="0" w:space="0" w:color="auto"/>
            <w:bottom w:val="none" w:sz="0" w:space="0" w:color="auto"/>
            <w:right w:val="none" w:sz="0" w:space="0" w:color="auto"/>
          </w:divBdr>
        </w:div>
        <w:div w:id="1140346632">
          <w:marLeft w:val="0"/>
          <w:marRight w:val="0"/>
          <w:marTop w:val="0"/>
          <w:marBottom w:val="0"/>
          <w:divBdr>
            <w:top w:val="none" w:sz="0" w:space="0" w:color="auto"/>
            <w:left w:val="none" w:sz="0" w:space="0" w:color="auto"/>
            <w:bottom w:val="none" w:sz="0" w:space="0" w:color="auto"/>
            <w:right w:val="none" w:sz="0" w:space="0" w:color="auto"/>
          </w:divBdr>
        </w:div>
        <w:div w:id="1157501022">
          <w:marLeft w:val="0"/>
          <w:marRight w:val="0"/>
          <w:marTop w:val="0"/>
          <w:marBottom w:val="0"/>
          <w:divBdr>
            <w:top w:val="none" w:sz="0" w:space="0" w:color="auto"/>
            <w:left w:val="none" w:sz="0" w:space="0" w:color="auto"/>
            <w:bottom w:val="none" w:sz="0" w:space="0" w:color="auto"/>
            <w:right w:val="none" w:sz="0" w:space="0" w:color="auto"/>
          </w:divBdr>
        </w:div>
        <w:div w:id="1165559282">
          <w:marLeft w:val="0"/>
          <w:marRight w:val="0"/>
          <w:marTop w:val="0"/>
          <w:marBottom w:val="0"/>
          <w:divBdr>
            <w:top w:val="none" w:sz="0" w:space="0" w:color="auto"/>
            <w:left w:val="none" w:sz="0" w:space="0" w:color="auto"/>
            <w:bottom w:val="none" w:sz="0" w:space="0" w:color="auto"/>
            <w:right w:val="none" w:sz="0" w:space="0" w:color="auto"/>
          </w:divBdr>
        </w:div>
        <w:div w:id="1168669966">
          <w:marLeft w:val="0"/>
          <w:marRight w:val="0"/>
          <w:marTop w:val="0"/>
          <w:marBottom w:val="0"/>
          <w:divBdr>
            <w:top w:val="none" w:sz="0" w:space="0" w:color="auto"/>
            <w:left w:val="none" w:sz="0" w:space="0" w:color="auto"/>
            <w:bottom w:val="none" w:sz="0" w:space="0" w:color="auto"/>
            <w:right w:val="none" w:sz="0" w:space="0" w:color="auto"/>
          </w:divBdr>
        </w:div>
        <w:div w:id="1173454809">
          <w:marLeft w:val="0"/>
          <w:marRight w:val="0"/>
          <w:marTop w:val="0"/>
          <w:marBottom w:val="0"/>
          <w:divBdr>
            <w:top w:val="none" w:sz="0" w:space="0" w:color="auto"/>
            <w:left w:val="none" w:sz="0" w:space="0" w:color="auto"/>
            <w:bottom w:val="none" w:sz="0" w:space="0" w:color="auto"/>
            <w:right w:val="none" w:sz="0" w:space="0" w:color="auto"/>
          </w:divBdr>
        </w:div>
        <w:div w:id="1175150914">
          <w:marLeft w:val="0"/>
          <w:marRight w:val="0"/>
          <w:marTop w:val="0"/>
          <w:marBottom w:val="0"/>
          <w:divBdr>
            <w:top w:val="none" w:sz="0" w:space="0" w:color="auto"/>
            <w:left w:val="none" w:sz="0" w:space="0" w:color="auto"/>
            <w:bottom w:val="none" w:sz="0" w:space="0" w:color="auto"/>
            <w:right w:val="none" w:sz="0" w:space="0" w:color="auto"/>
          </w:divBdr>
        </w:div>
        <w:div w:id="1179389143">
          <w:marLeft w:val="0"/>
          <w:marRight w:val="0"/>
          <w:marTop w:val="0"/>
          <w:marBottom w:val="0"/>
          <w:divBdr>
            <w:top w:val="none" w:sz="0" w:space="0" w:color="auto"/>
            <w:left w:val="none" w:sz="0" w:space="0" w:color="auto"/>
            <w:bottom w:val="none" w:sz="0" w:space="0" w:color="auto"/>
            <w:right w:val="none" w:sz="0" w:space="0" w:color="auto"/>
          </w:divBdr>
        </w:div>
        <w:div w:id="1182206353">
          <w:marLeft w:val="0"/>
          <w:marRight w:val="0"/>
          <w:marTop w:val="0"/>
          <w:marBottom w:val="0"/>
          <w:divBdr>
            <w:top w:val="none" w:sz="0" w:space="0" w:color="auto"/>
            <w:left w:val="none" w:sz="0" w:space="0" w:color="auto"/>
            <w:bottom w:val="none" w:sz="0" w:space="0" w:color="auto"/>
            <w:right w:val="none" w:sz="0" w:space="0" w:color="auto"/>
          </w:divBdr>
        </w:div>
        <w:div w:id="1193567041">
          <w:marLeft w:val="0"/>
          <w:marRight w:val="0"/>
          <w:marTop w:val="0"/>
          <w:marBottom w:val="0"/>
          <w:divBdr>
            <w:top w:val="none" w:sz="0" w:space="0" w:color="auto"/>
            <w:left w:val="none" w:sz="0" w:space="0" w:color="auto"/>
            <w:bottom w:val="none" w:sz="0" w:space="0" w:color="auto"/>
            <w:right w:val="none" w:sz="0" w:space="0" w:color="auto"/>
          </w:divBdr>
        </w:div>
        <w:div w:id="1203403735">
          <w:marLeft w:val="0"/>
          <w:marRight w:val="0"/>
          <w:marTop w:val="0"/>
          <w:marBottom w:val="0"/>
          <w:divBdr>
            <w:top w:val="none" w:sz="0" w:space="0" w:color="auto"/>
            <w:left w:val="none" w:sz="0" w:space="0" w:color="auto"/>
            <w:bottom w:val="none" w:sz="0" w:space="0" w:color="auto"/>
            <w:right w:val="none" w:sz="0" w:space="0" w:color="auto"/>
          </w:divBdr>
        </w:div>
        <w:div w:id="1215577926">
          <w:marLeft w:val="0"/>
          <w:marRight w:val="0"/>
          <w:marTop w:val="0"/>
          <w:marBottom w:val="0"/>
          <w:divBdr>
            <w:top w:val="none" w:sz="0" w:space="0" w:color="auto"/>
            <w:left w:val="none" w:sz="0" w:space="0" w:color="auto"/>
            <w:bottom w:val="none" w:sz="0" w:space="0" w:color="auto"/>
            <w:right w:val="none" w:sz="0" w:space="0" w:color="auto"/>
          </w:divBdr>
        </w:div>
        <w:div w:id="1217087156">
          <w:marLeft w:val="0"/>
          <w:marRight w:val="0"/>
          <w:marTop w:val="0"/>
          <w:marBottom w:val="0"/>
          <w:divBdr>
            <w:top w:val="none" w:sz="0" w:space="0" w:color="auto"/>
            <w:left w:val="none" w:sz="0" w:space="0" w:color="auto"/>
            <w:bottom w:val="none" w:sz="0" w:space="0" w:color="auto"/>
            <w:right w:val="none" w:sz="0" w:space="0" w:color="auto"/>
          </w:divBdr>
        </w:div>
        <w:div w:id="1218397989">
          <w:marLeft w:val="0"/>
          <w:marRight w:val="0"/>
          <w:marTop w:val="0"/>
          <w:marBottom w:val="0"/>
          <w:divBdr>
            <w:top w:val="none" w:sz="0" w:space="0" w:color="auto"/>
            <w:left w:val="none" w:sz="0" w:space="0" w:color="auto"/>
            <w:bottom w:val="none" w:sz="0" w:space="0" w:color="auto"/>
            <w:right w:val="none" w:sz="0" w:space="0" w:color="auto"/>
          </w:divBdr>
        </w:div>
        <w:div w:id="1231036655">
          <w:marLeft w:val="0"/>
          <w:marRight w:val="0"/>
          <w:marTop w:val="0"/>
          <w:marBottom w:val="0"/>
          <w:divBdr>
            <w:top w:val="none" w:sz="0" w:space="0" w:color="auto"/>
            <w:left w:val="none" w:sz="0" w:space="0" w:color="auto"/>
            <w:bottom w:val="none" w:sz="0" w:space="0" w:color="auto"/>
            <w:right w:val="none" w:sz="0" w:space="0" w:color="auto"/>
          </w:divBdr>
        </w:div>
        <w:div w:id="1246646145">
          <w:marLeft w:val="0"/>
          <w:marRight w:val="0"/>
          <w:marTop w:val="0"/>
          <w:marBottom w:val="0"/>
          <w:divBdr>
            <w:top w:val="none" w:sz="0" w:space="0" w:color="auto"/>
            <w:left w:val="none" w:sz="0" w:space="0" w:color="auto"/>
            <w:bottom w:val="none" w:sz="0" w:space="0" w:color="auto"/>
            <w:right w:val="none" w:sz="0" w:space="0" w:color="auto"/>
          </w:divBdr>
        </w:div>
        <w:div w:id="1250580213">
          <w:marLeft w:val="0"/>
          <w:marRight w:val="0"/>
          <w:marTop w:val="0"/>
          <w:marBottom w:val="0"/>
          <w:divBdr>
            <w:top w:val="none" w:sz="0" w:space="0" w:color="auto"/>
            <w:left w:val="none" w:sz="0" w:space="0" w:color="auto"/>
            <w:bottom w:val="none" w:sz="0" w:space="0" w:color="auto"/>
            <w:right w:val="none" w:sz="0" w:space="0" w:color="auto"/>
          </w:divBdr>
        </w:div>
        <w:div w:id="1254625520">
          <w:marLeft w:val="0"/>
          <w:marRight w:val="0"/>
          <w:marTop w:val="0"/>
          <w:marBottom w:val="0"/>
          <w:divBdr>
            <w:top w:val="none" w:sz="0" w:space="0" w:color="auto"/>
            <w:left w:val="none" w:sz="0" w:space="0" w:color="auto"/>
            <w:bottom w:val="none" w:sz="0" w:space="0" w:color="auto"/>
            <w:right w:val="none" w:sz="0" w:space="0" w:color="auto"/>
          </w:divBdr>
        </w:div>
        <w:div w:id="1262253003">
          <w:marLeft w:val="0"/>
          <w:marRight w:val="0"/>
          <w:marTop w:val="0"/>
          <w:marBottom w:val="0"/>
          <w:divBdr>
            <w:top w:val="none" w:sz="0" w:space="0" w:color="auto"/>
            <w:left w:val="none" w:sz="0" w:space="0" w:color="auto"/>
            <w:bottom w:val="none" w:sz="0" w:space="0" w:color="auto"/>
            <w:right w:val="none" w:sz="0" w:space="0" w:color="auto"/>
          </w:divBdr>
        </w:div>
        <w:div w:id="1272007734">
          <w:marLeft w:val="0"/>
          <w:marRight w:val="0"/>
          <w:marTop w:val="0"/>
          <w:marBottom w:val="0"/>
          <w:divBdr>
            <w:top w:val="none" w:sz="0" w:space="0" w:color="auto"/>
            <w:left w:val="none" w:sz="0" w:space="0" w:color="auto"/>
            <w:bottom w:val="none" w:sz="0" w:space="0" w:color="auto"/>
            <w:right w:val="none" w:sz="0" w:space="0" w:color="auto"/>
          </w:divBdr>
        </w:div>
        <w:div w:id="1273052430">
          <w:marLeft w:val="0"/>
          <w:marRight w:val="0"/>
          <w:marTop w:val="0"/>
          <w:marBottom w:val="0"/>
          <w:divBdr>
            <w:top w:val="none" w:sz="0" w:space="0" w:color="auto"/>
            <w:left w:val="none" w:sz="0" w:space="0" w:color="auto"/>
            <w:bottom w:val="none" w:sz="0" w:space="0" w:color="auto"/>
            <w:right w:val="none" w:sz="0" w:space="0" w:color="auto"/>
          </w:divBdr>
        </w:div>
        <w:div w:id="1277517505">
          <w:marLeft w:val="0"/>
          <w:marRight w:val="0"/>
          <w:marTop w:val="0"/>
          <w:marBottom w:val="0"/>
          <w:divBdr>
            <w:top w:val="none" w:sz="0" w:space="0" w:color="auto"/>
            <w:left w:val="none" w:sz="0" w:space="0" w:color="auto"/>
            <w:bottom w:val="none" w:sz="0" w:space="0" w:color="auto"/>
            <w:right w:val="none" w:sz="0" w:space="0" w:color="auto"/>
          </w:divBdr>
        </w:div>
        <w:div w:id="1293899947">
          <w:marLeft w:val="0"/>
          <w:marRight w:val="0"/>
          <w:marTop w:val="0"/>
          <w:marBottom w:val="0"/>
          <w:divBdr>
            <w:top w:val="none" w:sz="0" w:space="0" w:color="auto"/>
            <w:left w:val="none" w:sz="0" w:space="0" w:color="auto"/>
            <w:bottom w:val="none" w:sz="0" w:space="0" w:color="auto"/>
            <w:right w:val="none" w:sz="0" w:space="0" w:color="auto"/>
          </w:divBdr>
        </w:div>
        <w:div w:id="1294021114">
          <w:marLeft w:val="0"/>
          <w:marRight w:val="0"/>
          <w:marTop w:val="0"/>
          <w:marBottom w:val="0"/>
          <w:divBdr>
            <w:top w:val="none" w:sz="0" w:space="0" w:color="auto"/>
            <w:left w:val="none" w:sz="0" w:space="0" w:color="auto"/>
            <w:bottom w:val="none" w:sz="0" w:space="0" w:color="auto"/>
            <w:right w:val="none" w:sz="0" w:space="0" w:color="auto"/>
          </w:divBdr>
        </w:div>
        <w:div w:id="1308171578">
          <w:marLeft w:val="0"/>
          <w:marRight w:val="0"/>
          <w:marTop w:val="0"/>
          <w:marBottom w:val="0"/>
          <w:divBdr>
            <w:top w:val="none" w:sz="0" w:space="0" w:color="auto"/>
            <w:left w:val="none" w:sz="0" w:space="0" w:color="auto"/>
            <w:bottom w:val="none" w:sz="0" w:space="0" w:color="auto"/>
            <w:right w:val="none" w:sz="0" w:space="0" w:color="auto"/>
          </w:divBdr>
        </w:div>
        <w:div w:id="1322352303">
          <w:marLeft w:val="0"/>
          <w:marRight w:val="0"/>
          <w:marTop w:val="0"/>
          <w:marBottom w:val="0"/>
          <w:divBdr>
            <w:top w:val="none" w:sz="0" w:space="0" w:color="auto"/>
            <w:left w:val="none" w:sz="0" w:space="0" w:color="auto"/>
            <w:bottom w:val="none" w:sz="0" w:space="0" w:color="auto"/>
            <w:right w:val="none" w:sz="0" w:space="0" w:color="auto"/>
          </w:divBdr>
        </w:div>
        <w:div w:id="1338775706">
          <w:marLeft w:val="0"/>
          <w:marRight w:val="0"/>
          <w:marTop w:val="0"/>
          <w:marBottom w:val="0"/>
          <w:divBdr>
            <w:top w:val="none" w:sz="0" w:space="0" w:color="auto"/>
            <w:left w:val="none" w:sz="0" w:space="0" w:color="auto"/>
            <w:bottom w:val="none" w:sz="0" w:space="0" w:color="auto"/>
            <w:right w:val="none" w:sz="0" w:space="0" w:color="auto"/>
          </w:divBdr>
        </w:div>
        <w:div w:id="1343976293">
          <w:marLeft w:val="0"/>
          <w:marRight w:val="0"/>
          <w:marTop w:val="0"/>
          <w:marBottom w:val="0"/>
          <w:divBdr>
            <w:top w:val="none" w:sz="0" w:space="0" w:color="auto"/>
            <w:left w:val="none" w:sz="0" w:space="0" w:color="auto"/>
            <w:bottom w:val="none" w:sz="0" w:space="0" w:color="auto"/>
            <w:right w:val="none" w:sz="0" w:space="0" w:color="auto"/>
          </w:divBdr>
        </w:div>
        <w:div w:id="1350330471">
          <w:marLeft w:val="0"/>
          <w:marRight w:val="0"/>
          <w:marTop w:val="0"/>
          <w:marBottom w:val="0"/>
          <w:divBdr>
            <w:top w:val="none" w:sz="0" w:space="0" w:color="auto"/>
            <w:left w:val="none" w:sz="0" w:space="0" w:color="auto"/>
            <w:bottom w:val="none" w:sz="0" w:space="0" w:color="auto"/>
            <w:right w:val="none" w:sz="0" w:space="0" w:color="auto"/>
          </w:divBdr>
        </w:div>
        <w:div w:id="1353414141">
          <w:marLeft w:val="0"/>
          <w:marRight w:val="0"/>
          <w:marTop w:val="0"/>
          <w:marBottom w:val="0"/>
          <w:divBdr>
            <w:top w:val="none" w:sz="0" w:space="0" w:color="auto"/>
            <w:left w:val="none" w:sz="0" w:space="0" w:color="auto"/>
            <w:bottom w:val="none" w:sz="0" w:space="0" w:color="auto"/>
            <w:right w:val="none" w:sz="0" w:space="0" w:color="auto"/>
          </w:divBdr>
        </w:div>
        <w:div w:id="1355615587">
          <w:marLeft w:val="0"/>
          <w:marRight w:val="0"/>
          <w:marTop w:val="0"/>
          <w:marBottom w:val="0"/>
          <w:divBdr>
            <w:top w:val="none" w:sz="0" w:space="0" w:color="auto"/>
            <w:left w:val="none" w:sz="0" w:space="0" w:color="auto"/>
            <w:bottom w:val="none" w:sz="0" w:space="0" w:color="auto"/>
            <w:right w:val="none" w:sz="0" w:space="0" w:color="auto"/>
          </w:divBdr>
        </w:div>
        <w:div w:id="1364359147">
          <w:marLeft w:val="0"/>
          <w:marRight w:val="0"/>
          <w:marTop w:val="0"/>
          <w:marBottom w:val="0"/>
          <w:divBdr>
            <w:top w:val="none" w:sz="0" w:space="0" w:color="auto"/>
            <w:left w:val="none" w:sz="0" w:space="0" w:color="auto"/>
            <w:bottom w:val="none" w:sz="0" w:space="0" w:color="auto"/>
            <w:right w:val="none" w:sz="0" w:space="0" w:color="auto"/>
          </w:divBdr>
        </w:div>
        <w:div w:id="1386493092">
          <w:marLeft w:val="0"/>
          <w:marRight w:val="0"/>
          <w:marTop w:val="0"/>
          <w:marBottom w:val="0"/>
          <w:divBdr>
            <w:top w:val="none" w:sz="0" w:space="0" w:color="auto"/>
            <w:left w:val="none" w:sz="0" w:space="0" w:color="auto"/>
            <w:bottom w:val="none" w:sz="0" w:space="0" w:color="auto"/>
            <w:right w:val="none" w:sz="0" w:space="0" w:color="auto"/>
          </w:divBdr>
        </w:div>
        <w:div w:id="1390421702">
          <w:marLeft w:val="0"/>
          <w:marRight w:val="0"/>
          <w:marTop w:val="0"/>
          <w:marBottom w:val="0"/>
          <w:divBdr>
            <w:top w:val="none" w:sz="0" w:space="0" w:color="auto"/>
            <w:left w:val="none" w:sz="0" w:space="0" w:color="auto"/>
            <w:bottom w:val="none" w:sz="0" w:space="0" w:color="auto"/>
            <w:right w:val="none" w:sz="0" w:space="0" w:color="auto"/>
          </w:divBdr>
        </w:div>
        <w:div w:id="1391348429">
          <w:marLeft w:val="0"/>
          <w:marRight w:val="0"/>
          <w:marTop w:val="0"/>
          <w:marBottom w:val="0"/>
          <w:divBdr>
            <w:top w:val="none" w:sz="0" w:space="0" w:color="auto"/>
            <w:left w:val="none" w:sz="0" w:space="0" w:color="auto"/>
            <w:bottom w:val="none" w:sz="0" w:space="0" w:color="auto"/>
            <w:right w:val="none" w:sz="0" w:space="0" w:color="auto"/>
          </w:divBdr>
        </w:div>
        <w:div w:id="1398700332">
          <w:marLeft w:val="0"/>
          <w:marRight w:val="0"/>
          <w:marTop w:val="0"/>
          <w:marBottom w:val="0"/>
          <w:divBdr>
            <w:top w:val="none" w:sz="0" w:space="0" w:color="auto"/>
            <w:left w:val="none" w:sz="0" w:space="0" w:color="auto"/>
            <w:bottom w:val="none" w:sz="0" w:space="0" w:color="auto"/>
            <w:right w:val="none" w:sz="0" w:space="0" w:color="auto"/>
          </w:divBdr>
        </w:div>
        <w:div w:id="1402099932">
          <w:marLeft w:val="0"/>
          <w:marRight w:val="0"/>
          <w:marTop w:val="0"/>
          <w:marBottom w:val="0"/>
          <w:divBdr>
            <w:top w:val="none" w:sz="0" w:space="0" w:color="auto"/>
            <w:left w:val="none" w:sz="0" w:space="0" w:color="auto"/>
            <w:bottom w:val="none" w:sz="0" w:space="0" w:color="auto"/>
            <w:right w:val="none" w:sz="0" w:space="0" w:color="auto"/>
          </w:divBdr>
        </w:div>
        <w:div w:id="1412047368">
          <w:marLeft w:val="0"/>
          <w:marRight w:val="0"/>
          <w:marTop w:val="0"/>
          <w:marBottom w:val="0"/>
          <w:divBdr>
            <w:top w:val="none" w:sz="0" w:space="0" w:color="auto"/>
            <w:left w:val="none" w:sz="0" w:space="0" w:color="auto"/>
            <w:bottom w:val="none" w:sz="0" w:space="0" w:color="auto"/>
            <w:right w:val="none" w:sz="0" w:space="0" w:color="auto"/>
          </w:divBdr>
        </w:div>
        <w:div w:id="1434741292">
          <w:marLeft w:val="0"/>
          <w:marRight w:val="0"/>
          <w:marTop w:val="0"/>
          <w:marBottom w:val="0"/>
          <w:divBdr>
            <w:top w:val="none" w:sz="0" w:space="0" w:color="auto"/>
            <w:left w:val="none" w:sz="0" w:space="0" w:color="auto"/>
            <w:bottom w:val="none" w:sz="0" w:space="0" w:color="auto"/>
            <w:right w:val="none" w:sz="0" w:space="0" w:color="auto"/>
          </w:divBdr>
        </w:div>
        <w:div w:id="1435248359">
          <w:marLeft w:val="0"/>
          <w:marRight w:val="0"/>
          <w:marTop w:val="0"/>
          <w:marBottom w:val="0"/>
          <w:divBdr>
            <w:top w:val="none" w:sz="0" w:space="0" w:color="auto"/>
            <w:left w:val="none" w:sz="0" w:space="0" w:color="auto"/>
            <w:bottom w:val="none" w:sz="0" w:space="0" w:color="auto"/>
            <w:right w:val="none" w:sz="0" w:space="0" w:color="auto"/>
          </w:divBdr>
        </w:div>
        <w:div w:id="1435397906">
          <w:marLeft w:val="0"/>
          <w:marRight w:val="0"/>
          <w:marTop w:val="0"/>
          <w:marBottom w:val="0"/>
          <w:divBdr>
            <w:top w:val="none" w:sz="0" w:space="0" w:color="auto"/>
            <w:left w:val="none" w:sz="0" w:space="0" w:color="auto"/>
            <w:bottom w:val="none" w:sz="0" w:space="0" w:color="auto"/>
            <w:right w:val="none" w:sz="0" w:space="0" w:color="auto"/>
          </w:divBdr>
        </w:div>
        <w:div w:id="1439566042">
          <w:marLeft w:val="0"/>
          <w:marRight w:val="0"/>
          <w:marTop w:val="0"/>
          <w:marBottom w:val="0"/>
          <w:divBdr>
            <w:top w:val="none" w:sz="0" w:space="0" w:color="auto"/>
            <w:left w:val="none" w:sz="0" w:space="0" w:color="auto"/>
            <w:bottom w:val="none" w:sz="0" w:space="0" w:color="auto"/>
            <w:right w:val="none" w:sz="0" w:space="0" w:color="auto"/>
          </w:divBdr>
        </w:div>
        <w:div w:id="1441026181">
          <w:marLeft w:val="0"/>
          <w:marRight w:val="0"/>
          <w:marTop w:val="0"/>
          <w:marBottom w:val="0"/>
          <w:divBdr>
            <w:top w:val="none" w:sz="0" w:space="0" w:color="auto"/>
            <w:left w:val="none" w:sz="0" w:space="0" w:color="auto"/>
            <w:bottom w:val="none" w:sz="0" w:space="0" w:color="auto"/>
            <w:right w:val="none" w:sz="0" w:space="0" w:color="auto"/>
          </w:divBdr>
        </w:div>
        <w:div w:id="1445229380">
          <w:marLeft w:val="0"/>
          <w:marRight w:val="0"/>
          <w:marTop w:val="0"/>
          <w:marBottom w:val="0"/>
          <w:divBdr>
            <w:top w:val="none" w:sz="0" w:space="0" w:color="auto"/>
            <w:left w:val="none" w:sz="0" w:space="0" w:color="auto"/>
            <w:bottom w:val="none" w:sz="0" w:space="0" w:color="auto"/>
            <w:right w:val="none" w:sz="0" w:space="0" w:color="auto"/>
          </w:divBdr>
        </w:div>
        <w:div w:id="1448768725">
          <w:marLeft w:val="0"/>
          <w:marRight w:val="0"/>
          <w:marTop w:val="0"/>
          <w:marBottom w:val="0"/>
          <w:divBdr>
            <w:top w:val="none" w:sz="0" w:space="0" w:color="auto"/>
            <w:left w:val="none" w:sz="0" w:space="0" w:color="auto"/>
            <w:bottom w:val="none" w:sz="0" w:space="0" w:color="auto"/>
            <w:right w:val="none" w:sz="0" w:space="0" w:color="auto"/>
          </w:divBdr>
        </w:div>
        <w:div w:id="1479877947">
          <w:marLeft w:val="0"/>
          <w:marRight w:val="0"/>
          <w:marTop w:val="0"/>
          <w:marBottom w:val="0"/>
          <w:divBdr>
            <w:top w:val="none" w:sz="0" w:space="0" w:color="auto"/>
            <w:left w:val="none" w:sz="0" w:space="0" w:color="auto"/>
            <w:bottom w:val="none" w:sz="0" w:space="0" w:color="auto"/>
            <w:right w:val="none" w:sz="0" w:space="0" w:color="auto"/>
          </w:divBdr>
        </w:div>
        <w:div w:id="1480925064">
          <w:marLeft w:val="0"/>
          <w:marRight w:val="0"/>
          <w:marTop w:val="0"/>
          <w:marBottom w:val="0"/>
          <w:divBdr>
            <w:top w:val="none" w:sz="0" w:space="0" w:color="auto"/>
            <w:left w:val="none" w:sz="0" w:space="0" w:color="auto"/>
            <w:bottom w:val="none" w:sz="0" w:space="0" w:color="auto"/>
            <w:right w:val="none" w:sz="0" w:space="0" w:color="auto"/>
          </w:divBdr>
        </w:div>
        <w:div w:id="1483345990">
          <w:marLeft w:val="0"/>
          <w:marRight w:val="0"/>
          <w:marTop w:val="0"/>
          <w:marBottom w:val="0"/>
          <w:divBdr>
            <w:top w:val="none" w:sz="0" w:space="0" w:color="auto"/>
            <w:left w:val="none" w:sz="0" w:space="0" w:color="auto"/>
            <w:bottom w:val="none" w:sz="0" w:space="0" w:color="auto"/>
            <w:right w:val="none" w:sz="0" w:space="0" w:color="auto"/>
          </w:divBdr>
        </w:div>
        <w:div w:id="1491405492">
          <w:marLeft w:val="0"/>
          <w:marRight w:val="0"/>
          <w:marTop w:val="0"/>
          <w:marBottom w:val="0"/>
          <w:divBdr>
            <w:top w:val="none" w:sz="0" w:space="0" w:color="auto"/>
            <w:left w:val="none" w:sz="0" w:space="0" w:color="auto"/>
            <w:bottom w:val="none" w:sz="0" w:space="0" w:color="auto"/>
            <w:right w:val="none" w:sz="0" w:space="0" w:color="auto"/>
          </w:divBdr>
        </w:div>
        <w:div w:id="1505243598">
          <w:marLeft w:val="0"/>
          <w:marRight w:val="0"/>
          <w:marTop w:val="0"/>
          <w:marBottom w:val="0"/>
          <w:divBdr>
            <w:top w:val="none" w:sz="0" w:space="0" w:color="auto"/>
            <w:left w:val="none" w:sz="0" w:space="0" w:color="auto"/>
            <w:bottom w:val="none" w:sz="0" w:space="0" w:color="auto"/>
            <w:right w:val="none" w:sz="0" w:space="0" w:color="auto"/>
          </w:divBdr>
        </w:div>
        <w:div w:id="1514295021">
          <w:marLeft w:val="0"/>
          <w:marRight w:val="0"/>
          <w:marTop w:val="0"/>
          <w:marBottom w:val="0"/>
          <w:divBdr>
            <w:top w:val="none" w:sz="0" w:space="0" w:color="auto"/>
            <w:left w:val="none" w:sz="0" w:space="0" w:color="auto"/>
            <w:bottom w:val="none" w:sz="0" w:space="0" w:color="auto"/>
            <w:right w:val="none" w:sz="0" w:space="0" w:color="auto"/>
          </w:divBdr>
        </w:div>
        <w:div w:id="1523931794">
          <w:marLeft w:val="0"/>
          <w:marRight w:val="0"/>
          <w:marTop w:val="0"/>
          <w:marBottom w:val="0"/>
          <w:divBdr>
            <w:top w:val="none" w:sz="0" w:space="0" w:color="auto"/>
            <w:left w:val="none" w:sz="0" w:space="0" w:color="auto"/>
            <w:bottom w:val="none" w:sz="0" w:space="0" w:color="auto"/>
            <w:right w:val="none" w:sz="0" w:space="0" w:color="auto"/>
          </w:divBdr>
        </w:div>
        <w:div w:id="1547133408">
          <w:marLeft w:val="0"/>
          <w:marRight w:val="0"/>
          <w:marTop w:val="0"/>
          <w:marBottom w:val="0"/>
          <w:divBdr>
            <w:top w:val="none" w:sz="0" w:space="0" w:color="auto"/>
            <w:left w:val="none" w:sz="0" w:space="0" w:color="auto"/>
            <w:bottom w:val="none" w:sz="0" w:space="0" w:color="auto"/>
            <w:right w:val="none" w:sz="0" w:space="0" w:color="auto"/>
          </w:divBdr>
        </w:div>
        <w:div w:id="1559046247">
          <w:marLeft w:val="0"/>
          <w:marRight w:val="0"/>
          <w:marTop w:val="0"/>
          <w:marBottom w:val="0"/>
          <w:divBdr>
            <w:top w:val="none" w:sz="0" w:space="0" w:color="auto"/>
            <w:left w:val="none" w:sz="0" w:space="0" w:color="auto"/>
            <w:bottom w:val="none" w:sz="0" w:space="0" w:color="auto"/>
            <w:right w:val="none" w:sz="0" w:space="0" w:color="auto"/>
          </w:divBdr>
        </w:div>
        <w:div w:id="1564608673">
          <w:marLeft w:val="0"/>
          <w:marRight w:val="0"/>
          <w:marTop w:val="0"/>
          <w:marBottom w:val="0"/>
          <w:divBdr>
            <w:top w:val="none" w:sz="0" w:space="0" w:color="auto"/>
            <w:left w:val="none" w:sz="0" w:space="0" w:color="auto"/>
            <w:bottom w:val="none" w:sz="0" w:space="0" w:color="auto"/>
            <w:right w:val="none" w:sz="0" w:space="0" w:color="auto"/>
          </w:divBdr>
        </w:div>
        <w:div w:id="1577520404">
          <w:marLeft w:val="0"/>
          <w:marRight w:val="0"/>
          <w:marTop w:val="0"/>
          <w:marBottom w:val="0"/>
          <w:divBdr>
            <w:top w:val="none" w:sz="0" w:space="0" w:color="auto"/>
            <w:left w:val="none" w:sz="0" w:space="0" w:color="auto"/>
            <w:bottom w:val="none" w:sz="0" w:space="0" w:color="auto"/>
            <w:right w:val="none" w:sz="0" w:space="0" w:color="auto"/>
          </w:divBdr>
        </w:div>
        <w:div w:id="1578438479">
          <w:marLeft w:val="0"/>
          <w:marRight w:val="0"/>
          <w:marTop w:val="0"/>
          <w:marBottom w:val="0"/>
          <w:divBdr>
            <w:top w:val="none" w:sz="0" w:space="0" w:color="auto"/>
            <w:left w:val="none" w:sz="0" w:space="0" w:color="auto"/>
            <w:bottom w:val="none" w:sz="0" w:space="0" w:color="auto"/>
            <w:right w:val="none" w:sz="0" w:space="0" w:color="auto"/>
          </w:divBdr>
        </w:div>
        <w:div w:id="1580671808">
          <w:marLeft w:val="0"/>
          <w:marRight w:val="0"/>
          <w:marTop w:val="0"/>
          <w:marBottom w:val="0"/>
          <w:divBdr>
            <w:top w:val="none" w:sz="0" w:space="0" w:color="auto"/>
            <w:left w:val="none" w:sz="0" w:space="0" w:color="auto"/>
            <w:bottom w:val="none" w:sz="0" w:space="0" w:color="auto"/>
            <w:right w:val="none" w:sz="0" w:space="0" w:color="auto"/>
          </w:divBdr>
        </w:div>
        <w:div w:id="1604219869">
          <w:marLeft w:val="0"/>
          <w:marRight w:val="0"/>
          <w:marTop w:val="0"/>
          <w:marBottom w:val="0"/>
          <w:divBdr>
            <w:top w:val="none" w:sz="0" w:space="0" w:color="auto"/>
            <w:left w:val="none" w:sz="0" w:space="0" w:color="auto"/>
            <w:bottom w:val="none" w:sz="0" w:space="0" w:color="auto"/>
            <w:right w:val="none" w:sz="0" w:space="0" w:color="auto"/>
          </w:divBdr>
        </w:div>
        <w:div w:id="1609779699">
          <w:marLeft w:val="0"/>
          <w:marRight w:val="0"/>
          <w:marTop w:val="0"/>
          <w:marBottom w:val="0"/>
          <w:divBdr>
            <w:top w:val="none" w:sz="0" w:space="0" w:color="auto"/>
            <w:left w:val="none" w:sz="0" w:space="0" w:color="auto"/>
            <w:bottom w:val="none" w:sz="0" w:space="0" w:color="auto"/>
            <w:right w:val="none" w:sz="0" w:space="0" w:color="auto"/>
          </w:divBdr>
        </w:div>
        <w:div w:id="1612976579">
          <w:marLeft w:val="0"/>
          <w:marRight w:val="0"/>
          <w:marTop w:val="0"/>
          <w:marBottom w:val="0"/>
          <w:divBdr>
            <w:top w:val="none" w:sz="0" w:space="0" w:color="auto"/>
            <w:left w:val="none" w:sz="0" w:space="0" w:color="auto"/>
            <w:bottom w:val="none" w:sz="0" w:space="0" w:color="auto"/>
            <w:right w:val="none" w:sz="0" w:space="0" w:color="auto"/>
          </w:divBdr>
        </w:div>
        <w:div w:id="1629706529">
          <w:marLeft w:val="0"/>
          <w:marRight w:val="0"/>
          <w:marTop w:val="0"/>
          <w:marBottom w:val="0"/>
          <w:divBdr>
            <w:top w:val="none" w:sz="0" w:space="0" w:color="auto"/>
            <w:left w:val="none" w:sz="0" w:space="0" w:color="auto"/>
            <w:bottom w:val="none" w:sz="0" w:space="0" w:color="auto"/>
            <w:right w:val="none" w:sz="0" w:space="0" w:color="auto"/>
          </w:divBdr>
        </w:div>
        <w:div w:id="1634015651">
          <w:marLeft w:val="0"/>
          <w:marRight w:val="0"/>
          <w:marTop w:val="0"/>
          <w:marBottom w:val="0"/>
          <w:divBdr>
            <w:top w:val="none" w:sz="0" w:space="0" w:color="auto"/>
            <w:left w:val="none" w:sz="0" w:space="0" w:color="auto"/>
            <w:bottom w:val="none" w:sz="0" w:space="0" w:color="auto"/>
            <w:right w:val="none" w:sz="0" w:space="0" w:color="auto"/>
          </w:divBdr>
        </w:div>
        <w:div w:id="1645350536">
          <w:marLeft w:val="0"/>
          <w:marRight w:val="0"/>
          <w:marTop w:val="0"/>
          <w:marBottom w:val="0"/>
          <w:divBdr>
            <w:top w:val="none" w:sz="0" w:space="0" w:color="auto"/>
            <w:left w:val="none" w:sz="0" w:space="0" w:color="auto"/>
            <w:bottom w:val="none" w:sz="0" w:space="0" w:color="auto"/>
            <w:right w:val="none" w:sz="0" w:space="0" w:color="auto"/>
          </w:divBdr>
        </w:div>
        <w:div w:id="1654412091">
          <w:marLeft w:val="0"/>
          <w:marRight w:val="0"/>
          <w:marTop w:val="0"/>
          <w:marBottom w:val="0"/>
          <w:divBdr>
            <w:top w:val="none" w:sz="0" w:space="0" w:color="auto"/>
            <w:left w:val="none" w:sz="0" w:space="0" w:color="auto"/>
            <w:bottom w:val="none" w:sz="0" w:space="0" w:color="auto"/>
            <w:right w:val="none" w:sz="0" w:space="0" w:color="auto"/>
          </w:divBdr>
        </w:div>
        <w:div w:id="1655571520">
          <w:marLeft w:val="0"/>
          <w:marRight w:val="0"/>
          <w:marTop w:val="0"/>
          <w:marBottom w:val="0"/>
          <w:divBdr>
            <w:top w:val="none" w:sz="0" w:space="0" w:color="auto"/>
            <w:left w:val="none" w:sz="0" w:space="0" w:color="auto"/>
            <w:bottom w:val="none" w:sz="0" w:space="0" w:color="auto"/>
            <w:right w:val="none" w:sz="0" w:space="0" w:color="auto"/>
          </w:divBdr>
        </w:div>
        <w:div w:id="1668287016">
          <w:marLeft w:val="0"/>
          <w:marRight w:val="0"/>
          <w:marTop w:val="0"/>
          <w:marBottom w:val="0"/>
          <w:divBdr>
            <w:top w:val="none" w:sz="0" w:space="0" w:color="auto"/>
            <w:left w:val="none" w:sz="0" w:space="0" w:color="auto"/>
            <w:bottom w:val="none" w:sz="0" w:space="0" w:color="auto"/>
            <w:right w:val="none" w:sz="0" w:space="0" w:color="auto"/>
          </w:divBdr>
        </w:div>
        <w:div w:id="1678384613">
          <w:marLeft w:val="0"/>
          <w:marRight w:val="0"/>
          <w:marTop w:val="0"/>
          <w:marBottom w:val="0"/>
          <w:divBdr>
            <w:top w:val="none" w:sz="0" w:space="0" w:color="auto"/>
            <w:left w:val="none" w:sz="0" w:space="0" w:color="auto"/>
            <w:bottom w:val="none" w:sz="0" w:space="0" w:color="auto"/>
            <w:right w:val="none" w:sz="0" w:space="0" w:color="auto"/>
          </w:divBdr>
        </w:div>
        <w:div w:id="1708749376">
          <w:marLeft w:val="0"/>
          <w:marRight w:val="0"/>
          <w:marTop w:val="0"/>
          <w:marBottom w:val="0"/>
          <w:divBdr>
            <w:top w:val="none" w:sz="0" w:space="0" w:color="auto"/>
            <w:left w:val="none" w:sz="0" w:space="0" w:color="auto"/>
            <w:bottom w:val="none" w:sz="0" w:space="0" w:color="auto"/>
            <w:right w:val="none" w:sz="0" w:space="0" w:color="auto"/>
          </w:divBdr>
        </w:div>
        <w:div w:id="1711414449">
          <w:marLeft w:val="0"/>
          <w:marRight w:val="0"/>
          <w:marTop w:val="0"/>
          <w:marBottom w:val="0"/>
          <w:divBdr>
            <w:top w:val="none" w:sz="0" w:space="0" w:color="auto"/>
            <w:left w:val="none" w:sz="0" w:space="0" w:color="auto"/>
            <w:bottom w:val="none" w:sz="0" w:space="0" w:color="auto"/>
            <w:right w:val="none" w:sz="0" w:space="0" w:color="auto"/>
          </w:divBdr>
        </w:div>
        <w:div w:id="1711802480">
          <w:marLeft w:val="0"/>
          <w:marRight w:val="0"/>
          <w:marTop w:val="0"/>
          <w:marBottom w:val="0"/>
          <w:divBdr>
            <w:top w:val="none" w:sz="0" w:space="0" w:color="auto"/>
            <w:left w:val="none" w:sz="0" w:space="0" w:color="auto"/>
            <w:bottom w:val="none" w:sz="0" w:space="0" w:color="auto"/>
            <w:right w:val="none" w:sz="0" w:space="0" w:color="auto"/>
          </w:divBdr>
        </w:div>
        <w:div w:id="1730299493">
          <w:marLeft w:val="0"/>
          <w:marRight w:val="0"/>
          <w:marTop w:val="0"/>
          <w:marBottom w:val="0"/>
          <w:divBdr>
            <w:top w:val="none" w:sz="0" w:space="0" w:color="auto"/>
            <w:left w:val="none" w:sz="0" w:space="0" w:color="auto"/>
            <w:bottom w:val="none" w:sz="0" w:space="0" w:color="auto"/>
            <w:right w:val="none" w:sz="0" w:space="0" w:color="auto"/>
          </w:divBdr>
        </w:div>
        <w:div w:id="1732148169">
          <w:marLeft w:val="0"/>
          <w:marRight w:val="0"/>
          <w:marTop w:val="0"/>
          <w:marBottom w:val="0"/>
          <w:divBdr>
            <w:top w:val="none" w:sz="0" w:space="0" w:color="auto"/>
            <w:left w:val="none" w:sz="0" w:space="0" w:color="auto"/>
            <w:bottom w:val="none" w:sz="0" w:space="0" w:color="auto"/>
            <w:right w:val="none" w:sz="0" w:space="0" w:color="auto"/>
          </w:divBdr>
        </w:div>
        <w:div w:id="1739665368">
          <w:marLeft w:val="0"/>
          <w:marRight w:val="0"/>
          <w:marTop w:val="0"/>
          <w:marBottom w:val="0"/>
          <w:divBdr>
            <w:top w:val="none" w:sz="0" w:space="0" w:color="auto"/>
            <w:left w:val="none" w:sz="0" w:space="0" w:color="auto"/>
            <w:bottom w:val="none" w:sz="0" w:space="0" w:color="auto"/>
            <w:right w:val="none" w:sz="0" w:space="0" w:color="auto"/>
          </w:divBdr>
        </w:div>
        <w:div w:id="1753313293">
          <w:marLeft w:val="0"/>
          <w:marRight w:val="0"/>
          <w:marTop w:val="0"/>
          <w:marBottom w:val="0"/>
          <w:divBdr>
            <w:top w:val="none" w:sz="0" w:space="0" w:color="auto"/>
            <w:left w:val="none" w:sz="0" w:space="0" w:color="auto"/>
            <w:bottom w:val="none" w:sz="0" w:space="0" w:color="auto"/>
            <w:right w:val="none" w:sz="0" w:space="0" w:color="auto"/>
          </w:divBdr>
        </w:div>
        <w:div w:id="1766918333">
          <w:marLeft w:val="0"/>
          <w:marRight w:val="0"/>
          <w:marTop w:val="0"/>
          <w:marBottom w:val="0"/>
          <w:divBdr>
            <w:top w:val="none" w:sz="0" w:space="0" w:color="auto"/>
            <w:left w:val="none" w:sz="0" w:space="0" w:color="auto"/>
            <w:bottom w:val="none" w:sz="0" w:space="0" w:color="auto"/>
            <w:right w:val="none" w:sz="0" w:space="0" w:color="auto"/>
          </w:divBdr>
        </w:div>
        <w:div w:id="1771780601">
          <w:marLeft w:val="0"/>
          <w:marRight w:val="0"/>
          <w:marTop w:val="0"/>
          <w:marBottom w:val="0"/>
          <w:divBdr>
            <w:top w:val="none" w:sz="0" w:space="0" w:color="auto"/>
            <w:left w:val="none" w:sz="0" w:space="0" w:color="auto"/>
            <w:bottom w:val="none" w:sz="0" w:space="0" w:color="auto"/>
            <w:right w:val="none" w:sz="0" w:space="0" w:color="auto"/>
          </w:divBdr>
        </w:div>
        <w:div w:id="1800952177">
          <w:marLeft w:val="0"/>
          <w:marRight w:val="0"/>
          <w:marTop w:val="0"/>
          <w:marBottom w:val="0"/>
          <w:divBdr>
            <w:top w:val="none" w:sz="0" w:space="0" w:color="auto"/>
            <w:left w:val="none" w:sz="0" w:space="0" w:color="auto"/>
            <w:bottom w:val="none" w:sz="0" w:space="0" w:color="auto"/>
            <w:right w:val="none" w:sz="0" w:space="0" w:color="auto"/>
          </w:divBdr>
        </w:div>
        <w:div w:id="1821652897">
          <w:marLeft w:val="0"/>
          <w:marRight w:val="0"/>
          <w:marTop w:val="0"/>
          <w:marBottom w:val="0"/>
          <w:divBdr>
            <w:top w:val="none" w:sz="0" w:space="0" w:color="auto"/>
            <w:left w:val="none" w:sz="0" w:space="0" w:color="auto"/>
            <w:bottom w:val="none" w:sz="0" w:space="0" w:color="auto"/>
            <w:right w:val="none" w:sz="0" w:space="0" w:color="auto"/>
          </w:divBdr>
        </w:div>
        <w:div w:id="1825581541">
          <w:marLeft w:val="0"/>
          <w:marRight w:val="0"/>
          <w:marTop w:val="0"/>
          <w:marBottom w:val="0"/>
          <w:divBdr>
            <w:top w:val="none" w:sz="0" w:space="0" w:color="auto"/>
            <w:left w:val="none" w:sz="0" w:space="0" w:color="auto"/>
            <w:bottom w:val="none" w:sz="0" w:space="0" w:color="auto"/>
            <w:right w:val="none" w:sz="0" w:space="0" w:color="auto"/>
          </w:divBdr>
        </w:div>
        <w:div w:id="1828131746">
          <w:marLeft w:val="0"/>
          <w:marRight w:val="0"/>
          <w:marTop w:val="0"/>
          <w:marBottom w:val="0"/>
          <w:divBdr>
            <w:top w:val="none" w:sz="0" w:space="0" w:color="auto"/>
            <w:left w:val="none" w:sz="0" w:space="0" w:color="auto"/>
            <w:bottom w:val="none" w:sz="0" w:space="0" w:color="auto"/>
            <w:right w:val="none" w:sz="0" w:space="0" w:color="auto"/>
          </w:divBdr>
        </w:div>
        <w:div w:id="1835220728">
          <w:marLeft w:val="0"/>
          <w:marRight w:val="0"/>
          <w:marTop w:val="0"/>
          <w:marBottom w:val="0"/>
          <w:divBdr>
            <w:top w:val="none" w:sz="0" w:space="0" w:color="auto"/>
            <w:left w:val="none" w:sz="0" w:space="0" w:color="auto"/>
            <w:bottom w:val="none" w:sz="0" w:space="0" w:color="auto"/>
            <w:right w:val="none" w:sz="0" w:space="0" w:color="auto"/>
          </w:divBdr>
        </w:div>
        <w:div w:id="1836678274">
          <w:marLeft w:val="0"/>
          <w:marRight w:val="0"/>
          <w:marTop w:val="0"/>
          <w:marBottom w:val="0"/>
          <w:divBdr>
            <w:top w:val="none" w:sz="0" w:space="0" w:color="auto"/>
            <w:left w:val="none" w:sz="0" w:space="0" w:color="auto"/>
            <w:bottom w:val="none" w:sz="0" w:space="0" w:color="auto"/>
            <w:right w:val="none" w:sz="0" w:space="0" w:color="auto"/>
          </w:divBdr>
        </w:div>
        <w:div w:id="1839689334">
          <w:marLeft w:val="0"/>
          <w:marRight w:val="0"/>
          <w:marTop w:val="0"/>
          <w:marBottom w:val="0"/>
          <w:divBdr>
            <w:top w:val="none" w:sz="0" w:space="0" w:color="auto"/>
            <w:left w:val="none" w:sz="0" w:space="0" w:color="auto"/>
            <w:bottom w:val="none" w:sz="0" w:space="0" w:color="auto"/>
            <w:right w:val="none" w:sz="0" w:space="0" w:color="auto"/>
          </w:divBdr>
        </w:div>
        <w:div w:id="1843086046">
          <w:marLeft w:val="0"/>
          <w:marRight w:val="0"/>
          <w:marTop w:val="0"/>
          <w:marBottom w:val="0"/>
          <w:divBdr>
            <w:top w:val="none" w:sz="0" w:space="0" w:color="auto"/>
            <w:left w:val="none" w:sz="0" w:space="0" w:color="auto"/>
            <w:bottom w:val="none" w:sz="0" w:space="0" w:color="auto"/>
            <w:right w:val="none" w:sz="0" w:space="0" w:color="auto"/>
          </w:divBdr>
        </w:div>
        <w:div w:id="1863087241">
          <w:marLeft w:val="0"/>
          <w:marRight w:val="0"/>
          <w:marTop w:val="0"/>
          <w:marBottom w:val="0"/>
          <w:divBdr>
            <w:top w:val="none" w:sz="0" w:space="0" w:color="auto"/>
            <w:left w:val="none" w:sz="0" w:space="0" w:color="auto"/>
            <w:bottom w:val="none" w:sz="0" w:space="0" w:color="auto"/>
            <w:right w:val="none" w:sz="0" w:space="0" w:color="auto"/>
          </w:divBdr>
        </w:div>
        <w:div w:id="1865483336">
          <w:marLeft w:val="0"/>
          <w:marRight w:val="0"/>
          <w:marTop w:val="0"/>
          <w:marBottom w:val="0"/>
          <w:divBdr>
            <w:top w:val="none" w:sz="0" w:space="0" w:color="auto"/>
            <w:left w:val="none" w:sz="0" w:space="0" w:color="auto"/>
            <w:bottom w:val="none" w:sz="0" w:space="0" w:color="auto"/>
            <w:right w:val="none" w:sz="0" w:space="0" w:color="auto"/>
          </w:divBdr>
        </w:div>
        <w:div w:id="1867063582">
          <w:marLeft w:val="0"/>
          <w:marRight w:val="0"/>
          <w:marTop w:val="0"/>
          <w:marBottom w:val="0"/>
          <w:divBdr>
            <w:top w:val="none" w:sz="0" w:space="0" w:color="auto"/>
            <w:left w:val="none" w:sz="0" w:space="0" w:color="auto"/>
            <w:bottom w:val="none" w:sz="0" w:space="0" w:color="auto"/>
            <w:right w:val="none" w:sz="0" w:space="0" w:color="auto"/>
          </w:divBdr>
        </w:div>
        <w:div w:id="1893341852">
          <w:marLeft w:val="0"/>
          <w:marRight w:val="0"/>
          <w:marTop w:val="0"/>
          <w:marBottom w:val="0"/>
          <w:divBdr>
            <w:top w:val="none" w:sz="0" w:space="0" w:color="auto"/>
            <w:left w:val="none" w:sz="0" w:space="0" w:color="auto"/>
            <w:bottom w:val="none" w:sz="0" w:space="0" w:color="auto"/>
            <w:right w:val="none" w:sz="0" w:space="0" w:color="auto"/>
          </w:divBdr>
        </w:div>
        <w:div w:id="1893807318">
          <w:marLeft w:val="0"/>
          <w:marRight w:val="0"/>
          <w:marTop w:val="0"/>
          <w:marBottom w:val="0"/>
          <w:divBdr>
            <w:top w:val="none" w:sz="0" w:space="0" w:color="auto"/>
            <w:left w:val="none" w:sz="0" w:space="0" w:color="auto"/>
            <w:bottom w:val="none" w:sz="0" w:space="0" w:color="auto"/>
            <w:right w:val="none" w:sz="0" w:space="0" w:color="auto"/>
          </w:divBdr>
        </w:div>
        <w:div w:id="1910192007">
          <w:marLeft w:val="0"/>
          <w:marRight w:val="0"/>
          <w:marTop w:val="0"/>
          <w:marBottom w:val="0"/>
          <w:divBdr>
            <w:top w:val="none" w:sz="0" w:space="0" w:color="auto"/>
            <w:left w:val="none" w:sz="0" w:space="0" w:color="auto"/>
            <w:bottom w:val="none" w:sz="0" w:space="0" w:color="auto"/>
            <w:right w:val="none" w:sz="0" w:space="0" w:color="auto"/>
          </w:divBdr>
        </w:div>
        <w:div w:id="1923492057">
          <w:marLeft w:val="0"/>
          <w:marRight w:val="0"/>
          <w:marTop w:val="0"/>
          <w:marBottom w:val="0"/>
          <w:divBdr>
            <w:top w:val="none" w:sz="0" w:space="0" w:color="auto"/>
            <w:left w:val="none" w:sz="0" w:space="0" w:color="auto"/>
            <w:bottom w:val="none" w:sz="0" w:space="0" w:color="auto"/>
            <w:right w:val="none" w:sz="0" w:space="0" w:color="auto"/>
          </w:divBdr>
        </w:div>
        <w:div w:id="1926528403">
          <w:marLeft w:val="0"/>
          <w:marRight w:val="0"/>
          <w:marTop w:val="0"/>
          <w:marBottom w:val="0"/>
          <w:divBdr>
            <w:top w:val="none" w:sz="0" w:space="0" w:color="auto"/>
            <w:left w:val="none" w:sz="0" w:space="0" w:color="auto"/>
            <w:bottom w:val="none" w:sz="0" w:space="0" w:color="auto"/>
            <w:right w:val="none" w:sz="0" w:space="0" w:color="auto"/>
          </w:divBdr>
        </w:div>
        <w:div w:id="1927958516">
          <w:marLeft w:val="0"/>
          <w:marRight w:val="0"/>
          <w:marTop w:val="0"/>
          <w:marBottom w:val="0"/>
          <w:divBdr>
            <w:top w:val="none" w:sz="0" w:space="0" w:color="auto"/>
            <w:left w:val="none" w:sz="0" w:space="0" w:color="auto"/>
            <w:bottom w:val="none" w:sz="0" w:space="0" w:color="auto"/>
            <w:right w:val="none" w:sz="0" w:space="0" w:color="auto"/>
          </w:divBdr>
        </w:div>
        <w:div w:id="1928804771">
          <w:marLeft w:val="0"/>
          <w:marRight w:val="0"/>
          <w:marTop w:val="0"/>
          <w:marBottom w:val="0"/>
          <w:divBdr>
            <w:top w:val="none" w:sz="0" w:space="0" w:color="auto"/>
            <w:left w:val="none" w:sz="0" w:space="0" w:color="auto"/>
            <w:bottom w:val="none" w:sz="0" w:space="0" w:color="auto"/>
            <w:right w:val="none" w:sz="0" w:space="0" w:color="auto"/>
          </w:divBdr>
        </w:div>
        <w:div w:id="1929650466">
          <w:marLeft w:val="0"/>
          <w:marRight w:val="0"/>
          <w:marTop w:val="0"/>
          <w:marBottom w:val="0"/>
          <w:divBdr>
            <w:top w:val="none" w:sz="0" w:space="0" w:color="auto"/>
            <w:left w:val="none" w:sz="0" w:space="0" w:color="auto"/>
            <w:bottom w:val="none" w:sz="0" w:space="0" w:color="auto"/>
            <w:right w:val="none" w:sz="0" w:space="0" w:color="auto"/>
          </w:divBdr>
        </w:div>
        <w:div w:id="1958754205">
          <w:marLeft w:val="0"/>
          <w:marRight w:val="0"/>
          <w:marTop w:val="0"/>
          <w:marBottom w:val="0"/>
          <w:divBdr>
            <w:top w:val="none" w:sz="0" w:space="0" w:color="auto"/>
            <w:left w:val="none" w:sz="0" w:space="0" w:color="auto"/>
            <w:bottom w:val="none" w:sz="0" w:space="0" w:color="auto"/>
            <w:right w:val="none" w:sz="0" w:space="0" w:color="auto"/>
          </w:divBdr>
        </w:div>
        <w:div w:id="1962303136">
          <w:marLeft w:val="0"/>
          <w:marRight w:val="0"/>
          <w:marTop w:val="0"/>
          <w:marBottom w:val="0"/>
          <w:divBdr>
            <w:top w:val="none" w:sz="0" w:space="0" w:color="auto"/>
            <w:left w:val="none" w:sz="0" w:space="0" w:color="auto"/>
            <w:bottom w:val="none" w:sz="0" w:space="0" w:color="auto"/>
            <w:right w:val="none" w:sz="0" w:space="0" w:color="auto"/>
          </w:divBdr>
        </w:div>
        <w:div w:id="1976640961">
          <w:marLeft w:val="0"/>
          <w:marRight w:val="0"/>
          <w:marTop w:val="0"/>
          <w:marBottom w:val="0"/>
          <w:divBdr>
            <w:top w:val="none" w:sz="0" w:space="0" w:color="auto"/>
            <w:left w:val="none" w:sz="0" w:space="0" w:color="auto"/>
            <w:bottom w:val="none" w:sz="0" w:space="0" w:color="auto"/>
            <w:right w:val="none" w:sz="0" w:space="0" w:color="auto"/>
          </w:divBdr>
        </w:div>
        <w:div w:id="1978800835">
          <w:marLeft w:val="0"/>
          <w:marRight w:val="0"/>
          <w:marTop w:val="0"/>
          <w:marBottom w:val="0"/>
          <w:divBdr>
            <w:top w:val="none" w:sz="0" w:space="0" w:color="auto"/>
            <w:left w:val="none" w:sz="0" w:space="0" w:color="auto"/>
            <w:bottom w:val="none" w:sz="0" w:space="0" w:color="auto"/>
            <w:right w:val="none" w:sz="0" w:space="0" w:color="auto"/>
          </w:divBdr>
        </w:div>
        <w:div w:id="1980067435">
          <w:marLeft w:val="0"/>
          <w:marRight w:val="0"/>
          <w:marTop w:val="0"/>
          <w:marBottom w:val="0"/>
          <w:divBdr>
            <w:top w:val="none" w:sz="0" w:space="0" w:color="auto"/>
            <w:left w:val="none" w:sz="0" w:space="0" w:color="auto"/>
            <w:bottom w:val="none" w:sz="0" w:space="0" w:color="auto"/>
            <w:right w:val="none" w:sz="0" w:space="0" w:color="auto"/>
          </w:divBdr>
        </w:div>
        <w:div w:id="1988587611">
          <w:marLeft w:val="0"/>
          <w:marRight w:val="0"/>
          <w:marTop w:val="0"/>
          <w:marBottom w:val="0"/>
          <w:divBdr>
            <w:top w:val="none" w:sz="0" w:space="0" w:color="auto"/>
            <w:left w:val="none" w:sz="0" w:space="0" w:color="auto"/>
            <w:bottom w:val="none" w:sz="0" w:space="0" w:color="auto"/>
            <w:right w:val="none" w:sz="0" w:space="0" w:color="auto"/>
          </w:divBdr>
        </w:div>
        <w:div w:id="1988625131">
          <w:marLeft w:val="0"/>
          <w:marRight w:val="0"/>
          <w:marTop w:val="0"/>
          <w:marBottom w:val="0"/>
          <w:divBdr>
            <w:top w:val="none" w:sz="0" w:space="0" w:color="auto"/>
            <w:left w:val="none" w:sz="0" w:space="0" w:color="auto"/>
            <w:bottom w:val="none" w:sz="0" w:space="0" w:color="auto"/>
            <w:right w:val="none" w:sz="0" w:space="0" w:color="auto"/>
          </w:divBdr>
        </w:div>
        <w:div w:id="1993832272">
          <w:marLeft w:val="0"/>
          <w:marRight w:val="0"/>
          <w:marTop w:val="0"/>
          <w:marBottom w:val="0"/>
          <w:divBdr>
            <w:top w:val="none" w:sz="0" w:space="0" w:color="auto"/>
            <w:left w:val="none" w:sz="0" w:space="0" w:color="auto"/>
            <w:bottom w:val="none" w:sz="0" w:space="0" w:color="auto"/>
            <w:right w:val="none" w:sz="0" w:space="0" w:color="auto"/>
          </w:divBdr>
        </w:div>
        <w:div w:id="2009407573">
          <w:marLeft w:val="0"/>
          <w:marRight w:val="0"/>
          <w:marTop w:val="0"/>
          <w:marBottom w:val="0"/>
          <w:divBdr>
            <w:top w:val="none" w:sz="0" w:space="0" w:color="auto"/>
            <w:left w:val="none" w:sz="0" w:space="0" w:color="auto"/>
            <w:bottom w:val="none" w:sz="0" w:space="0" w:color="auto"/>
            <w:right w:val="none" w:sz="0" w:space="0" w:color="auto"/>
          </w:divBdr>
        </w:div>
        <w:div w:id="2027900419">
          <w:marLeft w:val="0"/>
          <w:marRight w:val="0"/>
          <w:marTop w:val="0"/>
          <w:marBottom w:val="0"/>
          <w:divBdr>
            <w:top w:val="none" w:sz="0" w:space="0" w:color="auto"/>
            <w:left w:val="none" w:sz="0" w:space="0" w:color="auto"/>
            <w:bottom w:val="none" w:sz="0" w:space="0" w:color="auto"/>
            <w:right w:val="none" w:sz="0" w:space="0" w:color="auto"/>
          </w:divBdr>
        </w:div>
        <w:div w:id="2035031786">
          <w:marLeft w:val="0"/>
          <w:marRight w:val="0"/>
          <w:marTop w:val="0"/>
          <w:marBottom w:val="0"/>
          <w:divBdr>
            <w:top w:val="none" w:sz="0" w:space="0" w:color="auto"/>
            <w:left w:val="none" w:sz="0" w:space="0" w:color="auto"/>
            <w:bottom w:val="none" w:sz="0" w:space="0" w:color="auto"/>
            <w:right w:val="none" w:sz="0" w:space="0" w:color="auto"/>
          </w:divBdr>
        </w:div>
        <w:div w:id="2047100116">
          <w:marLeft w:val="0"/>
          <w:marRight w:val="0"/>
          <w:marTop w:val="0"/>
          <w:marBottom w:val="0"/>
          <w:divBdr>
            <w:top w:val="none" w:sz="0" w:space="0" w:color="auto"/>
            <w:left w:val="none" w:sz="0" w:space="0" w:color="auto"/>
            <w:bottom w:val="none" w:sz="0" w:space="0" w:color="auto"/>
            <w:right w:val="none" w:sz="0" w:space="0" w:color="auto"/>
          </w:divBdr>
        </w:div>
        <w:div w:id="2056734584">
          <w:marLeft w:val="0"/>
          <w:marRight w:val="0"/>
          <w:marTop w:val="0"/>
          <w:marBottom w:val="0"/>
          <w:divBdr>
            <w:top w:val="none" w:sz="0" w:space="0" w:color="auto"/>
            <w:left w:val="none" w:sz="0" w:space="0" w:color="auto"/>
            <w:bottom w:val="none" w:sz="0" w:space="0" w:color="auto"/>
            <w:right w:val="none" w:sz="0" w:space="0" w:color="auto"/>
          </w:divBdr>
        </w:div>
        <w:div w:id="2061976464">
          <w:marLeft w:val="0"/>
          <w:marRight w:val="0"/>
          <w:marTop w:val="0"/>
          <w:marBottom w:val="0"/>
          <w:divBdr>
            <w:top w:val="none" w:sz="0" w:space="0" w:color="auto"/>
            <w:left w:val="none" w:sz="0" w:space="0" w:color="auto"/>
            <w:bottom w:val="none" w:sz="0" w:space="0" w:color="auto"/>
            <w:right w:val="none" w:sz="0" w:space="0" w:color="auto"/>
          </w:divBdr>
        </w:div>
        <w:div w:id="2072263946">
          <w:marLeft w:val="0"/>
          <w:marRight w:val="0"/>
          <w:marTop w:val="0"/>
          <w:marBottom w:val="0"/>
          <w:divBdr>
            <w:top w:val="none" w:sz="0" w:space="0" w:color="auto"/>
            <w:left w:val="none" w:sz="0" w:space="0" w:color="auto"/>
            <w:bottom w:val="none" w:sz="0" w:space="0" w:color="auto"/>
            <w:right w:val="none" w:sz="0" w:space="0" w:color="auto"/>
          </w:divBdr>
        </w:div>
        <w:div w:id="2082018522">
          <w:marLeft w:val="0"/>
          <w:marRight w:val="0"/>
          <w:marTop w:val="0"/>
          <w:marBottom w:val="0"/>
          <w:divBdr>
            <w:top w:val="none" w:sz="0" w:space="0" w:color="auto"/>
            <w:left w:val="none" w:sz="0" w:space="0" w:color="auto"/>
            <w:bottom w:val="none" w:sz="0" w:space="0" w:color="auto"/>
            <w:right w:val="none" w:sz="0" w:space="0" w:color="auto"/>
          </w:divBdr>
        </w:div>
        <w:div w:id="2083483358">
          <w:marLeft w:val="0"/>
          <w:marRight w:val="0"/>
          <w:marTop w:val="0"/>
          <w:marBottom w:val="0"/>
          <w:divBdr>
            <w:top w:val="none" w:sz="0" w:space="0" w:color="auto"/>
            <w:left w:val="none" w:sz="0" w:space="0" w:color="auto"/>
            <w:bottom w:val="none" w:sz="0" w:space="0" w:color="auto"/>
            <w:right w:val="none" w:sz="0" w:space="0" w:color="auto"/>
          </w:divBdr>
        </w:div>
        <w:div w:id="2091153184">
          <w:marLeft w:val="0"/>
          <w:marRight w:val="0"/>
          <w:marTop w:val="0"/>
          <w:marBottom w:val="0"/>
          <w:divBdr>
            <w:top w:val="none" w:sz="0" w:space="0" w:color="auto"/>
            <w:left w:val="none" w:sz="0" w:space="0" w:color="auto"/>
            <w:bottom w:val="none" w:sz="0" w:space="0" w:color="auto"/>
            <w:right w:val="none" w:sz="0" w:space="0" w:color="auto"/>
          </w:divBdr>
        </w:div>
        <w:div w:id="2094281717">
          <w:marLeft w:val="0"/>
          <w:marRight w:val="0"/>
          <w:marTop w:val="0"/>
          <w:marBottom w:val="0"/>
          <w:divBdr>
            <w:top w:val="none" w:sz="0" w:space="0" w:color="auto"/>
            <w:left w:val="none" w:sz="0" w:space="0" w:color="auto"/>
            <w:bottom w:val="none" w:sz="0" w:space="0" w:color="auto"/>
            <w:right w:val="none" w:sz="0" w:space="0" w:color="auto"/>
          </w:divBdr>
        </w:div>
        <w:div w:id="2113235042">
          <w:marLeft w:val="0"/>
          <w:marRight w:val="0"/>
          <w:marTop w:val="0"/>
          <w:marBottom w:val="0"/>
          <w:divBdr>
            <w:top w:val="none" w:sz="0" w:space="0" w:color="auto"/>
            <w:left w:val="none" w:sz="0" w:space="0" w:color="auto"/>
            <w:bottom w:val="none" w:sz="0" w:space="0" w:color="auto"/>
            <w:right w:val="none" w:sz="0" w:space="0" w:color="auto"/>
          </w:divBdr>
        </w:div>
        <w:div w:id="2114083585">
          <w:marLeft w:val="0"/>
          <w:marRight w:val="0"/>
          <w:marTop w:val="0"/>
          <w:marBottom w:val="0"/>
          <w:divBdr>
            <w:top w:val="none" w:sz="0" w:space="0" w:color="auto"/>
            <w:left w:val="none" w:sz="0" w:space="0" w:color="auto"/>
            <w:bottom w:val="none" w:sz="0" w:space="0" w:color="auto"/>
            <w:right w:val="none" w:sz="0" w:space="0" w:color="auto"/>
          </w:divBdr>
        </w:div>
        <w:div w:id="2120955061">
          <w:marLeft w:val="0"/>
          <w:marRight w:val="0"/>
          <w:marTop w:val="0"/>
          <w:marBottom w:val="0"/>
          <w:divBdr>
            <w:top w:val="none" w:sz="0" w:space="0" w:color="auto"/>
            <w:left w:val="none" w:sz="0" w:space="0" w:color="auto"/>
            <w:bottom w:val="none" w:sz="0" w:space="0" w:color="auto"/>
            <w:right w:val="none" w:sz="0" w:space="0" w:color="auto"/>
          </w:divBdr>
        </w:div>
        <w:div w:id="2137328081">
          <w:marLeft w:val="0"/>
          <w:marRight w:val="0"/>
          <w:marTop w:val="0"/>
          <w:marBottom w:val="0"/>
          <w:divBdr>
            <w:top w:val="none" w:sz="0" w:space="0" w:color="auto"/>
            <w:left w:val="none" w:sz="0" w:space="0" w:color="auto"/>
            <w:bottom w:val="none" w:sz="0" w:space="0" w:color="auto"/>
            <w:right w:val="none" w:sz="0" w:space="0" w:color="auto"/>
          </w:divBdr>
        </w:div>
        <w:div w:id="2141148888">
          <w:marLeft w:val="0"/>
          <w:marRight w:val="0"/>
          <w:marTop w:val="0"/>
          <w:marBottom w:val="0"/>
          <w:divBdr>
            <w:top w:val="none" w:sz="0" w:space="0" w:color="auto"/>
            <w:left w:val="none" w:sz="0" w:space="0" w:color="auto"/>
            <w:bottom w:val="none" w:sz="0" w:space="0" w:color="auto"/>
            <w:right w:val="none" w:sz="0" w:space="0" w:color="auto"/>
          </w:divBdr>
        </w:div>
      </w:divsChild>
    </w:div>
    <w:div w:id="1951282732">
      <w:bodyDiv w:val="1"/>
      <w:marLeft w:val="0"/>
      <w:marRight w:val="0"/>
      <w:marTop w:val="0"/>
      <w:marBottom w:val="0"/>
      <w:divBdr>
        <w:top w:val="none" w:sz="0" w:space="0" w:color="auto"/>
        <w:left w:val="none" w:sz="0" w:space="0" w:color="auto"/>
        <w:bottom w:val="none" w:sz="0" w:space="0" w:color="auto"/>
        <w:right w:val="none" w:sz="0" w:space="0" w:color="auto"/>
      </w:divBdr>
    </w:div>
    <w:div w:id="1965767257">
      <w:bodyDiv w:val="1"/>
      <w:marLeft w:val="0"/>
      <w:marRight w:val="0"/>
      <w:marTop w:val="0"/>
      <w:marBottom w:val="0"/>
      <w:divBdr>
        <w:top w:val="none" w:sz="0" w:space="0" w:color="auto"/>
        <w:left w:val="none" w:sz="0" w:space="0" w:color="auto"/>
        <w:bottom w:val="none" w:sz="0" w:space="0" w:color="auto"/>
        <w:right w:val="none" w:sz="0" w:space="0" w:color="auto"/>
      </w:divBdr>
    </w:div>
    <w:div w:id="1973898867">
      <w:bodyDiv w:val="1"/>
      <w:marLeft w:val="0"/>
      <w:marRight w:val="0"/>
      <w:marTop w:val="0"/>
      <w:marBottom w:val="0"/>
      <w:divBdr>
        <w:top w:val="none" w:sz="0" w:space="0" w:color="auto"/>
        <w:left w:val="none" w:sz="0" w:space="0" w:color="auto"/>
        <w:bottom w:val="none" w:sz="0" w:space="0" w:color="auto"/>
        <w:right w:val="none" w:sz="0" w:space="0" w:color="auto"/>
      </w:divBdr>
    </w:div>
    <w:div w:id="1977177084">
      <w:bodyDiv w:val="1"/>
      <w:marLeft w:val="0"/>
      <w:marRight w:val="0"/>
      <w:marTop w:val="0"/>
      <w:marBottom w:val="0"/>
      <w:divBdr>
        <w:top w:val="none" w:sz="0" w:space="0" w:color="auto"/>
        <w:left w:val="none" w:sz="0" w:space="0" w:color="auto"/>
        <w:bottom w:val="none" w:sz="0" w:space="0" w:color="auto"/>
        <w:right w:val="none" w:sz="0" w:space="0" w:color="auto"/>
      </w:divBdr>
    </w:div>
    <w:div w:id="1977565567">
      <w:bodyDiv w:val="1"/>
      <w:marLeft w:val="0"/>
      <w:marRight w:val="0"/>
      <w:marTop w:val="0"/>
      <w:marBottom w:val="0"/>
      <w:divBdr>
        <w:top w:val="none" w:sz="0" w:space="0" w:color="auto"/>
        <w:left w:val="none" w:sz="0" w:space="0" w:color="auto"/>
        <w:bottom w:val="none" w:sz="0" w:space="0" w:color="auto"/>
        <w:right w:val="none" w:sz="0" w:space="0" w:color="auto"/>
      </w:divBdr>
    </w:div>
    <w:div w:id="1980839043">
      <w:bodyDiv w:val="1"/>
      <w:marLeft w:val="0"/>
      <w:marRight w:val="0"/>
      <w:marTop w:val="0"/>
      <w:marBottom w:val="0"/>
      <w:divBdr>
        <w:top w:val="none" w:sz="0" w:space="0" w:color="auto"/>
        <w:left w:val="none" w:sz="0" w:space="0" w:color="auto"/>
        <w:bottom w:val="none" w:sz="0" w:space="0" w:color="auto"/>
        <w:right w:val="none" w:sz="0" w:space="0" w:color="auto"/>
      </w:divBdr>
    </w:div>
    <w:div w:id="1997998733">
      <w:bodyDiv w:val="1"/>
      <w:marLeft w:val="0"/>
      <w:marRight w:val="0"/>
      <w:marTop w:val="0"/>
      <w:marBottom w:val="0"/>
      <w:divBdr>
        <w:top w:val="none" w:sz="0" w:space="0" w:color="auto"/>
        <w:left w:val="none" w:sz="0" w:space="0" w:color="auto"/>
        <w:bottom w:val="none" w:sz="0" w:space="0" w:color="auto"/>
        <w:right w:val="none" w:sz="0" w:space="0" w:color="auto"/>
      </w:divBdr>
    </w:div>
    <w:div w:id="2006975523">
      <w:bodyDiv w:val="1"/>
      <w:marLeft w:val="0"/>
      <w:marRight w:val="0"/>
      <w:marTop w:val="0"/>
      <w:marBottom w:val="0"/>
      <w:divBdr>
        <w:top w:val="none" w:sz="0" w:space="0" w:color="auto"/>
        <w:left w:val="none" w:sz="0" w:space="0" w:color="auto"/>
        <w:bottom w:val="none" w:sz="0" w:space="0" w:color="auto"/>
        <w:right w:val="none" w:sz="0" w:space="0" w:color="auto"/>
      </w:divBdr>
    </w:div>
    <w:div w:id="2014719924">
      <w:bodyDiv w:val="1"/>
      <w:marLeft w:val="0"/>
      <w:marRight w:val="0"/>
      <w:marTop w:val="0"/>
      <w:marBottom w:val="0"/>
      <w:divBdr>
        <w:top w:val="none" w:sz="0" w:space="0" w:color="auto"/>
        <w:left w:val="none" w:sz="0" w:space="0" w:color="auto"/>
        <w:bottom w:val="none" w:sz="0" w:space="0" w:color="auto"/>
        <w:right w:val="none" w:sz="0" w:space="0" w:color="auto"/>
      </w:divBdr>
    </w:div>
    <w:div w:id="2020346410">
      <w:bodyDiv w:val="1"/>
      <w:marLeft w:val="0"/>
      <w:marRight w:val="0"/>
      <w:marTop w:val="0"/>
      <w:marBottom w:val="0"/>
      <w:divBdr>
        <w:top w:val="none" w:sz="0" w:space="0" w:color="auto"/>
        <w:left w:val="none" w:sz="0" w:space="0" w:color="auto"/>
        <w:bottom w:val="none" w:sz="0" w:space="0" w:color="auto"/>
        <w:right w:val="none" w:sz="0" w:space="0" w:color="auto"/>
      </w:divBdr>
    </w:div>
    <w:div w:id="2025397906">
      <w:bodyDiv w:val="1"/>
      <w:marLeft w:val="0"/>
      <w:marRight w:val="0"/>
      <w:marTop w:val="0"/>
      <w:marBottom w:val="0"/>
      <w:divBdr>
        <w:top w:val="none" w:sz="0" w:space="0" w:color="auto"/>
        <w:left w:val="none" w:sz="0" w:space="0" w:color="auto"/>
        <w:bottom w:val="none" w:sz="0" w:space="0" w:color="auto"/>
        <w:right w:val="none" w:sz="0" w:space="0" w:color="auto"/>
      </w:divBdr>
    </w:div>
    <w:div w:id="2028216721">
      <w:bodyDiv w:val="1"/>
      <w:marLeft w:val="0"/>
      <w:marRight w:val="0"/>
      <w:marTop w:val="0"/>
      <w:marBottom w:val="0"/>
      <w:divBdr>
        <w:top w:val="none" w:sz="0" w:space="0" w:color="auto"/>
        <w:left w:val="none" w:sz="0" w:space="0" w:color="auto"/>
        <w:bottom w:val="none" w:sz="0" w:space="0" w:color="auto"/>
        <w:right w:val="none" w:sz="0" w:space="0" w:color="auto"/>
      </w:divBdr>
    </w:div>
    <w:div w:id="2029288631">
      <w:bodyDiv w:val="1"/>
      <w:marLeft w:val="0"/>
      <w:marRight w:val="0"/>
      <w:marTop w:val="0"/>
      <w:marBottom w:val="0"/>
      <w:divBdr>
        <w:top w:val="none" w:sz="0" w:space="0" w:color="auto"/>
        <w:left w:val="none" w:sz="0" w:space="0" w:color="auto"/>
        <w:bottom w:val="none" w:sz="0" w:space="0" w:color="auto"/>
        <w:right w:val="none" w:sz="0" w:space="0" w:color="auto"/>
      </w:divBdr>
    </w:div>
    <w:div w:id="2031301161">
      <w:bodyDiv w:val="1"/>
      <w:marLeft w:val="0"/>
      <w:marRight w:val="0"/>
      <w:marTop w:val="0"/>
      <w:marBottom w:val="0"/>
      <w:divBdr>
        <w:top w:val="none" w:sz="0" w:space="0" w:color="auto"/>
        <w:left w:val="none" w:sz="0" w:space="0" w:color="auto"/>
        <w:bottom w:val="none" w:sz="0" w:space="0" w:color="auto"/>
        <w:right w:val="none" w:sz="0" w:space="0" w:color="auto"/>
      </w:divBdr>
    </w:div>
    <w:div w:id="2038964082">
      <w:bodyDiv w:val="1"/>
      <w:marLeft w:val="0"/>
      <w:marRight w:val="0"/>
      <w:marTop w:val="0"/>
      <w:marBottom w:val="0"/>
      <w:divBdr>
        <w:top w:val="none" w:sz="0" w:space="0" w:color="auto"/>
        <w:left w:val="none" w:sz="0" w:space="0" w:color="auto"/>
        <w:bottom w:val="none" w:sz="0" w:space="0" w:color="auto"/>
        <w:right w:val="none" w:sz="0" w:space="0" w:color="auto"/>
      </w:divBdr>
    </w:div>
    <w:div w:id="2040273398">
      <w:bodyDiv w:val="1"/>
      <w:marLeft w:val="0"/>
      <w:marRight w:val="0"/>
      <w:marTop w:val="0"/>
      <w:marBottom w:val="0"/>
      <w:divBdr>
        <w:top w:val="none" w:sz="0" w:space="0" w:color="auto"/>
        <w:left w:val="none" w:sz="0" w:space="0" w:color="auto"/>
        <w:bottom w:val="none" w:sz="0" w:space="0" w:color="auto"/>
        <w:right w:val="none" w:sz="0" w:space="0" w:color="auto"/>
      </w:divBdr>
    </w:div>
    <w:div w:id="2042894465">
      <w:bodyDiv w:val="1"/>
      <w:marLeft w:val="0"/>
      <w:marRight w:val="0"/>
      <w:marTop w:val="0"/>
      <w:marBottom w:val="0"/>
      <w:divBdr>
        <w:top w:val="none" w:sz="0" w:space="0" w:color="auto"/>
        <w:left w:val="none" w:sz="0" w:space="0" w:color="auto"/>
        <w:bottom w:val="none" w:sz="0" w:space="0" w:color="auto"/>
        <w:right w:val="none" w:sz="0" w:space="0" w:color="auto"/>
      </w:divBdr>
    </w:div>
    <w:div w:id="2044867220">
      <w:bodyDiv w:val="1"/>
      <w:marLeft w:val="0"/>
      <w:marRight w:val="0"/>
      <w:marTop w:val="0"/>
      <w:marBottom w:val="0"/>
      <w:divBdr>
        <w:top w:val="none" w:sz="0" w:space="0" w:color="auto"/>
        <w:left w:val="none" w:sz="0" w:space="0" w:color="auto"/>
        <w:bottom w:val="none" w:sz="0" w:space="0" w:color="auto"/>
        <w:right w:val="none" w:sz="0" w:space="0" w:color="auto"/>
      </w:divBdr>
    </w:div>
    <w:div w:id="2048292888">
      <w:bodyDiv w:val="1"/>
      <w:marLeft w:val="0"/>
      <w:marRight w:val="0"/>
      <w:marTop w:val="0"/>
      <w:marBottom w:val="0"/>
      <w:divBdr>
        <w:top w:val="none" w:sz="0" w:space="0" w:color="auto"/>
        <w:left w:val="none" w:sz="0" w:space="0" w:color="auto"/>
        <w:bottom w:val="none" w:sz="0" w:space="0" w:color="auto"/>
        <w:right w:val="none" w:sz="0" w:space="0" w:color="auto"/>
      </w:divBdr>
    </w:div>
    <w:div w:id="2050912010">
      <w:bodyDiv w:val="1"/>
      <w:marLeft w:val="0"/>
      <w:marRight w:val="0"/>
      <w:marTop w:val="0"/>
      <w:marBottom w:val="0"/>
      <w:divBdr>
        <w:top w:val="none" w:sz="0" w:space="0" w:color="auto"/>
        <w:left w:val="none" w:sz="0" w:space="0" w:color="auto"/>
        <w:bottom w:val="none" w:sz="0" w:space="0" w:color="auto"/>
        <w:right w:val="none" w:sz="0" w:space="0" w:color="auto"/>
      </w:divBdr>
    </w:div>
    <w:div w:id="2052998298">
      <w:bodyDiv w:val="1"/>
      <w:marLeft w:val="0"/>
      <w:marRight w:val="0"/>
      <w:marTop w:val="0"/>
      <w:marBottom w:val="0"/>
      <w:divBdr>
        <w:top w:val="none" w:sz="0" w:space="0" w:color="auto"/>
        <w:left w:val="none" w:sz="0" w:space="0" w:color="auto"/>
        <w:bottom w:val="none" w:sz="0" w:space="0" w:color="auto"/>
        <w:right w:val="none" w:sz="0" w:space="0" w:color="auto"/>
      </w:divBdr>
    </w:div>
    <w:div w:id="2055078269">
      <w:bodyDiv w:val="1"/>
      <w:marLeft w:val="0"/>
      <w:marRight w:val="0"/>
      <w:marTop w:val="0"/>
      <w:marBottom w:val="0"/>
      <w:divBdr>
        <w:top w:val="none" w:sz="0" w:space="0" w:color="auto"/>
        <w:left w:val="none" w:sz="0" w:space="0" w:color="auto"/>
        <w:bottom w:val="none" w:sz="0" w:space="0" w:color="auto"/>
        <w:right w:val="none" w:sz="0" w:space="0" w:color="auto"/>
      </w:divBdr>
    </w:div>
    <w:div w:id="2070033113">
      <w:bodyDiv w:val="1"/>
      <w:marLeft w:val="0"/>
      <w:marRight w:val="0"/>
      <w:marTop w:val="0"/>
      <w:marBottom w:val="0"/>
      <w:divBdr>
        <w:top w:val="none" w:sz="0" w:space="0" w:color="auto"/>
        <w:left w:val="none" w:sz="0" w:space="0" w:color="auto"/>
        <w:bottom w:val="none" w:sz="0" w:space="0" w:color="auto"/>
        <w:right w:val="none" w:sz="0" w:space="0" w:color="auto"/>
      </w:divBdr>
    </w:div>
    <w:div w:id="2077821719">
      <w:bodyDiv w:val="1"/>
      <w:marLeft w:val="0"/>
      <w:marRight w:val="0"/>
      <w:marTop w:val="0"/>
      <w:marBottom w:val="0"/>
      <w:divBdr>
        <w:top w:val="none" w:sz="0" w:space="0" w:color="auto"/>
        <w:left w:val="none" w:sz="0" w:space="0" w:color="auto"/>
        <w:bottom w:val="none" w:sz="0" w:space="0" w:color="auto"/>
        <w:right w:val="none" w:sz="0" w:space="0" w:color="auto"/>
      </w:divBdr>
    </w:div>
    <w:div w:id="2079203307">
      <w:bodyDiv w:val="1"/>
      <w:marLeft w:val="0"/>
      <w:marRight w:val="0"/>
      <w:marTop w:val="0"/>
      <w:marBottom w:val="0"/>
      <w:divBdr>
        <w:top w:val="none" w:sz="0" w:space="0" w:color="auto"/>
        <w:left w:val="none" w:sz="0" w:space="0" w:color="auto"/>
        <w:bottom w:val="none" w:sz="0" w:space="0" w:color="auto"/>
        <w:right w:val="none" w:sz="0" w:space="0" w:color="auto"/>
      </w:divBdr>
    </w:div>
    <w:div w:id="2081252000">
      <w:bodyDiv w:val="1"/>
      <w:marLeft w:val="0"/>
      <w:marRight w:val="0"/>
      <w:marTop w:val="0"/>
      <w:marBottom w:val="0"/>
      <w:divBdr>
        <w:top w:val="none" w:sz="0" w:space="0" w:color="auto"/>
        <w:left w:val="none" w:sz="0" w:space="0" w:color="auto"/>
        <w:bottom w:val="none" w:sz="0" w:space="0" w:color="auto"/>
        <w:right w:val="none" w:sz="0" w:space="0" w:color="auto"/>
      </w:divBdr>
    </w:div>
    <w:div w:id="2084182468">
      <w:bodyDiv w:val="1"/>
      <w:marLeft w:val="0"/>
      <w:marRight w:val="0"/>
      <w:marTop w:val="0"/>
      <w:marBottom w:val="0"/>
      <w:divBdr>
        <w:top w:val="none" w:sz="0" w:space="0" w:color="auto"/>
        <w:left w:val="none" w:sz="0" w:space="0" w:color="auto"/>
        <w:bottom w:val="none" w:sz="0" w:space="0" w:color="auto"/>
        <w:right w:val="none" w:sz="0" w:space="0" w:color="auto"/>
      </w:divBdr>
    </w:div>
    <w:div w:id="2086418855">
      <w:bodyDiv w:val="1"/>
      <w:marLeft w:val="0"/>
      <w:marRight w:val="0"/>
      <w:marTop w:val="0"/>
      <w:marBottom w:val="0"/>
      <w:divBdr>
        <w:top w:val="none" w:sz="0" w:space="0" w:color="auto"/>
        <w:left w:val="none" w:sz="0" w:space="0" w:color="auto"/>
        <w:bottom w:val="none" w:sz="0" w:space="0" w:color="auto"/>
        <w:right w:val="none" w:sz="0" w:space="0" w:color="auto"/>
      </w:divBdr>
    </w:div>
    <w:div w:id="2087260461">
      <w:bodyDiv w:val="1"/>
      <w:marLeft w:val="0"/>
      <w:marRight w:val="0"/>
      <w:marTop w:val="0"/>
      <w:marBottom w:val="0"/>
      <w:divBdr>
        <w:top w:val="none" w:sz="0" w:space="0" w:color="auto"/>
        <w:left w:val="none" w:sz="0" w:space="0" w:color="auto"/>
        <w:bottom w:val="none" w:sz="0" w:space="0" w:color="auto"/>
        <w:right w:val="none" w:sz="0" w:space="0" w:color="auto"/>
      </w:divBdr>
    </w:div>
    <w:div w:id="2089423667">
      <w:bodyDiv w:val="1"/>
      <w:marLeft w:val="0"/>
      <w:marRight w:val="0"/>
      <w:marTop w:val="0"/>
      <w:marBottom w:val="0"/>
      <w:divBdr>
        <w:top w:val="none" w:sz="0" w:space="0" w:color="auto"/>
        <w:left w:val="none" w:sz="0" w:space="0" w:color="auto"/>
        <w:bottom w:val="none" w:sz="0" w:space="0" w:color="auto"/>
        <w:right w:val="none" w:sz="0" w:space="0" w:color="auto"/>
      </w:divBdr>
    </w:div>
    <w:div w:id="2095275427">
      <w:bodyDiv w:val="1"/>
      <w:marLeft w:val="0"/>
      <w:marRight w:val="0"/>
      <w:marTop w:val="0"/>
      <w:marBottom w:val="0"/>
      <w:divBdr>
        <w:top w:val="none" w:sz="0" w:space="0" w:color="auto"/>
        <w:left w:val="none" w:sz="0" w:space="0" w:color="auto"/>
        <w:bottom w:val="none" w:sz="0" w:space="0" w:color="auto"/>
        <w:right w:val="none" w:sz="0" w:space="0" w:color="auto"/>
      </w:divBdr>
    </w:div>
    <w:div w:id="2107191055">
      <w:bodyDiv w:val="1"/>
      <w:marLeft w:val="0"/>
      <w:marRight w:val="0"/>
      <w:marTop w:val="0"/>
      <w:marBottom w:val="0"/>
      <w:divBdr>
        <w:top w:val="none" w:sz="0" w:space="0" w:color="auto"/>
        <w:left w:val="none" w:sz="0" w:space="0" w:color="auto"/>
        <w:bottom w:val="none" w:sz="0" w:space="0" w:color="auto"/>
        <w:right w:val="none" w:sz="0" w:space="0" w:color="auto"/>
      </w:divBdr>
    </w:div>
    <w:div w:id="2111971348">
      <w:bodyDiv w:val="1"/>
      <w:marLeft w:val="0"/>
      <w:marRight w:val="0"/>
      <w:marTop w:val="0"/>
      <w:marBottom w:val="0"/>
      <w:divBdr>
        <w:top w:val="none" w:sz="0" w:space="0" w:color="auto"/>
        <w:left w:val="none" w:sz="0" w:space="0" w:color="auto"/>
        <w:bottom w:val="none" w:sz="0" w:space="0" w:color="auto"/>
        <w:right w:val="none" w:sz="0" w:space="0" w:color="auto"/>
      </w:divBdr>
    </w:div>
    <w:div w:id="2115857756">
      <w:bodyDiv w:val="1"/>
      <w:marLeft w:val="0"/>
      <w:marRight w:val="0"/>
      <w:marTop w:val="0"/>
      <w:marBottom w:val="0"/>
      <w:divBdr>
        <w:top w:val="none" w:sz="0" w:space="0" w:color="auto"/>
        <w:left w:val="none" w:sz="0" w:space="0" w:color="auto"/>
        <w:bottom w:val="none" w:sz="0" w:space="0" w:color="auto"/>
        <w:right w:val="none" w:sz="0" w:space="0" w:color="auto"/>
      </w:divBdr>
    </w:div>
    <w:div w:id="2117364165">
      <w:bodyDiv w:val="1"/>
      <w:marLeft w:val="0"/>
      <w:marRight w:val="0"/>
      <w:marTop w:val="0"/>
      <w:marBottom w:val="0"/>
      <w:divBdr>
        <w:top w:val="none" w:sz="0" w:space="0" w:color="auto"/>
        <w:left w:val="none" w:sz="0" w:space="0" w:color="auto"/>
        <w:bottom w:val="none" w:sz="0" w:space="0" w:color="auto"/>
        <w:right w:val="none" w:sz="0" w:space="0" w:color="auto"/>
      </w:divBdr>
    </w:div>
    <w:div w:id="2118670801">
      <w:bodyDiv w:val="1"/>
      <w:marLeft w:val="0"/>
      <w:marRight w:val="0"/>
      <w:marTop w:val="0"/>
      <w:marBottom w:val="0"/>
      <w:divBdr>
        <w:top w:val="none" w:sz="0" w:space="0" w:color="auto"/>
        <w:left w:val="none" w:sz="0" w:space="0" w:color="auto"/>
        <w:bottom w:val="none" w:sz="0" w:space="0" w:color="auto"/>
        <w:right w:val="none" w:sz="0" w:space="0" w:color="auto"/>
      </w:divBdr>
    </w:div>
    <w:div w:id="2133862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chart" Target="charts/chart2.xml"/><Relationship Id="rId26" Type="http://schemas.openxmlformats.org/officeDocument/2006/relationships/image" Target="media/image8.png"/><Relationship Id="rId39" Type="http://schemas.openxmlformats.org/officeDocument/2006/relationships/hyperlink" Target="http://www.unece.org/fileadmin/DAM/trans/doc/2012/itc/ECE-TRANS-2012-4e.pdf" TargetMode="External"/><Relationship Id="rId21" Type="http://schemas.openxmlformats.org/officeDocument/2006/relationships/chart" Target="charts/chart5.xml"/><Relationship Id="rId34" Type="http://schemas.openxmlformats.org/officeDocument/2006/relationships/hyperlink" Target="https://eur-lex.europa.eu/resource.html?uri=cellar%3A0e8b694e-59b5-11e8-ab41-01aa75ed71a1.0003.02/DOC_2&amp;format=PDF" TargetMode="External"/><Relationship Id="rId42" Type="http://schemas.openxmlformats.org/officeDocument/2006/relationships/hyperlink" Target="https://www.roadsafetysweden.com/contentassets/b37f0951c837443eb9661668d5be439e/stockholm-declaration-english.pdf" TargetMode="External"/><Relationship Id="rId47" Type="http://schemas.openxmlformats.org/officeDocument/2006/relationships/hyperlink" Target="https://cdn.who.int/media/docs/default-source/documents/health-topics/road-traffic-injuries/global-plan-for-road-safety.pdf?sfvrsn=65cf34c8_33&amp;download=true" TargetMode="External"/><Relationship Id="rId50" Type="http://schemas.openxmlformats.org/officeDocument/2006/relationships/footer" Target="footer2.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chart" Target="charts/chart1.xml"/><Relationship Id="rId29" Type="http://schemas.openxmlformats.org/officeDocument/2006/relationships/image" Target="media/image10.png"/><Relationship Id="rId11" Type="http://schemas.openxmlformats.org/officeDocument/2006/relationships/footnotes" Target="footnotes.xml"/><Relationship Id="rId24" Type="http://schemas.openxmlformats.org/officeDocument/2006/relationships/chart" Target="charts/chart7.xml"/><Relationship Id="rId32" Type="http://schemas.openxmlformats.org/officeDocument/2006/relationships/image" Target="media/image13.jpg"/><Relationship Id="rId37" Type="http://schemas.openxmlformats.org/officeDocument/2006/relationships/hyperlink" Target="https://roadsafety.piarc.org/en/road-safety-management-safe-system-approach/safe-system-principles" TargetMode="External"/><Relationship Id="rId40" Type="http://schemas.openxmlformats.org/officeDocument/2006/relationships/hyperlink" Target="https://cdn.who.int/media/docs/default-source/documents/un-road-safety-collaboration/moscow_declaration_en.pdf" TargetMode="External"/><Relationship Id="rId45" Type="http://schemas.openxmlformats.org/officeDocument/2006/relationships/hyperlink" Target="https://www.who.int/publications/m/item/decade-of-action-for-road-safety-2011-2020---global-launch"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6.jpeg"/><Relationship Id="rId28" Type="http://schemas.openxmlformats.org/officeDocument/2006/relationships/hyperlink" Target="https://www.krbrd.gov.pl/wp-content/uploads/2022/05/EU-Road-Safety-Policy-Framework-2021-2030.pdf" TargetMode="External"/><Relationship Id="rId36" Type="http://schemas.openxmlformats.org/officeDocument/2006/relationships/hyperlink" Target="https://iris.who.int/bitstream/handle/10665/375016/9789240086517-eng.pdf?sequence=1" TargetMode="External"/><Relationship Id="rId49"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chart" Target="charts/chart3.xml"/><Relationship Id="rId31" Type="http://schemas.openxmlformats.org/officeDocument/2006/relationships/image" Target="media/image12.jpeg"/><Relationship Id="rId44" Type="http://schemas.openxmlformats.org/officeDocument/2006/relationships/hyperlink" Target="https://eumos.eu/wpcontent/uploads/2017/07/Valletta_Declaration_on_Improving_Road_Safety.pdf"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3.png"/><Relationship Id="rId22" Type="http://schemas.openxmlformats.org/officeDocument/2006/relationships/chart" Target="charts/chart6.xml"/><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yperlink" Target="https://data.europa.eu/doi/10.2832/261629" TargetMode="External"/><Relationship Id="rId43" Type="http://schemas.openxmlformats.org/officeDocument/2006/relationships/hyperlink" Target="https://sustainabledevelopment.un.org/content/documents/21252030%20Agenda%20for%20Sustainable%20Development%20web.pdf" TargetMode="External"/><Relationship Id="rId48" Type="http://schemas.openxmlformats.org/officeDocument/2006/relationships/hyperlink" Target="https://app.powerbi.com/view?r=eyJrIjoiYTI1MDg4NDgtM2VhYS00ZTA2LTg1NWEtMjEzMzIxNmUzOTk1IiwidCI6IjlkMWIxYjIyLWE5ZTAtNDg1Mi1hMTEwLWZlYzRmZDc1N2M2ZSIsImMiOjh9" TargetMode="External"/><Relationship Id="rId8" Type="http://schemas.openxmlformats.org/officeDocument/2006/relationships/styles" Target="styl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image" Target="media/image7.png"/><Relationship Id="rId33" Type="http://schemas.openxmlformats.org/officeDocument/2006/relationships/image" Target="media/image14.jpg"/><Relationship Id="rId38" Type="http://schemas.openxmlformats.org/officeDocument/2006/relationships/hyperlink" Target="https://www.transport-community.org/wp-content/uploads/2020/04/Road-Safety-Action-Plan.pdf" TargetMode="External"/><Relationship Id="rId46" Type="http://schemas.openxmlformats.org/officeDocument/2006/relationships/hyperlink" Target="https://cdn.who.int/media/docs/default-source/documents/un-road-safety-collaboration/global_plan_doa_2011-2020.pdf?sfvrsn=a34009ff_3&amp;download=true" TargetMode="External"/><Relationship Id="rId20" Type="http://schemas.openxmlformats.org/officeDocument/2006/relationships/chart" Target="charts/chart4.xml"/><Relationship Id="rId41" Type="http://schemas.openxmlformats.org/officeDocument/2006/relationships/hyperlink" Target="https://undocs.org/en/A/RES/74/299" TargetMode="Externa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3" Type="http://schemas.openxmlformats.org/officeDocument/2006/relationships/hyperlink" Target="https://road-safety.transport.ec.europa.eu/document/download/b4b82a6b-9e1f-4934-97bf-c0754ef19278_en?filename=Baseline_conclusions_and_recommendations.pdf" TargetMode="External"/><Relationship Id="rId2" Type="http://schemas.openxmlformats.org/officeDocument/2006/relationships/hyperlink" Target="http://publications.europa.eu/resource/cellar/e021854b-a451-11e9-9d01-01aa75ed71a1.0001.01/DOC_1" TargetMode="External"/><Relationship Id="rId1" Type="http://schemas.openxmlformats.org/officeDocument/2006/relationships/hyperlink" Target="https://resources.irap.org/Research/iRAP_report_the_true_cost_of_road_crashes_EN.pdf?_gl=1*1wilnzn*_ga*NzQxMTcyMzMxLjE3MzkzNTA1OTA.*_ga_HK6PSM29PR*MTc0NDAyMTY0OC4zLjEuMTc0NDAyMTczOS4wLjAuM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Modelli\DocumVuoto.do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C:/Users/LENOVO/Documents/28%20IRD/ALB%202024/04%20Component%201/02%20Work/Task%202%20-%20RSM%20gap%20analysis/Sub-task%202.3%20-%20Strategies%20focus%20on%20RS%20analysis/01%20Support%20docs/Robert/Fatalities_per_pop_2010-23_public_graf%20-%20v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C:/Users/strah/AppData/Local/Microsoft/Windows/INetCache/Content.Outlook/CIANR01I/Reports%202021-2024%20Dejan.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C:/Users/strah/AppData/Local/Microsoft/Windows/INetCache/Content.Outlook/CIANR01I/Reports%202021-2024%20Dejan.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C:/Users/strah/AppData/Local/Microsoft/Windows/INetCache/Content.Outlook/CIANR01I/Reports%202021-2024%20Dejan.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C:/Users/strah/AppData/Local/Microsoft/Windows/INetCache/Content.Outlook/CIANR01I/Reports%202021-2024%20Dejan.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C:/Users/strah/AppData/Local/Microsoft/Windows/INetCache/Content.Outlook/CIANR01I/Reports%202021-2024%20Dejan.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C:/Users/strah/AppData/Local/Microsoft/Windows/INetCache/Content.Outlook/CIANR01I/Reports%202021-2024%20Dej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050" b="1" i="0" u="none" strike="noStrike" kern="1200" cap="all" spc="120" normalizeH="0" baseline="0">
                <a:solidFill>
                  <a:schemeClr val="tx1">
                    <a:lumMod val="65000"/>
                    <a:lumOff val="35000"/>
                  </a:schemeClr>
                </a:solidFill>
                <a:latin typeface="+mn-lt"/>
                <a:ea typeface="+mn-ea"/>
                <a:cs typeface="+mn-cs"/>
              </a:defRPr>
            </a:pPr>
            <a:r>
              <a:rPr lang="en-US" sz="1050" b="1" i="0" u="none" strike="noStrike" cap="all" normalizeH="0" baseline="0">
                <a:effectLst/>
              </a:rPr>
              <a:t>FataliTete NE RRUGE PER MILION BANORE </a:t>
            </a:r>
            <a:r>
              <a:rPr lang="sl-SI" sz="1050" b="1" i="0" u="none" strike="noStrike" cap="all" normalizeH="0" baseline="0">
                <a:effectLst/>
              </a:rPr>
              <a:t>(2023)</a:t>
            </a:r>
            <a:endParaRPr lang="sl-SI" sz="1050"/>
          </a:p>
        </c:rich>
      </c:tx>
      <c:layout>
        <c:manualLayout>
          <c:xMode val="edge"/>
          <c:yMode val="edge"/>
          <c:x val="0.22090342793543019"/>
          <c:y val="1.620964473861948E-2"/>
        </c:manualLayout>
      </c:layout>
      <c:overlay val="0"/>
      <c:spPr>
        <a:noFill/>
        <a:ln>
          <a:noFill/>
        </a:ln>
        <a:effectLst/>
      </c:spPr>
      <c:txPr>
        <a:bodyPr rot="0" spcFirstLastPara="1" vertOverflow="ellipsis" vert="horz" wrap="square" anchor="ctr" anchorCtr="1"/>
        <a:lstStyle/>
        <a:p>
          <a:pPr>
            <a:defRPr sz="1050" b="1" i="0" u="none" strike="noStrike" kern="1200" cap="all" spc="120" normalizeH="0" baseline="0">
              <a:solidFill>
                <a:schemeClr val="tx1">
                  <a:lumMod val="65000"/>
                  <a:lumOff val="35000"/>
                </a:schemeClr>
              </a:solidFill>
              <a:latin typeface="+mn-lt"/>
              <a:ea typeface="+mn-ea"/>
              <a:cs typeface="+mn-cs"/>
            </a:defRPr>
          </a:pPr>
          <a:endParaRPr lang="sq-AL"/>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701401686491318"/>
          <c:y val="8.7065637065637067E-2"/>
          <c:w val="0.81512377442181427"/>
          <c:h val="0.87754182754182752"/>
        </c:manualLayout>
      </c:layout>
      <c:bar3DChart>
        <c:barDir val="bar"/>
        <c:grouping val="stacked"/>
        <c:varyColors val="0"/>
        <c:ser>
          <c:idx val="0"/>
          <c:order val="0"/>
          <c:spPr>
            <a:solidFill>
              <a:schemeClr val="accent1"/>
            </a:solidFill>
            <a:ln>
              <a:noFill/>
            </a:ln>
            <a:effectLst/>
            <a:sp3d/>
          </c:spPr>
          <c:invertIfNegative val="0"/>
          <c:dPt>
            <c:idx val="17"/>
            <c:invertIfNegative val="0"/>
            <c:bubble3D val="0"/>
            <c:spPr>
              <a:solidFill>
                <a:srgbClr val="00B050"/>
              </a:solidFill>
              <a:ln>
                <a:noFill/>
              </a:ln>
              <a:effectLst/>
              <a:sp3d/>
            </c:spPr>
            <c:extLst>
              <c:ext xmlns:c16="http://schemas.microsoft.com/office/drawing/2014/chart" uri="{C3380CC4-5D6E-409C-BE32-E72D297353CC}">
                <c16:uniqueId val="{00000001-EFA0-420F-A6E9-46F2B14E5742}"/>
              </c:ext>
            </c:extLst>
          </c:dPt>
          <c:dPt>
            <c:idx val="27"/>
            <c:invertIfNegative val="0"/>
            <c:bubble3D val="0"/>
            <c:spPr>
              <a:solidFill>
                <a:srgbClr val="FF0000"/>
              </a:solidFill>
              <a:ln>
                <a:noFill/>
              </a:ln>
              <a:effectLst/>
              <a:sp3d/>
            </c:spPr>
            <c:extLst>
              <c:ext xmlns:c16="http://schemas.microsoft.com/office/drawing/2014/chart" uri="{C3380CC4-5D6E-409C-BE32-E72D297353CC}">
                <c16:uniqueId val="{00000003-EFA0-420F-A6E9-46F2B14E5742}"/>
              </c:ext>
            </c:extLst>
          </c:dPt>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List3!$B$3:$B$34</c:f>
              <c:strCache>
                <c:ptCount val="32"/>
                <c:pt idx="0">
                  <c:v>Norway</c:v>
                </c:pt>
                <c:pt idx="1">
                  <c:v>Iceland</c:v>
                </c:pt>
                <c:pt idx="2">
                  <c:v>Sweden</c:v>
                </c:pt>
                <c:pt idx="3">
                  <c:v>Switzerland</c:v>
                </c:pt>
                <c:pt idx="4">
                  <c:v>Denmark</c:v>
                </c:pt>
                <c:pt idx="5">
                  <c:v>Malta</c:v>
                </c:pt>
                <c:pt idx="6">
                  <c:v>Finland</c:v>
                </c:pt>
                <c:pt idx="7">
                  <c:v>Netherlands</c:v>
                </c:pt>
                <c:pt idx="8">
                  <c:v>Germany</c:v>
                </c:pt>
                <c:pt idx="9">
                  <c:v>Ireland</c:v>
                </c:pt>
                <c:pt idx="10">
                  <c:v>Cyprus</c:v>
                </c:pt>
                <c:pt idx="11">
                  <c:v>Spain</c:v>
                </c:pt>
                <c:pt idx="12">
                  <c:v>Slovenia</c:v>
                </c:pt>
                <c:pt idx="13">
                  <c:v>Luxembourg</c:v>
                </c:pt>
                <c:pt idx="14">
                  <c:v>Estonia</c:v>
                </c:pt>
                <c:pt idx="15">
                  <c:v>Belgium</c:v>
                </c:pt>
                <c:pt idx="16">
                  <c:v>Austria</c:v>
                </c:pt>
                <c:pt idx="17">
                  <c:v>EU-27</c:v>
                </c:pt>
                <c:pt idx="18">
                  <c:v>Czech Republic</c:v>
                </c:pt>
                <c:pt idx="19">
                  <c:v>France</c:v>
                </c:pt>
                <c:pt idx="20">
                  <c:v>Slovakia</c:v>
                </c:pt>
                <c:pt idx="21">
                  <c:v>Hungary</c:v>
                </c:pt>
                <c:pt idx="22">
                  <c:v>Italy</c:v>
                </c:pt>
                <c:pt idx="23">
                  <c:v>Poland</c:v>
                </c:pt>
                <c:pt idx="24">
                  <c:v>Lithuania</c:v>
                </c:pt>
                <c:pt idx="25">
                  <c:v>Greece</c:v>
                </c:pt>
                <c:pt idx="26">
                  <c:v>Portugal</c:v>
                </c:pt>
                <c:pt idx="27">
                  <c:v>Albania</c:v>
                </c:pt>
                <c:pt idx="28">
                  <c:v>Croatia</c:v>
                </c:pt>
                <c:pt idx="29">
                  <c:v>Latvia</c:v>
                </c:pt>
                <c:pt idx="30">
                  <c:v>Romania</c:v>
                </c:pt>
                <c:pt idx="31">
                  <c:v>Bulgaria</c:v>
                </c:pt>
              </c:strCache>
            </c:strRef>
          </c:cat>
          <c:val>
            <c:numRef>
              <c:f>List3!$C$3:$C$34</c:f>
              <c:numCache>
                <c:formatCode>General</c:formatCode>
                <c:ptCount val="32"/>
                <c:pt idx="0">
                  <c:v>20</c:v>
                </c:pt>
                <c:pt idx="1">
                  <c:v>21</c:v>
                </c:pt>
                <c:pt idx="2">
                  <c:v>22</c:v>
                </c:pt>
                <c:pt idx="3">
                  <c:v>27</c:v>
                </c:pt>
                <c:pt idx="4">
                  <c:v>27</c:v>
                </c:pt>
                <c:pt idx="5">
                  <c:v>30</c:v>
                </c:pt>
                <c:pt idx="6">
                  <c:v>33</c:v>
                </c:pt>
                <c:pt idx="7">
                  <c:v>34</c:v>
                </c:pt>
                <c:pt idx="8">
                  <c:v>34</c:v>
                </c:pt>
                <c:pt idx="9">
                  <c:v>35</c:v>
                </c:pt>
                <c:pt idx="10">
                  <c:v>37</c:v>
                </c:pt>
                <c:pt idx="11">
                  <c:v>38</c:v>
                </c:pt>
                <c:pt idx="12">
                  <c:v>39</c:v>
                </c:pt>
                <c:pt idx="13">
                  <c:v>39</c:v>
                </c:pt>
                <c:pt idx="14">
                  <c:v>43</c:v>
                </c:pt>
                <c:pt idx="15">
                  <c:v>43</c:v>
                </c:pt>
                <c:pt idx="16">
                  <c:v>44</c:v>
                </c:pt>
                <c:pt idx="17">
                  <c:v>46</c:v>
                </c:pt>
                <c:pt idx="18">
                  <c:v>46</c:v>
                </c:pt>
                <c:pt idx="19">
                  <c:v>48</c:v>
                </c:pt>
                <c:pt idx="20">
                  <c:v>49</c:v>
                </c:pt>
                <c:pt idx="21">
                  <c:v>49</c:v>
                </c:pt>
                <c:pt idx="22">
                  <c:v>52</c:v>
                </c:pt>
                <c:pt idx="23">
                  <c:v>52</c:v>
                </c:pt>
                <c:pt idx="24">
                  <c:v>56</c:v>
                </c:pt>
                <c:pt idx="25">
                  <c:v>61</c:v>
                </c:pt>
                <c:pt idx="26">
                  <c:v>61</c:v>
                </c:pt>
                <c:pt idx="27">
                  <c:v>70</c:v>
                </c:pt>
                <c:pt idx="28">
                  <c:v>71</c:v>
                </c:pt>
                <c:pt idx="29">
                  <c:v>75</c:v>
                </c:pt>
                <c:pt idx="30">
                  <c:v>81</c:v>
                </c:pt>
                <c:pt idx="31">
                  <c:v>82</c:v>
                </c:pt>
              </c:numCache>
            </c:numRef>
          </c:val>
          <c:extLst>
            <c:ext xmlns:c16="http://schemas.microsoft.com/office/drawing/2014/chart" uri="{C3380CC4-5D6E-409C-BE32-E72D297353CC}">
              <c16:uniqueId val="{00000004-EFA0-420F-A6E9-46F2B14E5742}"/>
            </c:ext>
          </c:extLst>
        </c:ser>
        <c:dLbls>
          <c:showLegendKey val="0"/>
          <c:showVal val="1"/>
          <c:showCatName val="0"/>
          <c:showSerName val="0"/>
          <c:showPercent val="0"/>
          <c:showBubbleSize val="0"/>
        </c:dLbls>
        <c:gapWidth val="79"/>
        <c:shape val="box"/>
        <c:axId val="1869458367"/>
        <c:axId val="1935212927"/>
        <c:axId val="0"/>
      </c:bar3DChart>
      <c:catAx>
        <c:axId val="1869458367"/>
        <c:scaling>
          <c:orientation val="minMax"/>
        </c:scaling>
        <c:delete val="0"/>
        <c:axPos val="l"/>
        <c:majorGridlines>
          <c:spPr>
            <a:ln w="9525" cap="flat" cmpd="sng" algn="ctr">
              <a:solidFill>
                <a:schemeClr val="tx1">
                  <a:lumMod val="15000"/>
                  <a:lumOff val="85000"/>
                </a:schemeClr>
              </a:solidFill>
              <a:round/>
            </a:ln>
            <a:effectLst>
              <a:innerShdw blurRad="114300">
                <a:prstClr val="black"/>
              </a:innerShdw>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cap="all" spc="120" normalizeH="0" baseline="0">
                <a:solidFill>
                  <a:schemeClr val="tx1">
                    <a:lumMod val="65000"/>
                    <a:lumOff val="35000"/>
                  </a:schemeClr>
                </a:solidFill>
                <a:latin typeface="+mn-lt"/>
                <a:ea typeface="+mn-ea"/>
                <a:cs typeface="+mn-cs"/>
              </a:defRPr>
            </a:pPr>
            <a:endParaRPr lang="sq-AL"/>
          </a:p>
        </c:txPr>
        <c:crossAx val="1935212927"/>
        <c:crosses val="autoZero"/>
        <c:auto val="0"/>
        <c:lblAlgn val="ctr"/>
        <c:lblOffset val="100"/>
        <c:noMultiLvlLbl val="0"/>
      </c:catAx>
      <c:valAx>
        <c:axId val="1935212927"/>
        <c:scaling>
          <c:orientation val="minMax"/>
        </c:scaling>
        <c:delete val="1"/>
        <c:axPos val="b"/>
        <c:numFmt formatCode="General" sourceLinked="1"/>
        <c:majorTickMark val="none"/>
        <c:minorTickMark val="none"/>
        <c:tickLblPos val="nextTo"/>
        <c:crossAx val="1869458367"/>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pPr>
      <a:endParaRPr lang="sq-A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r>
              <a:rPr lang="en-GB" sz="1100" b="1" i="0" u="none" strike="noStrike" baseline="0">
                <a:solidFill>
                  <a:srgbClr val="002060"/>
                </a:solidFill>
                <a:effectLst/>
                <a:latin typeface="Arial" panose="020B0604020202020204" pitchFamily="34" charset="0"/>
                <a:cs typeface="Arial" panose="020B0604020202020204" pitchFamily="34" charset="0"/>
              </a:rPr>
              <a:t>Fatalitetet e përdoruesve të rrugës</a:t>
            </a:r>
            <a:r>
              <a:rPr lang="sl-SI" sz="1100" b="1" i="0" u="none" strike="noStrike" baseline="0">
                <a:solidFill>
                  <a:srgbClr val="002060"/>
                </a:solidFill>
                <a:effectLst/>
                <a:latin typeface="Arial" panose="020B0604020202020204" pitchFamily="34" charset="0"/>
                <a:cs typeface="Arial" panose="020B0604020202020204" pitchFamily="34" charset="0"/>
              </a:rPr>
              <a:t> (</a:t>
            </a:r>
            <a:r>
              <a:rPr lang="en-GB" sz="1100" b="1" i="0" u="none" strike="noStrike" baseline="0">
                <a:solidFill>
                  <a:srgbClr val="002060"/>
                </a:solidFill>
                <a:effectLst/>
                <a:latin typeface="Arial" panose="020B0604020202020204" pitchFamily="34" charset="0"/>
                <a:cs typeface="Arial" panose="020B0604020202020204" pitchFamily="34" charset="0"/>
              </a:rPr>
              <a:t>2021</a:t>
            </a:r>
            <a:r>
              <a:rPr lang="sq-AL" sz="1100" b="1" i="0" u="none" strike="noStrike" baseline="0">
                <a:effectLst/>
              </a:rPr>
              <a:t>–</a:t>
            </a:r>
            <a:r>
              <a:rPr lang="en-GB" sz="1100" b="1" i="0" u="none" strike="noStrike" baseline="0">
                <a:solidFill>
                  <a:srgbClr val="002060"/>
                </a:solidFill>
                <a:effectLst/>
                <a:latin typeface="Arial" panose="020B0604020202020204" pitchFamily="34" charset="0"/>
                <a:cs typeface="Arial" panose="020B0604020202020204" pitchFamily="34" charset="0"/>
              </a:rPr>
              <a:t>2024</a:t>
            </a:r>
            <a:r>
              <a:rPr lang="sl-SI" sz="1100" b="1" i="0" u="none" strike="noStrike" baseline="0">
                <a:solidFill>
                  <a:srgbClr val="002060"/>
                </a:solidFill>
                <a:effectLst/>
                <a:latin typeface="Arial" panose="020B0604020202020204" pitchFamily="34" charset="0"/>
                <a:cs typeface="Arial" panose="020B0604020202020204" pitchFamily="34" charset="0"/>
              </a:rPr>
              <a:t>)</a:t>
            </a:r>
            <a:endParaRPr lang="en-US" sz="1100">
              <a:solidFill>
                <a:srgbClr val="002060"/>
              </a:solidFill>
              <a:latin typeface="Arial" panose="020B0604020202020204" pitchFamily="34" charset="0"/>
              <a:cs typeface="Arial" panose="020B0604020202020204" pitchFamily="34" charset="0"/>
            </a:endParaRPr>
          </a:p>
        </c:rich>
      </c:tx>
      <c:layout>
        <c:manualLayout>
          <c:xMode val="edge"/>
          <c:yMode val="edge"/>
          <c:x val="0.2416602130616026"/>
          <c:y val="8.3150747460915206E-3"/>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endParaRPr lang="sq-AL"/>
        </a:p>
      </c:txPr>
    </c:title>
    <c:autoTitleDeleted val="0"/>
    <c:plotArea>
      <c:layout/>
      <c:pieChart>
        <c:varyColors val="1"/>
        <c:ser>
          <c:idx val="0"/>
          <c:order val="0"/>
          <c:tx>
            <c:strRef>
              <c:f>'1'!$B$3</c:f>
              <c:strCache>
                <c:ptCount val="1"/>
                <c:pt idx="0">
                  <c:v>Fatalities</c:v>
                </c:pt>
              </c:strCache>
            </c:strRef>
          </c:tx>
          <c:spPr>
            <a:effectLst>
              <a:outerShdw blurRad="63500" sx="102000" sy="102000" algn="ctr" rotWithShape="0">
                <a:prstClr val="black">
                  <a:alpha val="40000"/>
                </a:prstClr>
              </a:outerShdw>
            </a:effectLst>
          </c:spPr>
          <c:dPt>
            <c:idx val="0"/>
            <c:bubble3D val="0"/>
            <c:spPr>
              <a:solidFill>
                <a:schemeClr val="accent1"/>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1-CFF6-465D-889A-5666375D166A}"/>
              </c:ext>
            </c:extLst>
          </c:dPt>
          <c:dPt>
            <c:idx val="1"/>
            <c:bubble3D val="0"/>
            <c:spPr>
              <a:solidFill>
                <a:srgbClr val="E0823C"/>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3-CFF6-465D-889A-5666375D166A}"/>
              </c:ext>
            </c:extLst>
          </c:dPt>
          <c:dPt>
            <c:idx val="2"/>
            <c:bubble3D val="0"/>
            <c:spPr>
              <a:solidFill>
                <a:srgbClr val="00B0F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5-CFF6-465D-889A-5666375D166A}"/>
              </c:ext>
            </c:extLst>
          </c:dPt>
          <c:dPt>
            <c:idx val="3"/>
            <c:bubble3D val="0"/>
            <c:spPr>
              <a:solidFill>
                <a:srgbClr val="00B05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7-CFF6-465D-889A-5666375D166A}"/>
              </c:ext>
            </c:extLst>
          </c:dPt>
          <c:dPt>
            <c:idx val="4"/>
            <c:bubble3D val="0"/>
            <c:spPr>
              <a:solidFill>
                <a:srgbClr val="0070C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9-CFF6-465D-889A-5666375D166A}"/>
              </c:ext>
            </c:extLst>
          </c:dPt>
          <c:dPt>
            <c:idx val="5"/>
            <c:bubble3D val="0"/>
            <c:spPr>
              <a:solidFill>
                <a:srgbClr val="FF000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B-CFF6-465D-889A-5666375D166A}"/>
              </c:ext>
            </c:extLst>
          </c:dPt>
          <c:dLbls>
            <c:dLbl>
              <c:idx val="0"/>
              <c:layout>
                <c:manualLayout>
                  <c:x val="6.6617245136742886E-2"/>
                  <c:y val="2.0253164556962019E-2"/>
                </c:manualLayout>
              </c:layout>
              <c:tx>
                <c:rich>
                  <a:bodyPr/>
                  <a:lstStyle/>
                  <a:p>
                    <a:r>
                      <a:rPr lang="en-US" b="1" baseline="0"/>
                      <a:t>Çiklist
</a:t>
                    </a:r>
                    <a:fld id="{627CFE43-3A2C-4496-9A63-D3A1CD88C25F}" type="PERCENTAGE">
                      <a:rPr lang="en-US" b="1" baseline="0"/>
                      <a:pPr/>
                      <a:t>[PERCENTAGE]</a:t>
                    </a:fld>
                    <a:endParaRPr lang="en-US" b="1"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8.8198054654932828E-2"/>
                      <c:h val="0.10478146753394954"/>
                    </c:manualLayout>
                  </c15:layout>
                  <c15:dlblFieldTable/>
                  <c15:showDataLabelsRange val="0"/>
                </c:ext>
                <c:ext xmlns:c16="http://schemas.microsoft.com/office/drawing/2014/chart" uri="{C3380CC4-5D6E-409C-BE32-E72D297353CC}">
                  <c16:uniqueId val="{00000001-CFF6-465D-889A-5666375D166A}"/>
                </c:ext>
              </c:extLst>
            </c:dLbl>
            <c:dLbl>
              <c:idx val="1"/>
              <c:tx>
                <c:rich>
                  <a:bodyPr/>
                  <a:lstStyle/>
                  <a:p>
                    <a:r>
                      <a:rPr lang="en-US" b="1" baseline="0"/>
                      <a:t>Drejtues i mjetit </a:t>
                    </a:r>
                    <a:fld id="{6F63EED9-9BC2-495A-B27E-6B00D43E0F55}" type="PERCENTAGE">
                      <a:rPr lang="en-US" b="1" baseline="0"/>
                      <a:pPr/>
                      <a:t>[PERCENTAGE]</a:t>
                    </a:fld>
                    <a:r>
                      <a:rPr lang="en-US" b="1" baseline="0"/>
                      <a:t> </a:t>
                    </a:r>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CFF6-465D-889A-5666375D166A}"/>
                </c:ext>
              </c:extLst>
            </c:dLbl>
            <c:dLbl>
              <c:idx val="2"/>
              <c:tx>
                <c:rich>
                  <a:bodyPr/>
                  <a:lstStyle/>
                  <a:p>
                    <a:r>
                      <a:rPr lang="en-US" b="1" baseline="0"/>
                      <a:t>Motoçiklist </a:t>
                    </a:r>
                  </a:p>
                  <a:p>
                    <a:fld id="{731C046B-CE25-4526-95D2-4F03B2B48250}" type="PERCENTAGE">
                      <a:rPr lang="en-US" b="1" baseline="0"/>
                      <a:pPr/>
                      <a:t>[PERCENTAGE]</a:t>
                    </a:fld>
                    <a:endParaRPr lang="sq-AL"/>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FF6-465D-889A-5666375D166A}"/>
                </c:ext>
              </c:extLst>
            </c:dLbl>
            <c:dLbl>
              <c:idx val="3"/>
              <c:layout>
                <c:manualLayout>
                  <c:x val="-7.0588235294118508E-3"/>
                  <c:y val="0"/>
                </c:manualLayout>
              </c:layout>
              <c:tx>
                <c:rich>
                  <a:bodyPr/>
                  <a:lstStyle/>
                  <a:p>
                    <a:r>
                      <a:rPr lang="en-US" b="1" baseline="0"/>
                      <a:t>Të tjerë </a:t>
                    </a:r>
                  </a:p>
                  <a:p>
                    <a:fld id="{FCED64ED-0216-4797-955E-B95962BCF6C5}" type="PERCENTAGE">
                      <a:rPr lang="en-US" b="1" baseline="0"/>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CFF6-465D-889A-5666375D166A}"/>
                </c:ext>
              </c:extLst>
            </c:dLbl>
            <c:dLbl>
              <c:idx val="4"/>
              <c:tx>
                <c:rich>
                  <a:bodyPr/>
                  <a:lstStyle/>
                  <a:p>
                    <a:r>
                      <a:rPr lang="en-US" b="1" baseline="0"/>
                      <a:t>Pasagjer </a:t>
                    </a:r>
                    <a:fld id="{BA1281DD-22DF-4271-84D8-CF8FBE667B4E}" type="PERCENTAGE">
                      <a:rPr lang="en-US" b="1" baseline="0"/>
                      <a:pPr/>
                      <a:t>[PERCENTAGE]</a:t>
                    </a:fld>
                    <a:endParaRPr lang="en-US" b="1"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CFF6-465D-889A-5666375D166A}"/>
                </c:ext>
              </c:extLst>
            </c:dLbl>
            <c:dLbl>
              <c:idx val="5"/>
              <c:tx>
                <c:rich>
                  <a:bodyPr/>
                  <a:lstStyle/>
                  <a:p>
                    <a:r>
                      <a:rPr lang="en-US" b="1" baseline="0"/>
                      <a:t>Këmbësor </a:t>
                    </a:r>
                    <a:fld id="{841FCFB6-32E3-4CD1-B8F3-41565915E7C9}" type="PERCENTAGE">
                      <a:rPr lang="en-US" b="1" baseline="0"/>
                      <a:pPr/>
                      <a:t>[PERCENTAGE]</a:t>
                    </a:fld>
                    <a:endParaRPr lang="en-US" b="1"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CFF6-465D-889A-5666375D166A}"/>
                </c:ext>
              </c:extLst>
            </c:dLbl>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'1'!$A$4:$A$9</c:f>
              <c:strCache>
                <c:ptCount val="6"/>
                <c:pt idx="0">
                  <c:v>Cyclist</c:v>
                </c:pt>
                <c:pt idx="1">
                  <c:v>Driver</c:v>
                </c:pt>
                <c:pt idx="2">
                  <c:v>Motocyclist</c:v>
                </c:pt>
                <c:pt idx="3">
                  <c:v>Other</c:v>
                </c:pt>
                <c:pt idx="4">
                  <c:v>Passanger</c:v>
                </c:pt>
                <c:pt idx="5">
                  <c:v>Pedestrian</c:v>
                </c:pt>
              </c:strCache>
            </c:strRef>
          </c:cat>
          <c:val>
            <c:numRef>
              <c:f>'1'!$B$4:$B$9</c:f>
              <c:numCache>
                <c:formatCode>General</c:formatCode>
                <c:ptCount val="6"/>
                <c:pt idx="0">
                  <c:v>57</c:v>
                </c:pt>
                <c:pt idx="1">
                  <c:v>177</c:v>
                </c:pt>
                <c:pt idx="2">
                  <c:v>92</c:v>
                </c:pt>
                <c:pt idx="3">
                  <c:v>8</c:v>
                </c:pt>
                <c:pt idx="4">
                  <c:v>141</c:v>
                </c:pt>
                <c:pt idx="5">
                  <c:v>246</c:v>
                </c:pt>
              </c:numCache>
            </c:numRef>
          </c:val>
          <c:extLst>
            <c:ext xmlns:c16="http://schemas.microsoft.com/office/drawing/2014/chart" uri="{C3380CC4-5D6E-409C-BE32-E72D297353CC}">
              <c16:uniqueId val="{0000000C-CFF6-465D-889A-5666375D166A}"/>
            </c:ext>
          </c:extLst>
        </c:ser>
        <c:ser>
          <c:idx val="1"/>
          <c:order val="1"/>
          <c:tx>
            <c:strRef>
              <c:f>'1'!$C$3</c:f>
              <c:strCache>
                <c:ptCount val="1"/>
                <c:pt idx="0">
                  <c:v>Fatalities in %</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CFF6-465D-889A-5666375D166A}"/>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CFF6-465D-889A-5666375D166A}"/>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CFF6-465D-889A-5666375D166A}"/>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CFF6-465D-889A-5666375D166A}"/>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6-CFF6-465D-889A-5666375D166A}"/>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8-CFF6-465D-889A-5666375D166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q-AL"/>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'1'!$A$4:$A$9</c:f>
              <c:strCache>
                <c:ptCount val="6"/>
                <c:pt idx="0">
                  <c:v>Cyclist</c:v>
                </c:pt>
                <c:pt idx="1">
                  <c:v>Driver</c:v>
                </c:pt>
                <c:pt idx="2">
                  <c:v>Motocyclist</c:v>
                </c:pt>
                <c:pt idx="3">
                  <c:v>Other</c:v>
                </c:pt>
                <c:pt idx="4">
                  <c:v>Passanger</c:v>
                </c:pt>
                <c:pt idx="5">
                  <c:v>Pedestrian</c:v>
                </c:pt>
              </c:strCache>
            </c:strRef>
          </c:cat>
          <c:val>
            <c:numRef>
              <c:f>'1'!$C$4:$C$9</c:f>
              <c:numCache>
                <c:formatCode>0%</c:formatCode>
                <c:ptCount val="6"/>
                <c:pt idx="0">
                  <c:v>7.9056865464632461E-2</c:v>
                </c:pt>
                <c:pt idx="1">
                  <c:v>0.24549237170596394</c:v>
                </c:pt>
                <c:pt idx="2">
                  <c:v>0.1276005547850208</c:v>
                </c:pt>
                <c:pt idx="3">
                  <c:v>1.1095700416088766E-2</c:v>
                </c:pt>
                <c:pt idx="4">
                  <c:v>0.19556171983356449</c:v>
                </c:pt>
                <c:pt idx="5">
                  <c:v>0.34119278779472956</c:v>
                </c:pt>
              </c:numCache>
            </c:numRef>
          </c:val>
          <c:extLst>
            <c:ext xmlns:c16="http://schemas.microsoft.com/office/drawing/2014/chart" uri="{C3380CC4-5D6E-409C-BE32-E72D297353CC}">
              <c16:uniqueId val="{00000019-CFF6-465D-889A-5666375D166A}"/>
            </c:ext>
          </c:extLst>
        </c:ser>
        <c:dLbls>
          <c:dLblPos val="inEnd"/>
          <c:showLegendKey val="0"/>
          <c:showVal val="0"/>
          <c:showCatName val="0"/>
          <c:showSerName val="0"/>
          <c:showPercent val="1"/>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sq-A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GB" sz="1100" b="1">
                <a:solidFill>
                  <a:srgbClr val="002060"/>
                </a:solidFill>
                <a:effectLst/>
                <a:latin typeface="Arial" panose="020B0604020202020204" pitchFamily="34" charset="0"/>
                <a:cs typeface="Arial" panose="020B0604020202020204" pitchFamily="34" charset="0"/>
              </a:rPr>
              <a:t>Lëndime të rënda dhe të lehta të përdoruesit të rrugës, </a:t>
            </a:r>
            <a:br>
              <a:rPr lang="en-GB" sz="1100" b="1">
                <a:solidFill>
                  <a:srgbClr val="002060"/>
                </a:solidFill>
                <a:effectLst/>
                <a:latin typeface="Arial" panose="020B0604020202020204" pitchFamily="34" charset="0"/>
                <a:cs typeface="Arial" panose="020B0604020202020204" pitchFamily="34" charset="0"/>
              </a:rPr>
            </a:br>
            <a:r>
              <a:rPr lang="en-GB" sz="1100" b="1">
                <a:solidFill>
                  <a:srgbClr val="002060"/>
                </a:solidFill>
                <a:effectLst/>
                <a:latin typeface="Arial" panose="020B0604020202020204" pitchFamily="34" charset="0"/>
                <a:cs typeface="Arial" panose="020B0604020202020204" pitchFamily="34" charset="0"/>
              </a:rPr>
              <a:t>2021</a:t>
            </a:r>
            <a:r>
              <a:rPr lang="sq-AL" sz="1100" b="0" i="0" u="none" strike="noStrike" baseline="0">
                <a:effectLst/>
              </a:rPr>
              <a:t>–</a:t>
            </a:r>
            <a:r>
              <a:rPr lang="en-GB" sz="1100" b="1">
                <a:solidFill>
                  <a:srgbClr val="002060"/>
                </a:solidFill>
                <a:effectLst/>
                <a:latin typeface="Arial" panose="020B0604020202020204" pitchFamily="34" charset="0"/>
                <a:cs typeface="Arial" panose="020B0604020202020204" pitchFamily="34" charset="0"/>
              </a:rPr>
              <a:t>2024</a:t>
            </a:r>
            <a:endParaRPr lang="sl-SI" sz="1100" b="1">
              <a:solidFill>
                <a:srgbClr val="002060"/>
              </a:solidFill>
              <a:effectLst/>
              <a:latin typeface="Arial" panose="020B0604020202020204" pitchFamily="34" charset="0"/>
              <a:cs typeface="Arial" panose="020B0604020202020204" pitchFamily="34" charset="0"/>
            </a:endParaRPr>
          </a:p>
        </c:rich>
      </c:tx>
      <c:layout>
        <c:manualLayout>
          <c:xMode val="edge"/>
          <c:yMode val="edge"/>
          <c:x val="0.13806325211707027"/>
          <c:y val="3.3822015342004894E-3"/>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'3'!$B$4</c:f>
              <c:strCache>
                <c:ptCount val="1"/>
                <c:pt idx="0">
                  <c:v>Injuries</c:v>
                </c:pt>
              </c:strCache>
            </c:strRef>
          </c:tx>
          <c:spPr>
            <a:effectLst>
              <a:outerShdw blurRad="63500" sx="102000" sy="102000" algn="ctr" rotWithShape="0">
                <a:prstClr val="black">
                  <a:alpha val="40000"/>
                </a:prstClr>
              </a:outerShdw>
            </a:effectLst>
          </c:spPr>
          <c:dPt>
            <c:idx val="0"/>
            <c:bubble3D val="0"/>
            <c:spPr>
              <a:solidFill>
                <a:srgbClr val="92D05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1-5441-4C20-843C-891B45927EC5}"/>
              </c:ext>
            </c:extLst>
          </c:dPt>
          <c:dPt>
            <c:idx val="1"/>
            <c:bubble3D val="0"/>
            <c:spPr>
              <a:solidFill>
                <a:schemeClr val="accent2"/>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3-5441-4C20-843C-891B45927EC5}"/>
              </c:ext>
            </c:extLst>
          </c:dPt>
          <c:dPt>
            <c:idx val="2"/>
            <c:bubble3D val="0"/>
            <c:spPr>
              <a:solidFill>
                <a:schemeClr val="accent4">
                  <a:lumMod val="50000"/>
                </a:schemeClr>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5-5441-4C20-843C-891B45927EC5}"/>
              </c:ext>
            </c:extLst>
          </c:dPt>
          <c:dPt>
            <c:idx val="3"/>
            <c:bubble3D val="0"/>
            <c:spPr>
              <a:solidFill>
                <a:srgbClr val="00B05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7-5441-4C20-843C-891B45927EC5}"/>
              </c:ext>
            </c:extLst>
          </c:dPt>
          <c:dPt>
            <c:idx val="4"/>
            <c:bubble3D val="0"/>
            <c:spPr>
              <a:solidFill>
                <a:srgbClr val="FF000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9-5441-4C20-843C-891B45927EC5}"/>
              </c:ext>
            </c:extLst>
          </c:dPt>
          <c:dPt>
            <c:idx val="5"/>
            <c:bubble3D val="0"/>
            <c:spPr>
              <a:solidFill>
                <a:schemeClr val="accent2">
                  <a:lumMod val="75000"/>
                </a:schemeClr>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B-5441-4C20-843C-891B45927EC5}"/>
              </c:ext>
            </c:extLst>
          </c:dPt>
          <c:dLbls>
            <c:dLbl>
              <c:idx val="0"/>
              <c:layout>
                <c:manualLayout>
                  <c:x val="6.3679245283018868E-2"/>
                  <c:y val="2.946593001841619E-2"/>
                </c:manualLayout>
              </c:layout>
              <c:tx>
                <c:rich>
                  <a:bodyPr/>
                  <a:lstStyle/>
                  <a:p>
                    <a:r>
                      <a:rPr lang="en-US" b="1" baseline="0"/>
                      <a:t>Çiklist </a:t>
                    </a:r>
                  </a:p>
                  <a:p>
                    <a:fld id="{8EFFD0C8-9B95-4920-837C-D638B5BE54D8}" type="PERCENTAGE">
                      <a:rPr lang="en-US" b="1" baseline="0"/>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441-4C20-843C-891B45927EC5}"/>
                </c:ext>
              </c:extLst>
            </c:dLbl>
            <c:dLbl>
              <c:idx val="1"/>
              <c:tx>
                <c:rich>
                  <a:bodyPr/>
                  <a:lstStyle/>
                  <a:p>
                    <a:r>
                      <a:rPr lang="en-US" b="1" baseline="0"/>
                      <a:t>Drejtues i mjetit</a:t>
                    </a:r>
                  </a:p>
                  <a:p>
                    <a:fld id="{3BF039FB-BCBD-4E11-AECD-2118EC35FC22}" type="PERCENTAGE">
                      <a:rPr lang="en-US" b="1" baseline="0"/>
                      <a:pPr/>
                      <a:t>[PERCENTAGE]</a:t>
                    </a:fld>
                    <a:endParaRPr lang="sq-AL"/>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441-4C20-843C-891B45927EC5}"/>
                </c:ext>
              </c:extLst>
            </c:dLbl>
            <c:dLbl>
              <c:idx val="2"/>
              <c:tx>
                <c:rich>
                  <a:bodyPr/>
                  <a:lstStyle/>
                  <a:p>
                    <a:r>
                      <a:rPr lang="en-US" b="1" baseline="0"/>
                      <a:t>Motoçiklist </a:t>
                    </a:r>
                  </a:p>
                  <a:p>
                    <a:fld id="{E210C5BC-B123-4CA8-A0CD-FF12E87A4C6A}" type="PERCENTAGE">
                      <a:rPr lang="en-US" b="1" baseline="0"/>
                      <a:pPr/>
                      <a:t>[PERCENTAGE]</a:t>
                    </a:fld>
                    <a:endParaRPr lang="sq-AL"/>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441-4C20-843C-891B45927EC5}"/>
                </c:ext>
              </c:extLst>
            </c:dLbl>
            <c:dLbl>
              <c:idx val="3"/>
              <c:tx>
                <c:rich>
                  <a:bodyPr/>
                  <a:lstStyle/>
                  <a:p>
                    <a:r>
                      <a:rPr lang="en-US" b="1" baseline="0"/>
                      <a:t>Çiklist </a:t>
                    </a:r>
                  </a:p>
                  <a:p>
                    <a:fld id="{A313D08C-EBA7-43D4-8995-28AA1859AEB9}" type="PERCENTAGE">
                      <a:rPr lang="en-US" b="1" baseline="0"/>
                      <a:pPr/>
                      <a:t>[PERCENTAGE]</a:t>
                    </a:fld>
                    <a:endParaRPr lang="sq-AL"/>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441-4C20-843C-891B45927EC5}"/>
                </c:ext>
              </c:extLst>
            </c:dLbl>
            <c:dLbl>
              <c:idx val="4"/>
              <c:tx>
                <c:rich>
                  <a:bodyPr/>
                  <a:lstStyle/>
                  <a:p>
                    <a:r>
                      <a:rPr lang="en-US" b="1" baseline="0"/>
                      <a:t>Pasagjer </a:t>
                    </a:r>
                  </a:p>
                  <a:p>
                    <a:fld id="{1605BFF2-4981-468E-AA2F-4B0001AD4733}" type="PERCENTAGE">
                      <a:rPr lang="en-US" b="1" baseline="0"/>
                      <a:pPr/>
                      <a:t>[PERCENTAGE]</a:t>
                    </a:fld>
                    <a:endParaRPr lang="sq-AL"/>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441-4C20-843C-891B45927EC5}"/>
                </c:ext>
              </c:extLst>
            </c:dLbl>
            <c:dLbl>
              <c:idx val="5"/>
              <c:tx>
                <c:rich>
                  <a:bodyPr/>
                  <a:lstStyle/>
                  <a:p>
                    <a:r>
                      <a:rPr lang="en-US" b="1" baseline="0"/>
                      <a:t>Këmbësor </a:t>
                    </a:r>
                  </a:p>
                  <a:p>
                    <a:fld id="{E805403B-1014-43BB-8FEC-26D188F3710A}" type="PERCENTAGE">
                      <a:rPr lang="en-US" b="1" baseline="0"/>
                      <a:pPr/>
                      <a:t>[PERCENTAGE]</a:t>
                    </a:fld>
                    <a:endParaRPr lang="sq-AL"/>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441-4C20-843C-891B45927EC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'3'!$A$5:$A$10</c:f>
              <c:strCache>
                <c:ptCount val="6"/>
                <c:pt idx="0">
                  <c:v>Cyclist</c:v>
                </c:pt>
                <c:pt idx="1">
                  <c:v>Driver</c:v>
                </c:pt>
                <c:pt idx="2">
                  <c:v>Motocyclist</c:v>
                </c:pt>
                <c:pt idx="3">
                  <c:v>Other</c:v>
                </c:pt>
                <c:pt idx="4">
                  <c:v>Passanger</c:v>
                </c:pt>
                <c:pt idx="5">
                  <c:v>Pedestrian</c:v>
                </c:pt>
              </c:strCache>
            </c:strRef>
          </c:cat>
          <c:val>
            <c:numRef>
              <c:f>'3'!$B$5:$B$10</c:f>
              <c:numCache>
                <c:formatCode>General</c:formatCode>
                <c:ptCount val="6"/>
                <c:pt idx="0">
                  <c:v>390</c:v>
                </c:pt>
                <c:pt idx="1">
                  <c:v>1570</c:v>
                </c:pt>
                <c:pt idx="2">
                  <c:v>1102</c:v>
                </c:pt>
                <c:pt idx="3">
                  <c:v>65</c:v>
                </c:pt>
                <c:pt idx="4">
                  <c:v>1993</c:v>
                </c:pt>
                <c:pt idx="5">
                  <c:v>1511</c:v>
                </c:pt>
              </c:numCache>
            </c:numRef>
          </c:val>
          <c:extLst>
            <c:ext xmlns:c16="http://schemas.microsoft.com/office/drawing/2014/chart" uri="{C3380CC4-5D6E-409C-BE32-E72D297353CC}">
              <c16:uniqueId val="{0000000C-5441-4C20-843C-891B45927EC5}"/>
            </c:ext>
          </c:extLst>
        </c:ser>
        <c:ser>
          <c:idx val="1"/>
          <c:order val="1"/>
          <c:tx>
            <c:strRef>
              <c:f>'3'!$C$4</c:f>
              <c:strCache>
                <c:ptCount val="1"/>
                <c:pt idx="0">
                  <c:v>Injuries in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E-5441-4C20-843C-891B45927EC5}"/>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0-5441-4C20-843C-891B45927EC5}"/>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2-5441-4C20-843C-891B45927EC5}"/>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4-5441-4C20-843C-891B45927EC5}"/>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6-5441-4C20-843C-891B45927EC5}"/>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8-5441-4C20-843C-891B45927EC5}"/>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'3'!$A$5:$A$10</c:f>
              <c:strCache>
                <c:ptCount val="6"/>
                <c:pt idx="0">
                  <c:v>Cyclist</c:v>
                </c:pt>
                <c:pt idx="1">
                  <c:v>Driver</c:v>
                </c:pt>
                <c:pt idx="2">
                  <c:v>Motocyclist</c:v>
                </c:pt>
                <c:pt idx="3">
                  <c:v>Other</c:v>
                </c:pt>
                <c:pt idx="4">
                  <c:v>Passanger</c:v>
                </c:pt>
                <c:pt idx="5">
                  <c:v>Pedestrian</c:v>
                </c:pt>
              </c:strCache>
            </c:strRef>
          </c:cat>
          <c:val>
            <c:numRef>
              <c:f>'3'!$C$5:$C$10</c:f>
              <c:numCache>
                <c:formatCode>0%</c:formatCode>
                <c:ptCount val="6"/>
                <c:pt idx="0">
                  <c:v>5.8814658422560701E-2</c:v>
                </c:pt>
                <c:pt idx="1">
                  <c:v>0.23676670185492385</c:v>
                </c:pt>
                <c:pt idx="2">
                  <c:v>0.166189111747851</c:v>
                </c:pt>
                <c:pt idx="3">
                  <c:v>9.8024430704267834E-3</c:v>
                </c:pt>
                <c:pt idx="4">
                  <c:v>0.30055798522093197</c:v>
                </c:pt>
                <c:pt idx="5">
                  <c:v>0.22786909968330568</c:v>
                </c:pt>
              </c:numCache>
            </c:numRef>
          </c:val>
          <c:extLst>
            <c:ext xmlns:c16="http://schemas.microsoft.com/office/drawing/2014/chart" uri="{C3380CC4-5D6E-409C-BE32-E72D297353CC}">
              <c16:uniqueId val="{00000019-5441-4C20-843C-891B45927EC5}"/>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sq-A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solidFill>
                  <a:srgbClr val="002060"/>
                </a:solidFill>
                <a:latin typeface="Arial" panose="020B0604020202020204" pitchFamily="34" charset="0"/>
                <a:cs typeface="Arial" panose="020B0604020202020204" pitchFamily="34" charset="0"/>
              </a:rPr>
              <a:t>Sjelljet e këmbësorëve në aksidentet rrugore</a:t>
            </a:r>
            <a:r>
              <a:rPr lang="sl-SI" sz="1200" b="1" baseline="0">
                <a:solidFill>
                  <a:srgbClr val="002060"/>
                </a:solidFill>
                <a:latin typeface="Arial" panose="020B0604020202020204" pitchFamily="34" charset="0"/>
                <a:cs typeface="Arial" panose="020B0604020202020204" pitchFamily="34" charset="0"/>
              </a:rPr>
              <a:t>(2021</a:t>
            </a:r>
            <a:r>
              <a:rPr lang="sq-AL" sz="1200" b="0" i="0" u="none" strike="noStrike" baseline="0">
                <a:effectLst/>
              </a:rPr>
              <a:t>–</a:t>
            </a:r>
            <a:r>
              <a:rPr lang="sl-SI" sz="1200" b="1" baseline="0">
                <a:solidFill>
                  <a:srgbClr val="002060"/>
                </a:solidFill>
                <a:latin typeface="Arial" panose="020B0604020202020204" pitchFamily="34" charset="0"/>
                <a:cs typeface="Arial" panose="020B0604020202020204" pitchFamily="34" charset="0"/>
              </a:rPr>
              <a:t>2024)</a:t>
            </a:r>
            <a:endParaRPr lang="sl-SI" sz="1200" b="1">
              <a:solidFill>
                <a:srgbClr val="002060"/>
              </a:solidFill>
              <a:latin typeface="Arial" panose="020B0604020202020204" pitchFamily="34" charset="0"/>
              <a:cs typeface="Arial" panose="020B0604020202020204" pitchFamily="34" charset="0"/>
            </a:endParaRPr>
          </a:p>
        </c:rich>
      </c:tx>
      <c:layout>
        <c:manualLayout>
          <c:xMode val="edge"/>
          <c:yMode val="edge"/>
          <c:x val="0.11946627544198485"/>
          <c:y val="2.4141213117591072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'10'!$B$6</c:f>
              <c:strCache>
                <c:ptCount val="1"/>
                <c:pt idx="0">
                  <c:v>Accidents (pedestrians)</c:v>
                </c:pt>
              </c:strCache>
            </c:strRef>
          </c:tx>
          <c:spPr>
            <a:effectLst>
              <a:outerShdw blurRad="63500" sx="102000" sy="102000" algn="ctr" rotWithShape="0">
                <a:prstClr val="black">
                  <a:alpha val="40000"/>
                </a:prstClr>
              </a:outerShdw>
            </a:effectLst>
          </c:spPr>
          <c:dPt>
            <c:idx val="0"/>
            <c:bubble3D val="0"/>
            <c:spPr>
              <a:solidFill>
                <a:schemeClr val="accent1"/>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1-5CF4-4890-98C3-07591EF5A60C}"/>
              </c:ext>
            </c:extLst>
          </c:dPt>
          <c:dPt>
            <c:idx val="1"/>
            <c:bubble3D val="0"/>
            <c:spPr>
              <a:solidFill>
                <a:srgbClr val="FF000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3-5CF4-4890-98C3-07591EF5A60C}"/>
              </c:ext>
            </c:extLst>
          </c:dPt>
          <c:dPt>
            <c:idx val="2"/>
            <c:bubble3D val="0"/>
            <c:spPr>
              <a:solidFill>
                <a:schemeClr val="accent3"/>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5-5CF4-4890-98C3-07591EF5A60C}"/>
              </c:ext>
            </c:extLst>
          </c:dPt>
          <c:dPt>
            <c:idx val="3"/>
            <c:bubble3D val="0"/>
            <c:spPr>
              <a:solidFill>
                <a:srgbClr val="D9550B"/>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7-5CF4-4890-98C3-07591EF5A60C}"/>
              </c:ext>
            </c:extLst>
          </c:dPt>
          <c:dPt>
            <c:idx val="4"/>
            <c:bubble3D val="0"/>
            <c:spPr>
              <a:solidFill>
                <a:schemeClr val="accent5"/>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9-5CF4-4890-98C3-07591EF5A60C}"/>
              </c:ext>
            </c:extLst>
          </c:dPt>
          <c:dPt>
            <c:idx val="5"/>
            <c:bubble3D val="0"/>
            <c:spPr>
              <a:solidFill>
                <a:schemeClr val="accent6"/>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B-5CF4-4890-98C3-07591EF5A60C}"/>
              </c:ext>
            </c:extLst>
          </c:dPt>
          <c:dLbls>
            <c:dLbl>
              <c:idx val="0"/>
              <c:layout>
                <c:manualLayout>
                  <c:x val="0.15523498982328823"/>
                  <c:y val="9.2653087215426116E-2"/>
                </c:manualLayout>
              </c:layout>
              <c:tx>
                <c:rich>
                  <a:bodyPr/>
                  <a:lstStyle/>
                  <a:p>
                    <a:r>
                      <a:rPr lang="en-US" sz="1100" b="0" i="0" u="none" strike="noStrike" baseline="0">
                        <a:latin typeface="Times New Roman" panose="02020603050405020304" pitchFamily="18" charset="0"/>
                        <a:cs typeface="Times New Roman" panose="02020603050405020304" pitchFamily="18" charset="0"/>
                      </a:rPr>
                      <a:t>Kalimi i rrugës në vijat e këmbësorëve </a:t>
                    </a:r>
                    <a:fld id="{48531526-AD0C-474F-882F-C1CFC9686A50}" type="PERCENTAGE">
                      <a:rPr lang="en-US" sz="1100" b="1" baseline="0">
                        <a:latin typeface="Times New Roman" panose="02020603050405020304" pitchFamily="18" charset="0"/>
                        <a:cs typeface="Times New Roman" panose="02020603050405020304" pitchFamily="18" charset="0"/>
                      </a:rPr>
                      <a:pPr/>
                      <a:t>[PERCENTAGE]</a:t>
                    </a:fld>
                    <a:endParaRPr lang="en-US" sz="1100" b="0" i="0" u="none" strike="noStrike" baseline="0">
                      <a:latin typeface="Times New Roman" panose="02020603050405020304" pitchFamily="18" charset="0"/>
                      <a:cs typeface="Times New Roman" panose="02020603050405020304" pitchFamily="18" charset="0"/>
                    </a:endParaRPr>
                  </a:p>
                </c:rich>
              </c:tx>
              <c:dLblPos val="bestFit"/>
              <c:showLegendKey val="0"/>
              <c:showVal val="0"/>
              <c:showCatName val="1"/>
              <c:showSerName val="0"/>
              <c:showPercent val="1"/>
              <c:showBubbleSize val="0"/>
              <c:extLst>
                <c:ext xmlns:c15="http://schemas.microsoft.com/office/drawing/2012/chart" uri="{CE6537A1-D6FC-4f65-9D91-7224C49458BB}">
                  <c15:layout>
                    <c:manualLayout>
                      <c:w val="0.20084979943544792"/>
                      <c:h val="0.18651899281820541"/>
                    </c:manualLayout>
                  </c15:layout>
                  <c15:dlblFieldTable/>
                  <c15:showDataLabelsRange val="0"/>
                </c:ext>
                <c:ext xmlns:c16="http://schemas.microsoft.com/office/drawing/2014/chart" uri="{C3380CC4-5D6E-409C-BE32-E72D297353CC}">
                  <c16:uniqueId val="{00000001-5CF4-4890-98C3-07591EF5A60C}"/>
                </c:ext>
              </c:extLst>
            </c:dLbl>
            <c:dLbl>
              <c:idx val="1"/>
              <c:layout>
                <c:manualLayout>
                  <c:x val="2.1226415094339708E-2"/>
                  <c:y val="3.6630036630035958E-3"/>
                </c:manualLayout>
              </c:layout>
              <c:tx>
                <c:rich>
                  <a:bodyPr/>
                  <a:lstStyle/>
                  <a:p>
                    <a:r>
                      <a:rPr lang="en-US" b="1" baseline="0"/>
                      <a:t>Kalimi i rrugës pakujdes </a:t>
                    </a:r>
                    <a:fld id="{40A1ED46-4E8B-4A2F-AF2A-905CC18F569E}" type="PERCENTAGE">
                      <a:rPr lang="en-US" b="1" baseline="0"/>
                      <a:pPr/>
                      <a:t>[PERCENTAGE]</a:t>
                    </a:fld>
                    <a:endParaRPr lang="en-US" b="1"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CF4-4890-98C3-07591EF5A60C}"/>
                </c:ext>
              </c:extLst>
            </c:dLbl>
            <c:dLbl>
              <c:idx val="2"/>
              <c:layout>
                <c:manualLayout>
                  <c:x val="9.3564292081414355E-2"/>
                  <c:y val="-3.526866833953448E-2"/>
                </c:manualLayout>
              </c:layout>
              <c:tx>
                <c:rich>
                  <a:bodyPr/>
                  <a:lstStyle/>
                  <a:p>
                    <a:r>
                      <a:rPr lang="en-US" b="1"/>
                      <a:t>duke kaluar rrugën diku tjetër</a:t>
                    </a:r>
                    <a:r>
                      <a:rPr lang="en-US" b="1" baseline="0"/>
                      <a:t>
</a:t>
                    </a:r>
                    <a:fld id="{F6D84D62-65AD-4EE2-85AF-D645B99E947C}" type="PERCENTAGE">
                      <a:rPr lang="en-US" b="1" baseline="0"/>
                      <a:pPr/>
                      <a:t>[PERCENTAGE]</a:t>
                    </a:fld>
                    <a:endParaRPr lang="en-US" b="1"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CF4-4890-98C3-07591EF5A60C}"/>
                </c:ext>
              </c:extLst>
            </c:dLbl>
            <c:dLbl>
              <c:idx val="3"/>
              <c:layout>
                <c:manualLayout>
                  <c:x val="-1.6509433962264151E-2"/>
                  <c:y val="7.3260073260071916E-3"/>
                </c:manualLayout>
              </c:layout>
              <c:tx>
                <c:rich>
                  <a:bodyPr/>
                  <a:lstStyle/>
                  <a:p>
                    <a:r>
                      <a:rPr lang="en-US" sz="1050" b="0" i="0" u="none" strike="noStrike" baseline="0"/>
                      <a:t>asgjë e veçantë për t’u theksuar </a:t>
                    </a:r>
                    <a:fld id="{92FC51F7-4CB9-4238-874A-AF199980E198}" type="PERCENTAGE">
                      <a:rPr lang="en-US" b="1" baseline="0"/>
                      <a:pPr/>
                      <a:t>[PERCENTAGE]</a:t>
                    </a:fld>
                    <a:endParaRPr lang="en-US" sz="1050" b="0" i="0" u="none" strike="noStrike"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CF4-4890-98C3-07591EF5A60C}"/>
                </c:ext>
              </c:extLst>
            </c:dLbl>
            <c:dLbl>
              <c:idx val="4"/>
              <c:layout>
                <c:manualLayout>
                  <c:x val="-6.2733806269499356E-2"/>
                  <c:y val="7.106170905309217E-2"/>
                </c:manualLayout>
              </c:layout>
              <c:tx>
                <c:rich>
                  <a:bodyPr/>
                  <a:lstStyle/>
                  <a:p>
                    <a:r>
                      <a:rPr lang="en-US" b="1" baseline="0"/>
                      <a:t>Të tjerë </a:t>
                    </a:r>
                  </a:p>
                  <a:p>
                    <a:fld id="{7217C668-D4FB-4008-B95F-748BAAADE064}" type="PERCENTAGE">
                      <a:rPr lang="en-US" b="1" baseline="0"/>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CF4-4890-98C3-07591EF5A60C}"/>
                </c:ext>
              </c:extLst>
            </c:dLbl>
            <c:dLbl>
              <c:idx val="5"/>
              <c:layout>
                <c:manualLayout>
                  <c:x val="-0.12362353290744317"/>
                  <c:y val="6.3952005999250078E-2"/>
                </c:manualLayout>
              </c:layout>
              <c:tx>
                <c:rich>
                  <a:bodyPr/>
                  <a:lstStyle/>
                  <a:p>
                    <a:r>
                      <a:rPr lang="en-US" b="1" baseline="0"/>
                      <a:t>Ecjet në rrugë</a:t>
                    </a:r>
                  </a:p>
                  <a:p>
                    <a:fld id="{039AE24D-401A-4287-BA6B-EA8B6854D392}" type="PERCENTAGE">
                      <a:rPr lang="en-US" b="1" baseline="0"/>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layout>
                    <c:manualLayout>
                      <c:w val="0.15753769870747289"/>
                      <c:h val="0.1462259525251651"/>
                    </c:manualLayout>
                  </c15:layout>
                  <c15:dlblFieldTable/>
                  <c15:showDataLabelsRange val="0"/>
                </c:ext>
                <c:ext xmlns:c16="http://schemas.microsoft.com/office/drawing/2014/chart" uri="{C3380CC4-5D6E-409C-BE32-E72D297353CC}">
                  <c16:uniqueId val="{0000000B-5CF4-4890-98C3-07591EF5A60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'10'!$A$7:$A$12</c:f>
              <c:strCache>
                <c:ptCount val="6"/>
                <c:pt idx="0">
                  <c:v>Crossing road at a pedestrian Xing</c:v>
                </c:pt>
                <c:pt idx="1">
                  <c:v>Crossing road carelessly</c:v>
                </c:pt>
                <c:pt idx="2">
                  <c:v>Crossing road elsewhere</c:v>
                </c:pt>
                <c:pt idx="3">
                  <c:v>Nothing notable</c:v>
                </c:pt>
                <c:pt idx="4">
                  <c:v>Other</c:v>
                </c:pt>
                <c:pt idx="5">
                  <c:v>Walking in the road</c:v>
                </c:pt>
              </c:strCache>
            </c:strRef>
          </c:cat>
          <c:val>
            <c:numRef>
              <c:f>'10'!$B$7:$B$12</c:f>
              <c:numCache>
                <c:formatCode>General</c:formatCode>
                <c:ptCount val="6"/>
                <c:pt idx="0">
                  <c:v>118</c:v>
                </c:pt>
                <c:pt idx="1">
                  <c:v>398</c:v>
                </c:pt>
                <c:pt idx="2">
                  <c:v>107</c:v>
                </c:pt>
                <c:pt idx="3">
                  <c:v>365</c:v>
                </c:pt>
                <c:pt idx="4">
                  <c:v>194</c:v>
                </c:pt>
                <c:pt idx="5">
                  <c:v>68</c:v>
                </c:pt>
              </c:numCache>
            </c:numRef>
          </c:val>
          <c:extLst>
            <c:ext xmlns:c16="http://schemas.microsoft.com/office/drawing/2014/chart" uri="{C3380CC4-5D6E-409C-BE32-E72D297353CC}">
              <c16:uniqueId val="{0000000C-5CF4-4890-98C3-07591EF5A60C}"/>
            </c:ext>
          </c:extLst>
        </c:ser>
        <c:ser>
          <c:idx val="1"/>
          <c:order val="1"/>
          <c:tx>
            <c:strRef>
              <c:f>'10'!$C$6</c:f>
              <c:strCache>
                <c:ptCount val="1"/>
                <c:pt idx="0">
                  <c:v>Accidents in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E-5CF4-4890-98C3-07591EF5A60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0-5CF4-4890-98C3-07591EF5A60C}"/>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2-5CF4-4890-98C3-07591EF5A60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4-5CF4-4890-98C3-07591EF5A60C}"/>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6-5CF4-4890-98C3-07591EF5A60C}"/>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8-5CF4-4890-98C3-07591EF5A60C}"/>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'10'!$A$7:$A$12</c:f>
              <c:strCache>
                <c:ptCount val="6"/>
                <c:pt idx="0">
                  <c:v>Crossing road at a pedestrian Xing</c:v>
                </c:pt>
                <c:pt idx="1">
                  <c:v>Crossing road carelessly</c:v>
                </c:pt>
                <c:pt idx="2">
                  <c:v>Crossing road elsewhere</c:v>
                </c:pt>
                <c:pt idx="3">
                  <c:v>Nothing notable</c:v>
                </c:pt>
                <c:pt idx="4">
                  <c:v>Other</c:v>
                </c:pt>
                <c:pt idx="5">
                  <c:v>Walking in the road</c:v>
                </c:pt>
              </c:strCache>
            </c:strRef>
          </c:cat>
          <c:val>
            <c:numRef>
              <c:f>'10'!$C$7:$C$12</c:f>
              <c:numCache>
                <c:formatCode>0%</c:formatCode>
                <c:ptCount val="6"/>
                <c:pt idx="0">
                  <c:v>9.4399999999999998E-2</c:v>
                </c:pt>
                <c:pt idx="1">
                  <c:v>0.31840000000000002</c:v>
                </c:pt>
                <c:pt idx="2">
                  <c:v>8.5599999999999996E-2</c:v>
                </c:pt>
                <c:pt idx="3">
                  <c:v>0.29199999999999998</c:v>
                </c:pt>
                <c:pt idx="4">
                  <c:v>0.1552</c:v>
                </c:pt>
                <c:pt idx="5">
                  <c:v>5.4399999999999997E-2</c:v>
                </c:pt>
              </c:numCache>
            </c:numRef>
          </c:val>
          <c:extLst>
            <c:ext xmlns:c16="http://schemas.microsoft.com/office/drawing/2014/chart" uri="{C3380CC4-5D6E-409C-BE32-E72D297353CC}">
              <c16:uniqueId val="{00000019-5CF4-4890-98C3-07591EF5A60C}"/>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sq-A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b="1">
                <a:solidFill>
                  <a:srgbClr val="002060"/>
                </a:solidFill>
                <a:latin typeface="Arial" panose="020B0604020202020204" pitchFamily="34" charset="0"/>
                <a:cs typeface="Arial" panose="020B0604020202020204" pitchFamily="34" charset="0"/>
              </a:rPr>
              <a:t>Fatalitet</a:t>
            </a:r>
            <a:r>
              <a:rPr lang="sl-SI" sz="1200" b="1">
                <a:solidFill>
                  <a:srgbClr val="002060"/>
                </a:solidFill>
                <a:latin typeface="Arial" panose="020B0604020202020204" pitchFamily="34" charset="0"/>
                <a:cs typeface="Arial" panose="020B0604020202020204" pitchFamily="34" charset="0"/>
              </a:rPr>
              <a:t>et e të moshuarve sipas llojit të përdoruesit të rrugës</a:t>
            </a:r>
            <a:r>
              <a:rPr lang="en-US" sz="1200" b="1">
                <a:solidFill>
                  <a:srgbClr val="002060"/>
                </a:solidFill>
                <a:latin typeface="Arial" panose="020B0604020202020204" pitchFamily="34" charset="0"/>
                <a:cs typeface="Arial" panose="020B0604020202020204" pitchFamily="34" charset="0"/>
              </a:rPr>
              <a:t> </a:t>
            </a:r>
            <a:r>
              <a:rPr lang="sl-SI" sz="1200" b="1">
                <a:solidFill>
                  <a:srgbClr val="002060"/>
                </a:solidFill>
                <a:latin typeface="Arial" panose="020B0604020202020204" pitchFamily="34" charset="0"/>
                <a:cs typeface="Arial" panose="020B0604020202020204" pitchFamily="34" charset="0"/>
              </a:rPr>
              <a:t>(</a:t>
            </a:r>
            <a:r>
              <a:rPr lang="en-US" sz="1200" b="1">
                <a:solidFill>
                  <a:srgbClr val="002060"/>
                </a:solidFill>
                <a:latin typeface="Arial" panose="020B0604020202020204" pitchFamily="34" charset="0"/>
                <a:cs typeface="Arial" panose="020B0604020202020204" pitchFamily="34" charset="0"/>
              </a:rPr>
              <a:t>2021</a:t>
            </a:r>
            <a:r>
              <a:rPr lang="sq-AL" sz="1200" b="0" i="0" u="none" strike="noStrike" baseline="0">
                <a:effectLst/>
              </a:rPr>
              <a:t>–</a:t>
            </a:r>
            <a:r>
              <a:rPr lang="en-US" sz="1200" b="1">
                <a:solidFill>
                  <a:srgbClr val="002060"/>
                </a:solidFill>
                <a:latin typeface="Arial" panose="020B0604020202020204" pitchFamily="34" charset="0"/>
                <a:cs typeface="Arial" panose="020B0604020202020204" pitchFamily="34" charset="0"/>
              </a:rPr>
              <a:t>2024</a:t>
            </a:r>
            <a:r>
              <a:rPr lang="sl-SI" sz="1200" b="1">
                <a:solidFill>
                  <a:srgbClr val="002060"/>
                </a:solidFill>
                <a:latin typeface="Arial" panose="020B0604020202020204" pitchFamily="34" charset="0"/>
                <a:cs typeface="Arial" panose="020B0604020202020204" pitchFamily="34" charset="0"/>
              </a:rPr>
              <a:t>)</a:t>
            </a:r>
            <a:r>
              <a:rPr lang="en-US" sz="1200" b="1">
                <a:solidFill>
                  <a:srgbClr val="002060"/>
                </a:solidFill>
                <a:latin typeface="Arial" panose="020B0604020202020204" pitchFamily="34" charset="0"/>
                <a:cs typeface="Arial" panose="020B0604020202020204" pitchFamily="34" charset="0"/>
              </a:rPr>
              <a:t> </a:t>
            </a:r>
          </a:p>
        </c:rich>
      </c:tx>
      <c:layout>
        <c:manualLayout>
          <c:xMode val="edge"/>
          <c:yMode val="edge"/>
          <c:x val="0.16731939499298124"/>
          <c:y val="1.5996532543523802E-3"/>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'8'!$B$5</c:f>
              <c:strCache>
                <c:ptCount val="1"/>
                <c:pt idx="0">
                  <c:v>Fatalities</c:v>
                </c:pt>
              </c:strCache>
            </c:strRef>
          </c:tx>
          <c:spPr>
            <a:effectLst>
              <a:outerShdw blurRad="63500" sx="102000" sy="102000" algn="ctr" rotWithShape="0">
                <a:prstClr val="black">
                  <a:alpha val="40000"/>
                </a:prstClr>
              </a:outerShdw>
            </a:effectLst>
          </c:spPr>
          <c:dPt>
            <c:idx val="0"/>
            <c:bubble3D val="0"/>
            <c:spPr>
              <a:solidFill>
                <a:schemeClr val="accent1"/>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1-D2E5-454F-BD28-87BA54513ED6}"/>
              </c:ext>
            </c:extLst>
          </c:dPt>
          <c:dPt>
            <c:idx val="1"/>
            <c:bubble3D val="0"/>
            <c:spPr>
              <a:solidFill>
                <a:schemeClr val="accent2">
                  <a:lumMod val="40000"/>
                  <a:lumOff val="60000"/>
                </a:schemeClr>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3-D2E5-454F-BD28-87BA54513ED6}"/>
              </c:ext>
            </c:extLst>
          </c:dPt>
          <c:dPt>
            <c:idx val="2"/>
            <c:bubble3D val="0"/>
            <c:spPr>
              <a:solidFill>
                <a:srgbClr val="E0823C"/>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5-D2E5-454F-BD28-87BA54513ED6}"/>
              </c:ext>
            </c:extLst>
          </c:dPt>
          <c:dPt>
            <c:idx val="3"/>
            <c:bubble3D val="0"/>
            <c:spPr>
              <a:solidFill>
                <a:srgbClr val="00B05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7-D2E5-454F-BD28-87BA54513ED6}"/>
              </c:ext>
            </c:extLst>
          </c:dPt>
          <c:dPt>
            <c:idx val="4"/>
            <c:bubble3D val="0"/>
            <c:spPr>
              <a:solidFill>
                <a:srgbClr val="FFC00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9-D2E5-454F-BD28-87BA54513ED6}"/>
              </c:ext>
            </c:extLst>
          </c:dPt>
          <c:dPt>
            <c:idx val="5"/>
            <c:bubble3D val="0"/>
            <c:spPr>
              <a:solidFill>
                <a:srgbClr val="FF000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B-D2E5-454F-BD28-87BA54513ED6}"/>
              </c:ext>
            </c:extLst>
          </c:dPt>
          <c:dLbls>
            <c:dLbl>
              <c:idx val="0"/>
              <c:layout>
                <c:manualLayout>
                  <c:x val="3.3057851239669332E-2"/>
                  <c:y val="0"/>
                </c:manualLayout>
              </c:layout>
              <c:tx>
                <c:rich>
                  <a:bodyPr/>
                  <a:lstStyle/>
                  <a:p>
                    <a:r>
                      <a:rPr lang="en-US" b="1" baseline="0">
                        <a:solidFill>
                          <a:sysClr val="windowText" lastClr="000000"/>
                        </a:solidFill>
                      </a:rPr>
                      <a:t>Çiklist </a:t>
                    </a:r>
                  </a:p>
                  <a:p>
                    <a:fld id="{FABE1326-92BD-406E-B067-DB7B47D1227B}"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2E5-454F-BD28-87BA54513ED6}"/>
                </c:ext>
              </c:extLst>
            </c:dLbl>
            <c:dLbl>
              <c:idx val="1"/>
              <c:layout>
                <c:manualLayout>
                  <c:x val="3.541912632821715E-2"/>
                  <c:y val="-3.669724770642202E-3"/>
                </c:manualLayout>
              </c:layout>
              <c:tx>
                <c:rich>
                  <a:bodyPr/>
                  <a:lstStyle/>
                  <a:p>
                    <a:r>
                      <a:rPr lang="en-US" b="1" baseline="0">
                        <a:solidFill>
                          <a:sysClr val="windowText" lastClr="000000"/>
                        </a:solidFill>
                      </a:rPr>
                      <a:t>Shofer </a:t>
                    </a:r>
                  </a:p>
                  <a:p>
                    <a:fld id="{9D156317-A8E3-443F-B447-C5D4350C5B22}"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D2E5-454F-BD28-87BA54513ED6}"/>
                </c:ext>
              </c:extLst>
            </c:dLbl>
            <c:dLbl>
              <c:idx val="2"/>
              <c:layout>
                <c:manualLayout>
                  <c:x val="3.0696576151121518E-2"/>
                  <c:y val="0"/>
                </c:manualLayout>
              </c:layout>
              <c:tx>
                <c:rich>
                  <a:bodyPr/>
                  <a:lstStyle/>
                  <a:p>
                    <a:r>
                      <a:rPr lang="en-US" b="1" baseline="0">
                        <a:solidFill>
                          <a:sysClr val="windowText" lastClr="000000"/>
                        </a:solidFill>
                      </a:rPr>
                      <a:t>Motoçiklist</a:t>
                    </a:r>
                  </a:p>
                  <a:p>
                    <a:fld id="{A4AFD71A-E46D-46E1-A181-272912DC7458}"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D2E5-454F-BD28-87BA54513ED6}"/>
                </c:ext>
              </c:extLst>
            </c:dLbl>
            <c:dLbl>
              <c:idx val="3"/>
              <c:layout>
                <c:manualLayout>
                  <c:x val="2.8335301062573877E-2"/>
                  <c:y val="1.1009174311926606E-2"/>
                </c:manualLayout>
              </c:layout>
              <c:tx>
                <c:rich>
                  <a:bodyPr/>
                  <a:lstStyle/>
                  <a:p>
                    <a:r>
                      <a:rPr lang="en-US" b="1" baseline="0">
                        <a:solidFill>
                          <a:sysClr val="windowText" lastClr="000000"/>
                        </a:solidFill>
                      </a:rPr>
                      <a:t>Të tjerë </a:t>
                    </a:r>
                  </a:p>
                  <a:p>
                    <a:fld id="{5BEA70C0-1C2E-44E5-8334-6A1A9B4E5496}"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D2E5-454F-BD28-87BA54513ED6}"/>
                </c:ext>
              </c:extLst>
            </c:dLbl>
            <c:dLbl>
              <c:idx val="4"/>
              <c:layout>
                <c:manualLayout>
                  <c:x val="3.3057851239669422E-2"/>
                  <c:y val="7.3394495412844041E-3"/>
                </c:manualLayout>
              </c:layout>
              <c:tx>
                <c:rich>
                  <a:bodyPr/>
                  <a:lstStyle/>
                  <a:p>
                    <a:r>
                      <a:rPr lang="en-US" b="1" baseline="0">
                        <a:solidFill>
                          <a:sysClr val="windowText" lastClr="000000"/>
                        </a:solidFill>
                      </a:rPr>
                      <a:t>Pasagjer </a:t>
                    </a:r>
                  </a:p>
                  <a:p>
                    <a:fld id="{469494AF-F289-4161-BA12-AC016A5694B9}"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2E5-454F-BD28-87BA54513ED6}"/>
                </c:ext>
              </c:extLst>
            </c:dLbl>
            <c:dLbl>
              <c:idx val="5"/>
              <c:layout>
                <c:manualLayout>
                  <c:x val="-5.4309327036599755E-2"/>
                  <c:y val="-7.3394495412844041E-3"/>
                </c:manualLayout>
              </c:layout>
              <c:tx>
                <c:rich>
                  <a:bodyPr/>
                  <a:lstStyle/>
                  <a:p>
                    <a:r>
                      <a:rPr lang="en-US" b="1" baseline="0">
                        <a:solidFill>
                          <a:sysClr val="windowText" lastClr="000000"/>
                        </a:solidFill>
                      </a:rPr>
                      <a:t>Këmbësor </a:t>
                    </a:r>
                  </a:p>
                  <a:p>
                    <a:fld id="{7B537323-E776-4FB6-AAFE-8498FDF2A2E8}"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2E5-454F-BD28-87BA54513ED6}"/>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'8'!$A$6:$A$11</c:f>
              <c:strCache>
                <c:ptCount val="6"/>
                <c:pt idx="0">
                  <c:v>Cyclist</c:v>
                </c:pt>
                <c:pt idx="1">
                  <c:v>Driver</c:v>
                </c:pt>
                <c:pt idx="2">
                  <c:v>Motocyclist</c:v>
                </c:pt>
                <c:pt idx="3">
                  <c:v>Other</c:v>
                </c:pt>
                <c:pt idx="4">
                  <c:v>Passanger</c:v>
                </c:pt>
                <c:pt idx="5">
                  <c:v>Pedestrian</c:v>
                </c:pt>
              </c:strCache>
            </c:strRef>
          </c:cat>
          <c:val>
            <c:numRef>
              <c:f>'8'!$B$6:$B$11</c:f>
              <c:numCache>
                <c:formatCode>General</c:formatCode>
                <c:ptCount val="6"/>
                <c:pt idx="0">
                  <c:v>19</c:v>
                </c:pt>
                <c:pt idx="1">
                  <c:v>15</c:v>
                </c:pt>
                <c:pt idx="2">
                  <c:v>22</c:v>
                </c:pt>
                <c:pt idx="3">
                  <c:v>2</c:v>
                </c:pt>
                <c:pt idx="4">
                  <c:v>22</c:v>
                </c:pt>
                <c:pt idx="5">
                  <c:v>112</c:v>
                </c:pt>
              </c:numCache>
            </c:numRef>
          </c:val>
          <c:extLst>
            <c:ext xmlns:c16="http://schemas.microsoft.com/office/drawing/2014/chart" uri="{C3380CC4-5D6E-409C-BE32-E72D297353CC}">
              <c16:uniqueId val="{0000000C-D2E5-454F-BD28-87BA54513ED6}"/>
            </c:ext>
          </c:extLst>
        </c:ser>
        <c:ser>
          <c:idx val="1"/>
          <c:order val="1"/>
          <c:tx>
            <c:strRef>
              <c:f>'8'!$C$5</c:f>
              <c:strCache>
                <c:ptCount val="1"/>
                <c:pt idx="0">
                  <c:v>Elderly Fatalities in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E-D2E5-454F-BD28-87BA54513ED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0-D2E5-454F-BD28-87BA54513ED6}"/>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2-D2E5-454F-BD28-87BA54513ED6}"/>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4-D2E5-454F-BD28-87BA54513ED6}"/>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6-D2E5-454F-BD28-87BA54513ED6}"/>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18-D2E5-454F-BD28-87BA54513ED6}"/>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'8'!$A$6:$A$11</c:f>
              <c:strCache>
                <c:ptCount val="6"/>
                <c:pt idx="0">
                  <c:v>Cyclist</c:v>
                </c:pt>
                <c:pt idx="1">
                  <c:v>Driver</c:v>
                </c:pt>
                <c:pt idx="2">
                  <c:v>Motocyclist</c:v>
                </c:pt>
                <c:pt idx="3">
                  <c:v>Other</c:v>
                </c:pt>
                <c:pt idx="4">
                  <c:v>Passanger</c:v>
                </c:pt>
                <c:pt idx="5">
                  <c:v>Pedestrian</c:v>
                </c:pt>
              </c:strCache>
            </c:strRef>
          </c:cat>
          <c:val>
            <c:numRef>
              <c:f>'8'!$C$6:$C$11</c:f>
              <c:numCache>
                <c:formatCode>0%</c:formatCode>
                <c:ptCount val="6"/>
                <c:pt idx="0">
                  <c:v>9.8958333333333329E-2</c:v>
                </c:pt>
                <c:pt idx="1">
                  <c:v>7.8125E-2</c:v>
                </c:pt>
                <c:pt idx="2">
                  <c:v>0.11458333333333333</c:v>
                </c:pt>
                <c:pt idx="3">
                  <c:v>1.0416666666666666E-2</c:v>
                </c:pt>
                <c:pt idx="4">
                  <c:v>0.11458333333333333</c:v>
                </c:pt>
                <c:pt idx="5">
                  <c:v>0.58333333333333337</c:v>
                </c:pt>
              </c:numCache>
            </c:numRef>
          </c:val>
          <c:extLst>
            <c:ext xmlns:c16="http://schemas.microsoft.com/office/drawing/2014/chart" uri="{C3380CC4-5D6E-409C-BE32-E72D297353CC}">
              <c16:uniqueId val="{00000019-D2E5-454F-BD28-87BA54513ED6}"/>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sq-A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050" b="1">
                <a:solidFill>
                  <a:srgbClr val="002060"/>
                </a:solidFill>
                <a:latin typeface="Arial" panose="020B0604020202020204" pitchFamily="34" charset="0"/>
                <a:cs typeface="Arial" panose="020B0604020202020204" pitchFamily="34" charset="0"/>
              </a:rPr>
              <a:t>Fatalitetet e fëmijëve sipas llojit të përdoruesit të rrugës </a:t>
            </a:r>
            <a:r>
              <a:rPr lang="sl-SI" sz="1050" b="1">
                <a:solidFill>
                  <a:srgbClr val="002060"/>
                </a:solidFill>
                <a:latin typeface="Arial" panose="020B0604020202020204" pitchFamily="34" charset="0"/>
                <a:cs typeface="Arial" panose="020B0604020202020204" pitchFamily="34" charset="0"/>
              </a:rPr>
              <a:t>(</a:t>
            </a:r>
            <a:r>
              <a:rPr lang="en-US" sz="1050" b="1">
                <a:solidFill>
                  <a:srgbClr val="002060"/>
                </a:solidFill>
                <a:latin typeface="Arial" panose="020B0604020202020204" pitchFamily="34" charset="0"/>
                <a:cs typeface="Arial" panose="020B0604020202020204" pitchFamily="34" charset="0"/>
              </a:rPr>
              <a:t>2021</a:t>
            </a:r>
            <a:r>
              <a:rPr lang="sq-AL" sz="1100" b="0" i="0" u="none" strike="noStrike" baseline="0">
                <a:effectLst/>
              </a:rPr>
              <a:t>–</a:t>
            </a:r>
            <a:r>
              <a:rPr lang="en-US" sz="1050" b="1">
                <a:solidFill>
                  <a:srgbClr val="002060"/>
                </a:solidFill>
                <a:latin typeface="Arial" panose="020B0604020202020204" pitchFamily="34" charset="0"/>
                <a:cs typeface="Arial" panose="020B0604020202020204" pitchFamily="34" charset="0"/>
              </a:rPr>
              <a:t>2024</a:t>
            </a:r>
            <a:r>
              <a:rPr lang="sl-SI" sz="1050" b="1">
                <a:solidFill>
                  <a:srgbClr val="002060"/>
                </a:solidFill>
                <a:latin typeface="Arial" panose="020B0604020202020204" pitchFamily="34" charset="0"/>
                <a:cs typeface="Arial" panose="020B0604020202020204" pitchFamily="34" charset="0"/>
              </a:rPr>
              <a:t>)</a:t>
            </a:r>
            <a:r>
              <a:rPr lang="en-US" sz="1050" b="1">
                <a:solidFill>
                  <a:srgbClr val="002060"/>
                </a:solidFill>
                <a:latin typeface="Arial" panose="020B0604020202020204" pitchFamily="34" charset="0"/>
                <a:cs typeface="Arial" panose="020B0604020202020204" pitchFamily="34" charset="0"/>
              </a:rPr>
              <a:t> </a:t>
            </a:r>
          </a:p>
        </c:rich>
      </c:tx>
      <c:layout>
        <c:manualLayout>
          <c:xMode val="edge"/>
          <c:yMode val="edge"/>
          <c:x val="9.0488188976377948E-2"/>
          <c:y val="0"/>
        </c:manualLayout>
      </c:layout>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pieChart>
        <c:varyColors val="1"/>
        <c:ser>
          <c:idx val="0"/>
          <c:order val="0"/>
          <c:tx>
            <c:strRef>
              <c:f>'7'!$B$5</c:f>
              <c:strCache>
                <c:ptCount val="1"/>
                <c:pt idx="0">
                  <c:v>Fatalities</c:v>
                </c:pt>
              </c:strCache>
            </c:strRef>
          </c:tx>
          <c:spPr>
            <a:effectLst>
              <a:outerShdw blurRad="63500" sx="102000" sy="102000" algn="ctr" rotWithShape="0">
                <a:prstClr val="black">
                  <a:alpha val="40000"/>
                </a:prstClr>
              </a:outerShdw>
            </a:effectLst>
          </c:spPr>
          <c:dPt>
            <c:idx val="0"/>
            <c:bubble3D val="0"/>
            <c:spPr>
              <a:solidFill>
                <a:schemeClr val="accent1"/>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1-AE24-4BD1-8B30-9C068EBA2A5B}"/>
              </c:ext>
            </c:extLst>
          </c:dPt>
          <c:dPt>
            <c:idx val="1"/>
            <c:bubble3D val="0"/>
            <c:spPr>
              <a:solidFill>
                <a:schemeClr val="accent2"/>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3-AE24-4BD1-8B30-9C068EBA2A5B}"/>
              </c:ext>
            </c:extLst>
          </c:dPt>
          <c:dPt>
            <c:idx val="2"/>
            <c:bubble3D val="0"/>
            <c:spPr>
              <a:solidFill>
                <a:schemeClr val="accent3"/>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5-AE24-4BD1-8B30-9C068EBA2A5B}"/>
              </c:ext>
            </c:extLst>
          </c:dPt>
          <c:dPt>
            <c:idx val="3"/>
            <c:bubble3D val="0"/>
            <c:spPr>
              <a:solidFill>
                <a:srgbClr val="FF000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7-AE24-4BD1-8B30-9C068EBA2A5B}"/>
              </c:ext>
            </c:extLst>
          </c:dPt>
          <c:dPt>
            <c:idx val="4"/>
            <c:bubble3D val="0"/>
            <c:spPr>
              <a:solidFill>
                <a:srgbClr val="C00000"/>
              </a:solidFill>
              <a:ln w="19050">
                <a:solidFill>
                  <a:schemeClr val="lt1"/>
                </a:solid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9-AE24-4BD1-8B30-9C068EBA2A5B}"/>
              </c:ext>
            </c:extLst>
          </c:dPt>
          <c:dLbls>
            <c:dLbl>
              <c:idx val="0"/>
              <c:layout>
                <c:manualLayout>
                  <c:x val="6.8235294117647061E-2"/>
                  <c:y val="1.8281535648994516E-2"/>
                </c:manualLayout>
              </c:layout>
              <c:tx>
                <c:rich>
                  <a:bodyPr/>
                  <a:lstStyle/>
                  <a:p>
                    <a:r>
                      <a:rPr lang="en-US" b="1" baseline="0">
                        <a:solidFill>
                          <a:sysClr val="windowText" lastClr="000000"/>
                        </a:solidFill>
                      </a:rPr>
                      <a:t>Çiklist </a:t>
                    </a:r>
                  </a:p>
                  <a:p>
                    <a:fld id="{FE31216C-F471-4B6F-A84C-93FA759EA5F1}"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E24-4BD1-8B30-9C068EBA2A5B}"/>
                </c:ext>
              </c:extLst>
            </c:dLbl>
            <c:dLbl>
              <c:idx val="1"/>
              <c:layout>
                <c:manualLayout>
                  <c:x val="6.8235294117646977E-2"/>
                  <c:y val="2.1937842778793386E-2"/>
                </c:manualLayout>
              </c:layout>
              <c:tx>
                <c:rich>
                  <a:bodyPr/>
                  <a:lstStyle/>
                  <a:p>
                    <a:r>
                      <a:rPr lang="en-US" b="1" baseline="0">
                        <a:solidFill>
                          <a:sysClr val="windowText" lastClr="000000"/>
                        </a:solidFill>
                      </a:rPr>
                      <a:t>Motoçiklist </a:t>
                    </a:r>
                  </a:p>
                  <a:p>
                    <a:fld id="{7225A6F4-0B14-47FC-8B76-8BF67C5E2B96}"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E24-4BD1-8B30-9C068EBA2A5B}"/>
                </c:ext>
              </c:extLst>
            </c:dLbl>
            <c:dLbl>
              <c:idx val="2"/>
              <c:layout>
                <c:manualLayout>
                  <c:x val="0.10117647058823512"/>
                  <c:y val="4.7531992687385706E-2"/>
                </c:manualLayout>
              </c:layout>
              <c:tx>
                <c:rich>
                  <a:bodyPr/>
                  <a:lstStyle/>
                  <a:p>
                    <a:r>
                      <a:rPr lang="en-US" b="1" baseline="0">
                        <a:solidFill>
                          <a:sysClr val="windowText" lastClr="000000"/>
                        </a:solidFill>
                      </a:rPr>
                      <a:t>Të tjerë </a:t>
                    </a:r>
                  </a:p>
                  <a:p>
                    <a:fld id="{2DDF8E03-40BE-4DFC-87C2-A9C1F38DA814}"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E24-4BD1-8B30-9C068EBA2A5B}"/>
                </c:ext>
              </c:extLst>
            </c:dLbl>
            <c:dLbl>
              <c:idx val="3"/>
              <c:layout>
                <c:manualLayout>
                  <c:x val="6.3529411764705793E-2"/>
                  <c:y val="-1.3406304605154508E-16"/>
                </c:manualLayout>
              </c:layout>
              <c:tx>
                <c:rich>
                  <a:bodyPr/>
                  <a:lstStyle/>
                  <a:p>
                    <a:r>
                      <a:rPr lang="en-US" b="1" baseline="0">
                        <a:solidFill>
                          <a:sysClr val="windowText" lastClr="000000"/>
                        </a:solidFill>
                      </a:rPr>
                      <a:t>Pasagjer</a:t>
                    </a:r>
                  </a:p>
                  <a:p>
                    <a:fld id="{9B98DF8C-E143-450F-8A4C-B5A70402E013}"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E24-4BD1-8B30-9C068EBA2A5B}"/>
                </c:ext>
              </c:extLst>
            </c:dLbl>
            <c:dLbl>
              <c:idx val="4"/>
              <c:layout>
                <c:manualLayout>
                  <c:x val="-6.1176470588235304E-2"/>
                  <c:y val="-1.8281535648994582E-2"/>
                </c:manualLayout>
              </c:layout>
              <c:tx>
                <c:rich>
                  <a:bodyPr/>
                  <a:lstStyle/>
                  <a:p>
                    <a:r>
                      <a:rPr lang="en-US" b="1" baseline="0">
                        <a:solidFill>
                          <a:sysClr val="windowText" lastClr="000000"/>
                        </a:solidFill>
                      </a:rPr>
                      <a:t>Këmbësor </a:t>
                    </a:r>
                  </a:p>
                  <a:p>
                    <a:fld id="{9951145F-8E72-4856-A97F-D08ECB5C7867}" type="PERCENTAGE">
                      <a:rPr lang="en-US" b="1" baseline="0">
                        <a:solidFill>
                          <a:sysClr val="windowText" lastClr="00000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E24-4BD1-8B30-9C068EBA2A5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'7'!$A$6:$A$10</c:f>
              <c:strCache>
                <c:ptCount val="5"/>
                <c:pt idx="0">
                  <c:v>Cyclist</c:v>
                </c:pt>
                <c:pt idx="1">
                  <c:v>Motocyclist</c:v>
                </c:pt>
                <c:pt idx="2">
                  <c:v>Other</c:v>
                </c:pt>
                <c:pt idx="3">
                  <c:v>Passanger</c:v>
                </c:pt>
                <c:pt idx="4">
                  <c:v>Pedestrian</c:v>
                </c:pt>
              </c:strCache>
            </c:strRef>
          </c:cat>
          <c:val>
            <c:numRef>
              <c:f>'7'!$B$6:$B$10</c:f>
              <c:numCache>
                <c:formatCode>General</c:formatCode>
                <c:ptCount val="5"/>
                <c:pt idx="0">
                  <c:v>2</c:v>
                </c:pt>
                <c:pt idx="1">
                  <c:v>3</c:v>
                </c:pt>
                <c:pt idx="2">
                  <c:v>1</c:v>
                </c:pt>
                <c:pt idx="3">
                  <c:v>16</c:v>
                </c:pt>
                <c:pt idx="4">
                  <c:v>13</c:v>
                </c:pt>
              </c:numCache>
            </c:numRef>
          </c:val>
          <c:extLst>
            <c:ext xmlns:c16="http://schemas.microsoft.com/office/drawing/2014/chart" uri="{C3380CC4-5D6E-409C-BE32-E72D297353CC}">
              <c16:uniqueId val="{0000000A-AE24-4BD1-8B30-9C068EBA2A5B}"/>
            </c:ext>
          </c:extLst>
        </c:ser>
        <c:ser>
          <c:idx val="1"/>
          <c:order val="1"/>
          <c:tx>
            <c:strRef>
              <c:f>'7'!$C$5</c:f>
              <c:strCache>
                <c:ptCount val="1"/>
                <c:pt idx="0">
                  <c:v>Fatalities in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C-AE24-4BD1-8B30-9C068EBA2A5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AE24-4BD1-8B30-9C068EBA2A5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AE24-4BD1-8B30-9C068EBA2A5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AE24-4BD1-8B30-9C068EBA2A5B}"/>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AE24-4BD1-8B30-9C068EBA2A5B}"/>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'7'!$A$6:$A$10</c:f>
              <c:strCache>
                <c:ptCount val="5"/>
                <c:pt idx="0">
                  <c:v>Cyclist</c:v>
                </c:pt>
                <c:pt idx="1">
                  <c:v>Motocyclist</c:v>
                </c:pt>
                <c:pt idx="2">
                  <c:v>Other</c:v>
                </c:pt>
                <c:pt idx="3">
                  <c:v>Passanger</c:v>
                </c:pt>
                <c:pt idx="4">
                  <c:v>Pedestrian</c:v>
                </c:pt>
              </c:strCache>
            </c:strRef>
          </c:cat>
          <c:val>
            <c:numRef>
              <c:f>'7'!$C$6:$C$10</c:f>
              <c:numCache>
                <c:formatCode>0%</c:formatCode>
                <c:ptCount val="5"/>
                <c:pt idx="0">
                  <c:v>5.7142857142857141E-2</c:v>
                </c:pt>
                <c:pt idx="1">
                  <c:v>8.5714285714285715E-2</c:v>
                </c:pt>
                <c:pt idx="2">
                  <c:v>2.8571428571428571E-2</c:v>
                </c:pt>
                <c:pt idx="3">
                  <c:v>0.45714285714285713</c:v>
                </c:pt>
                <c:pt idx="4">
                  <c:v>0.37142857142857144</c:v>
                </c:pt>
              </c:numCache>
            </c:numRef>
          </c:val>
          <c:extLst>
            <c:ext xmlns:c16="http://schemas.microsoft.com/office/drawing/2014/chart" uri="{C3380CC4-5D6E-409C-BE32-E72D297353CC}">
              <c16:uniqueId val="{00000015-AE24-4BD1-8B30-9C068EBA2A5B}"/>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sq-A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r>
              <a:rPr lang="en-GB" sz="1100" b="1" i="0" u="none" strike="noStrike" baseline="0">
                <a:solidFill>
                  <a:srgbClr val="002060"/>
                </a:solidFill>
                <a:effectLst/>
                <a:latin typeface="Arial" panose="020B0604020202020204" pitchFamily="34" charset="0"/>
                <a:cs typeface="Arial" panose="020B0604020202020204" pitchFamily="34" charset="0"/>
              </a:rPr>
              <a:t>Fatalitetet e përdoruesve të rrugës</a:t>
            </a:r>
            <a:r>
              <a:rPr lang="sl-SI" sz="1100" b="1" i="0" u="none" strike="noStrike" baseline="0">
                <a:solidFill>
                  <a:srgbClr val="002060"/>
                </a:solidFill>
                <a:effectLst/>
                <a:latin typeface="Arial" panose="020B0604020202020204" pitchFamily="34" charset="0"/>
                <a:cs typeface="Arial" panose="020B0604020202020204" pitchFamily="34" charset="0"/>
              </a:rPr>
              <a:t>(</a:t>
            </a:r>
            <a:r>
              <a:rPr lang="en-GB" sz="1100" b="1" i="0" u="none" strike="noStrike" baseline="0">
                <a:solidFill>
                  <a:srgbClr val="002060"/>
                </a:solidFill>
                <a:effectLst/>
                <a:latin typeface="Arial" panose="020B0604020202020204" pitchFamily="34" charset="0"/>
                <a:cs typeface="Arial" panose="020B0604020202020204" pitchFamily="34" charset="0"/>
              </a:rPr>
              <a:t>2021</a:t>
            </a:r>
            <a:r>
              <a:rPr lang="sq-AL" sz="1100" b="1" i="0" u="none" strike="noStrike" baseline="0">
                <a:effectLst/>
              </a:rPr>
              <a:t>–</a:t>
            </a:r>
            <a:r>
              <a:rPr lang="en-GB" sz="1100" b="1" i="0" u="none" strike="noStrike" baseline="0">
                <a:solidFill>
                  <a:srgbClr val="002060"/>
                </a:solidFill>
                <a:effectLst/>
                <a:latin typeface="Arial" panose="020B0604020202020204" pitchFamily="34" charset="0"/>
                <a:cs typeface="Arial" panose="020B0604020202020204" pitchFamily="34" charset="0"/>
              </a:rPr>
              <a:t>2024</a:t>
            </a:r>
            <a:r>
              <a:rPr lang="sl-SI" sz="1100" b="1" i="0" u="none" strike="noStrike" baseline="0">
                <a:solidFill>
                  <a:srgbClr val="002060"/>
                </a:solidFill>
                <a:effectLst/>
                <a:latin typeface="Arial" panose="020B0604020202020204" pitchFamily="34" charset="0"/>
                <a:cs typeface="Arial" panose="020B0604020202020204" pitchFamily="34" charset="0"/>
              </a:rPr>
              <a:t>)</a:t>
            </a:r>
            <a:endParaRPr lang="en-US" sz="1100">
              <a:solidFill>
                <a:srgbClr val="002060"/>
              </a:solidFill>
              <a:latin typeface="Arial" panose="020B0604020202020204" pitchFamily="34" charset="0"/>
              <a:cs typeface="Arial" panose="020B0604020202020204" pitchFamily="34" charset="0"/>
            </a:endParaRPr>
          </a:p>
        </c:rich>
      </c:tx>
      <c:layout>
        <c:manualLayout>
          <c:xMode val="edge"/>
          <c:yMode val="edge"/>
          <c:x val="0.22986765346911142"/>
          <c:y val="1.5220154655555949E-2"/>
        </c:manualLayout>
      </c:layout>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65000"/>
                  <a:lumOff val="35000"/>
                </a:schemeClr>
              </a:solidFill>
              <a:latin typeface="+mn-lt"/>
              <a:ea typeface="+mn-ea"/>
              <a:cs typeface="+mn-cs"/>
            </a:defRPr>
          </a:pPr>
          <a:endParaRPr lang="sq-AL"/>
        </a:p>
      </c:txPr>
    </c:title>
    <c:autoTitleDeleted val="0"/>
    <c:plotArea>
      <c:layout/>
      <c:pieChart>
        <c:varyColors val="1"/>
        <c:ser>
          <c:idx val="0"/>
          <c:order val="0"/>
          <c:tx>
            <c:strRef>
              <c:f>'1'!$B$3</c:f>
              <c:strCache>
                <c:ptCount val="1"/>
                <c:pt idx="0">
                  <c:v>Fatalities</c:v>
                </c:pt>
              </c:strCache>
            </c:strRef>
          </c:tx>
          <c:spPr>
            <a:effectLst>
              <a:outerShdw blurRad="63500" sx="102000" sy="102000" algn="ctr" rotWithShape="0">
                <a:prstClr val="black">
                  <a:alpha val="40000"/>
                </a:prstClr>
              </a:outerShdw>
            </a:effectLst>
          </c:spPr>
          <c:dPt>
            <c:idx val="0"/>
            <c:bubble3D val="0"/>
            <c:spPr>
              <a:solidFill>
                <a:schemeClr val="accent1"/>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1-E28A-47E0-A322-D2AB9F6943A2}"/>
              </c:ext>
            </c:extLst>
          </c:dPt>
          <c:dPt>
            <c:idx val="1"/>
            <c:bubble3D val="0"/>
            <c:spPr>
              <a:solidFill>
                <a:srgbClr val="E0823C"/>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3-E28A-47E0-A322-D2AB9F6943A2}"/>
              </c:ext>
            </c:extLst>
          </c:dPt>
          <c:dPt>
            <c:idx val="2"/>
            <c:bubble3D val="0"/>
            <c:spPr>
              <a:solidFill>
                <a:srgbClr val="00B0F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5-E28A-47E0-A322-D2AB9F6943A2}"/>
              </c:ext>
            </c:extLst>
          </c:dPt>
          <c:dPt>
            <c:idx val="3"/>
            <c:bubble3D val="0"/>
            <c:spPr>
              <a:solidFill>
                <a:srgbClr val="00B05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7-E28A-47E0-A322-D2AB9F6943A2}"/>
              </c:ext>
            </c:extLst>
          </c:dPt>
          <c:dPt>
            <c:idx val="4"/>
            <c:bubble3D val="0"/>
            <c:spPr>
              <a:solidFill>
                <a:srgbClr val="0070C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9-E28A-47E0-A322-D2AB9F6943A2}"/>
              </c:ext>
            </c:extLst>
          </c:dPt>
          <c:dPt>
            <c:idx val="5"/>
            <c:bubble3D val="0"/>
            <c:spPr>
              <a:solidFill>
                <a:srgbClr val="FF0000"/>
              </a:solidFill>
              <a:ln>
                <a:noFill/>
              </a:ln>
              <a:effectLst>
                <a:outerShdw blurRad="63500" sx="102000" sy="102000" algn="ctr" rotWithShape="0">
                  <a:prstClr val="black">
                    <a:alpha val="40000"/>
                  </a:prstClr>
                </a:outerShdw>
              </a:effectLst>
            </c:spPr>
            <c:extLst>
              <c:ext xmlns:c16="http://schemas.microsoft.com/office/drawing/2014/chart" uri="{C3380CC4-5D6E-409C-BE32-E72D297353CC}">
                <c16:uniqueId val="{0000000B-E28A-47E0-A322-D2AB9F6943A2}"/>
              </c:ext>
            </c:extLst>
          </c:dPt>
          <c:dLbls>
            <c:dLbl>
              <c:idx val="0"/>
              <c:layout>
                <c:manualLayout>
                  <c:x val="4.9469964664310952E-2"/>
                  <c:y val="2.1739130434782591E-2"/>
                </c:manualLayout>
              </c:layout>
              <c:tx>
                <c:rich>
                  <a:bodyPr/>
                  <a:lstStyle/>
                  <a:p>
                    <a:r>
                      <a:rPr lang="en-US" b="1" baseline="0">
                        <a:solidFill>
                          <a:srgbClr val="002060"/>
                        </a:solidFill>
                      </a:rPr>
                      <a:t>Çiklist </a:t>
                    </a:r>
                  </a:p>
                  <a:p>
                    <a:fld id="{0B1A632B-F062-4169-88BC-C4D984CEE291}" type="PERCENTAGE">
                      <a:rPr lang="en-US" b="1" baseline="0">
                        <a:solidFill>
                          <a:srgbClr val="00206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E28A-47E0-A322-D2AB9F6943A2}"/>
                </c:ext>
              </c:extLst>
            </c:dLbl>
            <c:dLbl>
              <c:idx val="1"/>
              <c:layout>
                <c:manualLayout>
                  <c:x val="2.5912838633686604E-2"/>
                  <c:y val="0"/>
                </c:manualLayout>
              </c:layout>
              <c:tx>
                <c:rich>
                  <a:bodyPr/>
                  <a:lstStyle/>
                  <a:p>
                    <a:r>
                      <a:rPr lang="en-US" b="1" baseline="0">
                        <a:solidFill>
                          <a:srgbClr val="002060"/>
                        </a:solidFill>
                      </a:rPr>
                      <a:t>Shofer </a:t>
                    </a:r>
                  </a:p>
                  <a:p>
                    <a:fld id="{E71802B1-C6B7-43BC-BE29-29ECEDD20694}" type="PERCENTAGE">
                      <a:rPr lang="en-US" b="1" baseline="0">
                        <a:solidFill>
                          <a:srgbClr val="00206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E28A-47E0-A322-D2AB9F6943A2}"/>
                </c:ext>
              </c:extLst>
            </c:dLbl>
            <c:dLbl>
              <c:idx val="2"/>
              <c:layout>
                <c:manualLayout>
                  <c:x val="4.0047114252061332E-2"/>
                  <c:y val="-2.5362318840579844E-2"/>
                </c:manualLayout>
              </c:layout>
              <c:tx>
                <c:rich>
                  <a:bodyPr rot="0" spcFirstLastPara="1" vertOverflow="clip" horzOverflow="clip" vert="horz" wrap="square" lIns="38100" tIns="19050" rIns="38100" bIns="19050" anchor="ctr" anchorCtr="1">
                    <a:spAutoFit/>
                  </a:bodyPr>
                  <a:lstStyle/>
                  <a:p>
                    <a:pPr>
                      <a:defRPr sz="1050" b="0" i="0" u="none" strike="noStrike" kern="1200" cap="none" spc="0" baseline="0">
                        <a:ln w="0"/>
                        <a:solidFill>
                          <a:schemeClr val="accent1"/>
                        </a:solidFill>
                        <a:effectLst>
                          <a:outerShdw blurRad="38100" dist="25400" dir="5400000" algn="ctr" rotWithShape="0">
                            <a:srgbClr val="6E747A">
                              <a:alpha val="43000"/>
                            </a:srgbClr>
                          </a:outerShdw>
                        </a:effectLst>
                        <a:latin typeface="+mn-lt"/>
                        <a:ea typeface="+mn-ea"/>
                        <a:cs typeface="+mn-cs"/>
                      </a:defRPr>
                    </a:pPr>
                    <a:r>
                      <a:rPr lang="en-US" b="1" baseline="0">
                        <a:solidFill>
                          <a:srgbClr val="002060"/>
                        </a:solidFill>
                      </a:rPr>
                      <a:t>Motoçiklist</a:t>
                    </a:r>
                  </a:p>
                  <a:p>
                    <a:pPr>
                      <a:defRPr sz="1050" cap="none" spc="0">
                        <a:ln w="0"/>
                        <a:solidFill>
                          <a:schemeClr val="accent1"/>
                        </a:solidFill>
                        <a:effectLst>
                          <a:outerShdw blurRad="38100" dist="25400" dir="5400000" algn="ctr" rotWithShape="0">
                            <a:srgbClr val="6E747A">
                              <a:alpha val="43000"/>
                            </a:srgbClr>
                          </a:outerShdw>
                        </a:effectLst>
                      </a:defRPr>
                    </a:pPr>
                    <a:fld id="{6E04DCBD-9E1A-4305-A32C-3121B677EC22}" type="PERCENTAGE">
                      <a:rPr lang="en-US" b="1" baseline="0">
                        <a:solidFill>
                          <a:srgbClr val="002060"/>
                        </a:solidFill>
                      </a:rPr>
                      <a:pPr>
                        <a:defRPr sz="1050" cap="none" spc="0">
                          <a:ln w="0"/>
                          <a:solidFill>
                            <a:schemeClr val="accent1"/>
                          </a:solidFill>
                          <a:effectLst>
                            <a:outerShdw blurRad="38100" dist="25400" dir="5400000" algn="ctr" rotWithShape="0">
                              <a:srgbClr val="6E747A">
                                <a:alpha val="43000"/>
                              </a:srgbClr>
                            </a:outerShdw>
                          </a:effectLst>
                        </a:defRPr>
                      </a:pPr>
                      <a:t>[PERCENTAGE]</a:t>
                    </a:fld>
                    <a:endParaRPr lang="sq-AL"/>
                  </a:p>
                </c:rich>
              </c:tx>
              <c:spPr>
                <a:solidFill>
                  <a:srgbClr val="FFC000">
                    <a:alpha val="75000"/>
                  </a:srgb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cap="none" spc="0" baseline="0">
                      <a:ln w="0"/>
                      <a:solidFill>
                        <a:schemeClr val="accent1"/>
                      </a:solidFill>
                      <a:effectLst>
                        <a:outerShdw blurRad="38100" dist="25400" dir="5400000" algn="ctr" rotWithShape="0">
                          <a:srgbClr val="6E747A">
                            <a:alpha val="43000"/>
                          </a:srgbClr>
                        </a:outerShdw>
                      </a:effectLst>
                      <a:latin typeface="+mn-lt"/>
                      <a:ea typeface="+mn-ea"/>
                      <a:cs typeface="+mn-cs"/>
                    </a:defRPr>
                  </a:pPr>
                  <a:endParaRPr lang="sq-AL"/>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5-E28A-47E0-A322-D2AB9F6943A2}"/>
                </c:ext>
              </c:extLst>
            </c:dLbl>
            <c:dLbl>
              <c:idx val="3"/>
              <c:layout>
                <c:manualLayout>
                  <c:x val="4.0047206996651846E-2"/>
                  <c:y val="-1.1633631644787796E-2"/>
                </c:manualLayout>
              </c:layout>
              <c:tx>
                <c:rich>
                  <a:bodyPr/>
                  <a:lstStyle/>
                  <a:p>
                    <a:r>
                      <a:rPr lang="en-US" b="1" baseline="0">
                        <a:solidFill>
                          <a:srgbClr val="002060"/>
                        </a:solidFill>
                      </a:rPr>
                      <a:t>Te tjere </a:t>
                    </a:r>
                    <a:fld id="{B3332DC7-3DFA-4427-98A7-24681235FB61}" type="PERCENTAGE">
                      <a:rPr lang="en-US" b="1" baseline="0">
                        <a:solidFill>
                          <a:srgbClr val="002060"/>
                        </a:solidFill>
                      </a:rPr>
                      <a:pPr/>
                      <a:t>[PERCENTAGE]</a:t>
                    </a:fld>
                    <a:endParaRPr lang="en-US" b="1" baseline="0">
                      <a:solidFill>
                        <a:srgbClr val="002060"/>
                      </a:solidFill>
                    </a:endParaRPr>
                  </a:p>
                </c:rich>
              </c:tx>
              <c:dLblPos val="bestFit"/>
              <c:showLegendKey val="0"/>
              <c:showVal val="0"/>
              <c:showCatName val="1"/>
              <c:showSerName val="0"/>
              <c:showPercent val="1"/>
              <c:showBubbleSize val="0"/>
              <c:extLst>
                <c:ext xmlns:c15="http://schemas.microsoft.com/office/drawing/2012/chart" uri="{CE6537A1-D6FC-4f65-9D91-7224C49458BB}">
                  <c15:layout>
                    <c:manualLayout>
                      <c:w val="0.12178218005434834"/>
                      <c:h val="9.6922189659028046E-2"/>
                    </c:manualLayout>
                  </c15:layout>
                  <c15:dlblFieldTable/>
                  <c15:showDataLabelsRange val="0"/>
                </c:ext>
                <c:ext xmlns:c16="http://schemas.microsoft.com/office/drawing/2014/chart" uri="{C3380CC4-5D6E-409C-BE32-E72D297353CC}">
                  <c16:uniqueId val="{00000007-E28A-47E0-A322-D2AB9F6943A2}"/>
                </c:ext>
              </c:extLst>
            </c:dLbl>
            <c:dLbl>
              <c:idx val="4"/>
              <c:layout>
                <c:manualLayout>
                  <c:x val="-4.2402826855123678E-2"/>
                  <c:y val="-3.6231884057972342E-3"/>
                </c:manualLayout>
              </c:layout>
              <c:tx>
                <c:rich>
                  <a:bodyPr/>
                  <a:lstStyle/>
                  <a:p>
                    <a:r>
                      <a:rPr lang="en-US" b="1" baseline="0">
                        <a:solidFill>
                          <a:srgbClr val="002060"/>
                        </a:solidFill>
                      </a:rPr>
                      <a:t>Pasagjer </a:t>
                    </a:r>
                  </a:p>
                  <a:p>
                    <a:fld id="{9FCD83D0-54D3-43A9-B9A8-D47839A83A96}" type="PERCENTAGE">
                      <a:rPr lang="en-US" b="1" baseline="0">
                        <a:solidFill>
                          <a:srgbClr val="00206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E28A-47E0-A322-D2AB9F6943A2}"/>
                </c:ext>
              </c:extLst>
            </c:dLbl>
            <c:dLbl>
              <c:idx val="5"/>
              <c:layout>
                <c:manualLayout>
                  <c:x val="-5.6537102473498253E-2"/>
                  <c:y val="0"/>
                </c:manualLayout>
              </c:layout>
              <c:tx>
                <c:rich>
                  <a:bodyPr/>
                  <a:lstStyle/>
                  <a:p>
                    <a:r>
                      <a:rPr lang="en-US" b="1" baseline="0">
                        <a:solidFill>
                          <a:srgbClr val="002060"/>
                        </a:solidFill>
                      </a:rPr>
                      <a:t>Këmbësor </a:t>
                    </a:r>
                  </a:p>
                  <a:p>
                    <a:fld id="{CE48C1D9-A219-4D05-9B4E-C487CE923BCB}" type="PERCENTAGE">
                      <a:rPr lang="en-US" b="1" baseline="0">
                        <a:solidFill>
                          <a:srgbClr val="002060"/>
                        </a:solidFill>
                      </a:rPr>
                      <a:pPr/>
                      <a:t>[PERCENTAGE]</a:t>
                    </a:fld>
                    <a:endParaRPr lang="sq-AL"/>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E28A-47E0-A322-D2AB9F6943A2}"/>
                </c:ext>
              </c:extLst>
            </c:dLbl>
            <c:spPr>
              <a:solidFill>
                <a:sysClr val="window" lastClr="FFFFFF">
                  <a:alpha val="75000"/>
                </a:sysClr>
              </a:solidFill>
              <a:ln w="9525">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050" b="0" i="0" u="none" strike="noStrike" kern="1200" cap="none" spc="0" baseline="0">
                    <a:ln w="0"/>
                    <a:solidFill>
                      <a:schemeClr val="accent1"/>
                    </a:solidFill>
                    <a:effectLst>
                      <a:outerShdw blurRad="38100" dist="25400" dir="5400000" algn="ctr" rotWithShape="0">
                        <a:srgbClr val="6E747A">
                          <a:alpha val="43000"/>
                        </a:srgbClr>
                      </a:outerShdw>
                    </a:effectLst>
                    <a:latin typeface="+mn-lt"/>
                    <a:ea typeface="+mn-ea"/>
                    <a:cs typeface="+mn-cs"/>
                  </a:defRPr>
                </a:pPr>
                <a:endParaRPr lang="sq-AL"/>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'1'!$A$4:$A$9</c:f>
              <c:strCache>
                <c:ptCount val="6"/>
                <c:pt idx="0">
                  <c:v>Cyclist</c:v>
                </c:pt>
                <c:pt idx="1">
                  <c:v>Driver</c:v>
                </c:pt>
                <c:pt idx="2">
                  <c:v>Motocyclist</c:v>
                </c:pt>
                <c:pt idx="3">
                  <c:v>Other</c:v>
                </c:pt>
                <c:pt idx="4">
                  <c:v>Passanger</c:v>
                </c:pt>
                <c:pt idx="5">
                  <c:v>Pedestrian</c:v>
                </c:pt>
              </c:strCache>
            </c:strRef>
          </c:cat>
          <c:val>
            <c:numRef>
              <c:f>'1'!$B$4:$B$9</c:f>
              <c:numCache>
                <c:formatCode>General</c:formatCode>
                <c:ptCount val="6"/>
                <c:pt idx="0">
                  <c:v>57</c:v>
                </c:pt>
                <c:pt idx="1">
                  <c:v>177</c:v>
                </c:pt>
                <c:pt idx="2">
                  <c:v>92</c:v>
                </c:pt>
                <c:pt idx="3">
                  <c:v>8</c:v>
                </c:pt>
                <c:pt idx="4">
                  <c:v>141</c:v>
                </c:pt>
                <c:pt idx="5">
                  <c:v>246</c:v>
                </c:pt>
              </c:numCache>
            </c:numRef>
          </c:val>
          <c:extLst>
            <c:ext xmlns:c16="http://schemas.microsoft.com/office/drawing/2014/chart" uri="{C3380CC4-5D6E-409C-BE32-E72D297353CC}">
              <c16:uniqueId val="{0000000C-E28A-47E0-A322-D2AB9F6943A2}"/>
            </c:ext>
          </c:extLst>
        </c:ser>
        <c:ser>
          <c:idx val="1"/>
          <c:order val="1"/>
          <c:tx>
            <c:strRef>
              <c:f>'1'!$C$3</c:f>
              <c:strCache>
                <c:ptCount val="1"/>
                <c:pt idx="0">
                  <c:v>Fatalities in %</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E-E28A-47E0-A322-D2AB9F6943A2}"/>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0-E28A-47E0-A322-D2AB9F6943A2}"/>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2-E28A-47E0-A322-D2AB9F6943A2}"/>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4-E28A-47E0-A322-D2AB9F6943A2}"/>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6-E28A-47E0-A322-D2AB9F6943A2}"/>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18-E28A-47E0-A322-D2AB9F6943A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q-AL"/>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'1'!$A$4:$A$9</c:f>
              <c:strCache>
                <c:ptCount val="6"/>
                <c:pt idx="0">
                  <c:v>Cyclist</c:v>
                </c:pt>
                <c:pt idx="1">
                  <c:v>Driver</c:v>
                </c:pt>
                <c:pt idx="2">
                  <c:v>Motocyclist</c:v>
                </c:pt>
                <c:pt idx="3">
                  <c:v>Other</c:v>
                </c:pt>
                <c:pt idx="4">
                  <c:v>Passanger</c:v>
                </c:pt>
                <c:pt idx="5">
                  <c:v>Pedestrian</c:v>
                </c:pt>
              </c:strCache>
            </c:strRef>
          </c:cat>
          <c:val>
            <c:numRef>
              <c:f>'1'!$C$4:$C$9</c:f>
              <c:numCache>
                <c:formatCode>0%</c:formatCode>
                <c:ptCount val="6"/>
                <c:pt idx="0">
                  <c:v>7.9056865464632461E-2</c:v>
                </c:pt>
                <c:pt idx="1">
                  <c:v>0.24549237170596394</c:v>
                </c:pt>
                <c:pt idx="2">
                  <c:v>0.1276005547850208</c:v>
                </c:pt>
                <c:pt idx="3">
                  <c:v>1.1095700416088766E-2</c:v>
                </c:pt>
                <c:pt idx="4">
                  <c:v>0.19556171983356449</c:v>
                </c:pt>
                <c:pt idx="5">
                  <c:v>0.34119278779472956</c:v>
                </c:pt>
              </c:numCache>
            </c:numRef>
          </c:val>
          <c:extLst>
            <c:ext xmlns:c16="http://schemas.microsoft.com/office/drawing/2014/chart" uri="{C3380CC4-5D6E-409C-BE32-E72D297353CC}">
              <c16:uniqueId val="{00000019-E28A-47E0-A322-D2AB9F6943A2}"/>
            </c:ext>
          </c:extLst>
        </c:ser>
        <c:dLbls>
          <c:dLblPos val="inEnd"/>
          <c:showLegendKey val="0"/>
          <c:showVal val="0"/>
          <c:showCatName val="0"/>
          <c:showSerName val="0"/>
          <c:showPercent val="1"/>
          <c:showBubbleSize val="0"/>
          <c:showLeaderLines val="0"/>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sq-A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800" b="1"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586</Nr_x002e__x0020_akti>
    <Data_x0020_e_x0020_Krijimit xmlns="0e656187-b300-4fb0-8bf4-3a50f872073c">2026-07-24T06:46:08Z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2026-07-23T00:00:00Z</Date_x0020_protokolli>
    <Titulli xmlns="0e656187-b300-4fb0-8bf4-3a50f872073c">Për Miratimin e Strategjisë Kombëtare për Sigurinë Rrugore 2026 – 2030 dhe të planit të veprimit 2027 – 2029</Titulli>
    <Modifikuesi xmlns="0e656187-b300-4fb0-8bf4-3a50f872073c">Fjora.Cahani</Modifikuesi>
    <Nr_x002e__x0020_prot_x0020_QBZ xmlns="0e656187-b300-4fb0-8bf4-3a50f872073c">1672</Nr_x002e__x0020_prot_x0020_QBZ>
    <Data_x0020_e_x0020_Modifikimit xmlns="0e656187-b300-4fb0-8bf4-3a50f872073c">2026-07-27T12:50:37Z</Data_x0020_e_x0020_Modifikimit>
    <Dekretuar xmlns="0e656187-b300-4fb0-8bf4-3a50f872073c">false</Dekretuar>
    <Data xmlns="0e656187-b300-4fb0-8bf4-3a50f872073c">2026-07-22T00:00:00Z</Data>
    <Nr_x002e__x0020_protokolli_x0020_i_x0020_aktit xmlns="0e656187-b300-4fb0-8bf4-3a50f872073c">2013/3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CB1068CE118C4A2AA069770BA588AA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B1068CE118C4A2AA069770BA588AA4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ISO690Nmerical.XSL" StyleName="ISO 690 - Numerical Reference" Version="1987">
  <b:Source>
    <b:Tag>Del18</b:Tag>
    <b:SourceType>Report</b:SourceType>
    <b:Guid>{E701A502-A5AA-4F07-A095-34721E25E7C7}</b:Guid>
    <b:Title>Road Sector Reform Study, Draft Final Report</b:Title>
    <b:Year>2018</b:Year>
    <b:Author>
      <b:Author>
        <b:NameList>
          <b:Person>
            <b:Last>Deloitte</b:Last>
          </b:Person>
        </b:NameList>
      </b:Author>
    </b:Author>
    <b:City>Belgrade</b:City>
    <b:RefOrder>2</b:RefOrder>
  </b:Source>
  <b:Source>
    <b:Tag>EGI17</b:Tag>
    <b:SourceType>Report</b:SourceType>
    <b:Guid>{58698EA2-7EC0-4BBB-916C-3EC319B5231C}</b:Guid>
    <b:Author>
      <b:Author>
        <b:NameList>
          <b:Person>
            <b:Last>EGIS</b:Last>
          </b:Person>
        </b:NameList>
      </b:Author>
    </b:Author>
    <b:Title>Introduction and Development of Performance-Based Road Maintenance on Serbian National Road Network</b:Title>
    <b:Year>2017</b:Year>
    <b:City>Belgrade</b:City>
    <b:RefOrder>1</b:RefOrder>
  </b:Source>
  <b:Source>
    <b:Tag>PER22</b:Tag>
    <b:SourceType>Report</b:SourceType>
    <b:Guid>{AC768297-99C4-4366-9C1C-202564872DCC}</b:Guid>
    <b:Author>
      <b:Author>
        <b:NameList>
          <b:Person>
            <b:Last>PERS</b:Last>
          </b:Person>
        </b:NameList>
      </b:Author>
    </b:Author>
    <b:Title>Resolution on organisation and sistemtisation of services</b:Title>
    <b:Year>2022</b:Year>
    <b:City>Belgrade</b:City>
    <b:RefOrder>4</b:RefOrder>
  </b:Source>
  <b:Source>
    <b:Tag>PER20</b:Tag>
    <b:SourceType>Report</b:SourceType>
    <b:Guid>{6E977FC9-0F41-4FAB-B550-E80890F7A1BC}</b:Guid>
    <b:Author>
      <b:Author>
        <b:NameList>
          <b:Person>
            <b:Last>PERS</b:Last>
          </b:Person>
        </b:NameList>
      </b:Author>
    </b:Author>
    <b:Title>Rulebook on routine maintenance</b:Title>
    <b:Year>2020</b:Year>
    <b:City>Belgrade</b:City>
    <b:RefOrder>6</b:RefOrder>
  </b:Source>
  <b:Source>
    <b:Tag>MCT23</b:Tag>
    <b:SourceType>Report</b:SourceType>
    <b:Guid>{4A836A62-367C-4926-B1DC-FBB6479E83FA}</b:Guid>
    <b:Author>
      <b:Author>
        <b:NameList>
          <b:Person>
            <b:Last>MCTI</b:Last>
          </b:Person>
        </b:NameList>
      </b:Author>
    </b:Author>
    <b:Title>Road Sector Service level agreement</b:Title>
    <b:Year>2023</b:Year>
    <b:City>Belgrade</b:City>
    <b:RefOrder>8</b:RefOrder>
  </b:Source>
  <b:Source>
    <b:Tag>PER221</b:Tag>
    <b:SourceType>Report</b:SourceType>
    <b:Guid>{032742EB-3310-432F-A638-DF26AA242EDF}</b:Guid>
    <b:Author>
      <b:Author>
        <b:NameList>
          <b:Person>
            <b:Last>PERS</b:Last>
          </b:Person>
        </b:NameList>
      </b:Author>
    </b:Author>
    <b:Title>Annual Work Plan 2022</b:Title>
    <b:Year>2022</b:Year>
    <b:City>Belgrade</b:City>
    <b:RefOrder>9</b:RefOrder>
  </b:Source>
  <b:Source>
    <b:Tag>MCT18</b:Tag>
    <b:SourceType>Report</b:SourceType>
    <b:Guid>{5E6D1667-4CB7-4954-AE53-799FFFCD522B}</b:Guid>
    <b:Author>
      <b:Author>
        <b:NameList>
          <b:Person>
            <b:Last>MCTI</b:Last>
          </b:Person>
        </b:NameList>
      </b:Author>
    </b:Author>
    <b:Title>Law on Roads</b:Title>
    <b:Year>2018</b:Year>
    <b:City>Belgrade</b:City>
    <b:RefOrder>15</b:RefOrder>
  </b:Source>
  <b:Source>
    <b:Tag>MoJ19</b:Tag>
    <b:SourceType>Report</b:SourceType>
    <b:Guid>{C923C66E-2CC5-4BEE-A91E-C5B2AF3273E6}</b:Guid>
    <b:Author>
      <b:Author>
        <b:NameList>
          <b:Person>
            <b:Last>RoS</b:Last>
            <b:First>Procurement</b:First>
            <b:Middle>Office</b:Middle>
          </b:Person>
        </b:NameList>
      </b:Author>
    </b:Author>
    <b:Title>Law on Public Procurement</b:Title>
    <b:Year>2019</b:Year>
    <b:Publisher>Official Gazette of the Republic of Serbia</b:Publisher>
    <b:RefOrder>13</b:RefOrder>
  </b:Source>
  <b:Source>
    <b:Tag>PER16</b:Tag>
    <b:SourceType>Report</b:SourceType>
    <b:Guid>{BD0E2D76-1DEC-4369-9D73-2BD18029F72F}</b:Guid>
    <b:Author>
      <b:Author>
        <b:NameList>
          <b:Person>
            <b:Last>PERS</b:Last>
          </b:Person>
        </b:NameList>
      </b:Author>
    </b:Author>
    <b:Title>Strategic Plan for PBMC</b:Title>
    <b:Year>2016</b:Year>
    <b:RefOrder>12</b:RefOrder>
  </b:Source>
  <b:Source>
    <b:Tag>PrA21</b:Tag>
    <b:SourceType>Report</b:SourceType>
    <b:Guid>{48428E21-E4A2-488C-8EE0-A1A36E06B7F4}</b:Guid>
    <b:Author>
      <b:Author>
        <b:Corporate>Pr. Adam Zofka and all.</b:Corporate>
      </b:Author>
    </b:Author>
    <b:Title>Tools for road asset management: TEM recommendations for road operators</b:Title>
    <b:Year>2021</b:Year>
    <b:Publisher>UNECE</b:Publisher>
    <b:City>Geneva</b:City>
    <b:RefOrder>14</b:RefOrder>
  </b:Source>
  <b:Source>
    <b:Tag>Wor08</b:Tag>
    <b:SourceType>InternetSite</b:SourceType>
    <b:Guid>{120F6FAE-25AD-419E-A8D7-D9794177B4DB}</b:Guid>
    <b:Title>https://collaboration.worldbank.org/content/sites/collaboration-for-development/en/groups/world-bank-road-software-tools.html</b:Title>
    <b:Year>2008</b:Year>
    <b:Author>
      <b:Author>
        <b:NameList>
          <b:Person>
            <b:Last>Bank</b:Last>
            <b:First>World</b:First>
          </b:Person>
        </b:NameList>
      </b:Author>
    </b:Author>
    <b:RefOrder>11</b:RefOrder>
  </b:Source>
  <b:Source>
    <b:Tag>MCT</b:Tag>
    <b:SourceType>Report</b:SourceType>
    <b:Guid>{A76F52AC-211D-4852-A2F0-F4182AFD37C6}</b:Guid>
    <b:Author>
      <b:Author>
        <b:NameList>
          <b:Person>
            <b:Last>MCTI</b:Last>
          </b:Person>
        </b:NameList>
      </b:Author>
    </b:Author>
    <b:Title>Strategic Plan for Introduction of PBMC</b:Title>
    <b:City>Belgrade</b:City>
    <b:RefOrder>10</b:RefOrder>
  </b:Source>
  <b:Source>
    <b:Tag>Del181</b:Tag>
    <b:SourceType>Report</b:SourceType>
    <b:Guid>{CBAB65FB-5346-436F-AAA0-493A004487CE}</b:Guid>
    <b:Author>
      <b:Author>
        <b:NameList>
          <b:Person>
            <b:Last>Deloitte</b:Last>
          </b:Person>
        </b:NameList>
      </b:Author>
    </b:Author>
    <b:Title>Road Sector Reform Study, Final Report, Annex 2.4, RAMS</b:Title>
    <b:Year>2018</b:Year>
    <b:City>Belgrade</b:City>
    <b:RefOrder>3</b:RefOrder>
  </b:Source>
  <b:Source>
    <b:Tag>Del183</b:Tag>
    <b:SourceType>Report</b:SourceType>
    <b:Guid>{5C2B2F18-4A67-4F67-9FDE-4C90922C6540}</b:Guid>
    <b:Author>
      <b:Author>
        <b:NameList>
          <b:Person>
            <b:Last>Deloitte</b:Last>
          </b:Person>
        </b:NameList>
      </b:Author>
    </b:Author>
    <b:Title>Road Sector Reform Study, Final Report, Annex 2.7, SLA</b:Title>
    <b:Year>2018</b:Year>
    <b:City>Belgrade</b:City>
    <b:RefOrder>7</b:RefOrder>
  </b:Source>
  <b:Source>
    <b:Tag>PER14</b:Tag>
    <b:SourceType>Report</b:SourceType>
    <b:Guid>{76F99297-E233-454F-BE83-854A83006BE6}</b:Guid>
    <b:Author>
      <b:Author>
        <b:NameList>
          <b:Person>
            <b:Last>PERS</b:Last>
          </b:Person>
        </b:NameList>
      </b:Author>
    </b:Author>
    <b:Title>Rule book on emergency maintenance</b:Title>
    <b:Year>2019</b:Year>
    <b:RefOrder>5</b:RefOrder>
  </b:Source>
</b:Sources>
</file>

<file path=customXml/itemProps1.xml><?xml version="1.0" encoding="utf-8"?>
<ds:datastoreItem xmlns:ds="http://schemas.openxmlformats.org/officeDocument/2006/customXml" ds:itemID="{A0F61670-E0BB-4072-B124-ADF0D9D0A4F9}">
  <ds:schemaRefs>
    <ds:schemaRef ds:uri="0e656187-b300-4fb0-8bf4-3a50f872073c"/>
    <ds:schemaRef ds:uri="http://www.w3.org/XML/1998/namespace"/>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purl.org/dc/dcmitype/"/>
    <ds:schemaRef ds:uri="http://purl.org/dc/terms/"/>
  </ds:schemaRefs>
</ds:datastoreItem>
</file>

<file path=customXml/itemProps2.xml><?xml version="1.0" encoding="utf-8"?>
<ds:datastoreItem xmlns:ds="http://schemas.openxmlformats.org/officeDocument/2006/customXml" ds:itemID="{1879EEDA-A5CB-41FB-A518-3AA21214E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DAB26C1-3034-4F97-B13B-F62C1BAA640D}">
  <ds:schemaRefs>
    <ds:schemaRef ds:uri="http://schemas.microsoft.com/sharepoint/v3/contenttype/forms"/>
  </ds:schemaRefs>
</ds:datastoreItem>
</file>

<file path=customXml/itemProps4.xml><?xml version="1.0" encoding="utf-8"?>
<ds:datastoreItem xmlns:ds="http://schemas.openxmlformats.org/officeDocument/2006/customXml" ds:itemID="{BD9B5D93-B5D6-4CE8-AD72-FD16C50FA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EF66722-12DA-417A-914D-3D40903DBA80}">
  <ds:schemaRefs>
    <ds:schemaRef ds:uri="http://schemas.microsoft.com/sharepoint/v3/contenttype/forms"/>
  </ds:schemaRefs>
</ds:datastoreItem>
</file>

<file path=customXml/itemProps6.xml><?xml version="1.0" encoding="utf-8"?>
<ds:datastoreItem xmlns:ds="http://schemas.openxmlformats.org/officeDocument/2006/customXml" ds:itemID="{B93F02E9-7996-4A69-AE9F-D0B1839EF1B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removed="0"/>
</clbl:labelList>
</file>

<file path=docProps/app.xml><?xml version="1.0" encoding="utf-8"?>
<Properties xmlns="http://schemas.openxmlformats.org/officeDocument/2006/extended-properties" xmlns:vt="http://schemas.openxmlformats.org/officeDocument/2006/docPropsVTypes">
  <Template>DocumVuoto</Template>
  <TotalTime>1437</TotalTime>
  <Pages>48</Pages>
  <Words>26460</Words>
  <Characters>150824</Characters>
  <Application>Microsoft Office Word</Application>
  <DocSecurity>0</DocSecurity>
  <Lines>1256</Lines>
  <Paragraphs>353</Paragraphs>
  <ScaleCrop>false</ScaleCrop>
  <HeadingPairs>
    <vt:vector size="8" baseType="variant">
      <vt:variant>
        <vt:lpstr>Title</vt:lpstr>
      </vt:variant>
      <vt:variant>
        <vt:i4>1</vt:i4>
      </vt:variant>
      <vt:variant>
        <vt:lpstr>Naslov</vt:lpstr>
      </vt:variant>
      <vt:variant>
        <vt:i4>1</vt:i4>
      </vt:variant>
      <vt:variant>
        <vt:lpstr>Titolo</vt:lpstr>
      </vt:variant>
      <vt:variant>
        <vt:i4>1</vt:i4>
      </vt:variant>
      <vt:variant>
        <vt:lpstr>Название</vt:lpstr>
      </vt:variant>
      <vt:variant>
        <vt:i4>1</vt:i4>
      </vt:variant>
    </vt:vector>
  </HeadingPairs>
  <TitlesOfParts>
    <vt:vector size="4" baseType="lpstr">
      <vt:lpstr>Për Miratimin e Strategjisë Kombëtare për Sigurinë Rrugore 2026 – 2030 dhe të planit të veprimit 2027 – 2029</vt:lpstr>
      <vt:lpstr/>
      <vt:lpstr/>
      <vt:lpstr/>
    </vt:vector>
  </TitlesOfParts>
  <Company>Ingea Consulting Srl</Company>
  <LinksUpToDate>false</LinksUpToDate>
  <CharactersWithSpaces>176931</CharactersWithSpaces>
  <SharedDoc>false</SharedDoc>
  <HLinks>
    <vt:vector size="306" baseType="variant">
      <vt:variant>
        <vt:i4>4980782</vt:i4>
      </vt:variant>
      <vt:variant>
        <vt:i4>324</vt:i4>
      </vt:variant>
      <vt:variant>
        <vt:i4>0</vt:i4>
      </vt:variant>
      <vt:variant>
        <vt:i4>5</vt:i4>
      </vt:variant>
      <vt:variant>
        <vt:lpwstr>https://ec.europa.eu/europeaid/communication-and-visibility-manual-eu-external-actions_en</vt:lpwstr>
      </vt:variant>
      <vt:variant>
        <vt:lpwstr/>
      </vt:variant>
      <vt:variant>
        <vt:i4>4653089</vt:i4>
      </vt:variant>
      <vt:variant>
        <vt:i4>303</vt:i4>
      </vt:variant>
      <vt:variant>
        <vt:i4>0</vt:i4>
      </vt:variant>
      <vt:variant>
        <vt:i4>5</vt:i4>
      </vt:variant>
      <vt:variant>
        <vt:lpwstr>mailto:d.kostadinov@irdeng.com</vt:lpwstr>
      </vt:variant>
      <vt:variant>
        <vt:lpwstr/>
      </vt:variant>
      <vt:variant>
        <vt:i4>3932189</vt:i4>
      </vt:variant>
      <vt:variant>
        <vt:i4>300</vt:i4>
      </vt:variant>
      <vt:variant>
        <vt:i4>0</vt:i4>
      </vt:variant>
      <vt:variant>
        <vt:i4>5</vt:i4>
      </vt:variant>
      <vt:variant>
        <vt:lpwstr>mailto:slobodan.basuric@putevi-srbije.rs</vt:lpwstr>
      </vt:variant>
      <vt:variant>
        <vt:lpwstr/>
      </vt:variant>
      <vt:variant>
        <vt:i4>327732</vt:i4>
      </vt:variant>
      <vt:variant>
        <vt:i4>297</vt:i4>
      </vt:variant>
      <vt:variant>
        <vt:i4>0</vt:i4>
      </vt:variant>
      <vt:variant>
        <vt:i4>5</vt:i4>
      </vt:variant>
      <vt:variant>
        <vt:lpwstr>mailto:Petar.SPASIC@eeas.europa.eu</vt:lpwstr>
      </vt:variant>
      <vt:variant>
        <vt:lpwstr/>
      </vt:variant>
      <vt:variant>
        <vt:i4>1114170</vt:i4>
      </vt:variant>
      <vt:variant>
        <vt:i4>290</vt:i4>
      </vt:variant>
      <vt:variant>
        <vt:i4>0</vt:i4>
      </vt:variant>
      <vt:variant>
        <vt:i4>5</vt:i4>
      </vt:variant>
      <vt:variant>
        <vt:lpwstr/>
      </vt:variant>
      <vt:variant>
        <vt:lpwstr>_Toc158803389</vt:lpwstr>
      </vt:variant>
      <vt:variant>
        <vt:i4>1114170</vt:i4>
      </vt:variant>
      <vt:variant>
        <vt:i4>284</vt:i4>
      </vt:variant>
      <vt:variant>
        <vt:i4>0</vt:i4>
      </vt:variant>
      <vt:variant>
        <vt:i4>5</vt:i4>
      </vt:variant>
      <vt:variant>
        <vt:lpwstr/>
      </vt:variant>
      <vt:variant>
        <vt:lpwstr>_Toc158803388</vt:lpwstr>
      </vt:variant>
      <vt:variant>
        <vt:i4>1114170</vt:i4>
      </vt:variant>
      <vt:variant>
        <vt:i4>278</vt:i4>
      </vt:variant>
      <vt:variant>
        <vt:i4>0</vt:i4>
      </vt:variant>
      <vt:variant>
        <vt:i4>5</vt:i4>
      </vt:variant>
      <vt:variant>
        <vt:lpwstr/>
      </vt:variant>
      <vt:variant>
        <vt:lpwstr>_Toc158803387</vt:lpwstr>
      </vt:variant>
      <vt:variant>
        <vt:i4>1114170</vt:i4>
      </vt:variant>
      <vt:variant>
        <vt:i4>272</vt:i4>
      </vt:variant>
      <vt:variant>
        <vt:i4>0</vt:i4>
      </vt:variant>
      <vt:variant>
        <vt:i4>5</vt:i4>
      </vt:variant>
      <vt:variant>
        <vt:lpwstr/>
      </vt:variant>
      <vt:variant>
        <vt:lpwstr>_Toc158803386</vt:lpwstr>
      </vt:variant>
      <vt:variant>
        <vt:i4>1114170</vt:i4>
      </vt:variant>
      <vt:variant>
        <vt:i4>266</vt:i4>
      </vt:variant>
      <vt:variant>
        <vt:i4>0</vt:i4>
      </vt:variant>
      <vt:variant>
        <vt:i4>5</vt:i4>
      </vt:variant>
      <vt:variant>
        <vt:lpwstr/>
      </vt:variant>
      <vt:variant>
        <vt:lpwstr>_Toc158803385</vt:lpwstr>
      </vt:variant>
      <vt:variant>
        <vt:i4>1114170</vt:i4>
      </vt:variant>
      <vt:variant>
        <vt:i4>260</vt:i4>
      </vt:variant>
      <vt:variant>
        <vt:i4>0</vt:i4>
      </vt:variant>
      <vt:variant>
        <vt:i4>5</vt:i4>
      </vt:variant>
      <vt:variant>
        <vt:lpwstr/>
      </vt:variant>
      <vt:variant>
        <vt:lpwstr>_Toc158803384</vt:lpwstr>
      </vt:variant>
      <vt:variant>
        <vt:i4>1114170</vt:i4>
      </vt:variant>
      <vt:variant>
        <vt:i4>254</vt:i4>
      </vt:variant>
      <vt:variant>
        <vt:i4>0</vt:i4>
      </vt:variant>
      <vt:variant>
        <vt:i4>5</vt:i4>
      </vt:variant>
      <vt:variant>
        <vt:lpwstr/>
      </vt:variant>
      <vt:variant>
        <vt:lpwstr>_Toc158803383</vt:lpwstr>
      </vt:variant>
      <vt:variant>
        <vt:i4>1114170</vt:i4>
      </vt:variant>
      <vt:variant>
        <vt:i4>248</vt:i4>
      </vt:variant>
      <vt:variant>
        <vt:i4>0</vt:i4>
      </vt:variant>
      <vt:variant>
        <vt:i4>5</vt:i4>
      </vt:variant>
      <vt:variant>
        <vt:lpwstr/>
      </vt:variant>
      <vt:variant>
        <vt:lpwstr>_Toc158803382</vt:lpwstr>
      </vt:variant>
      <vt:variant>
        <vt:i4>1114170</vt:i4>
      </vt:variant>
      <vt:variant>
        <vt:i4>242</vt:i4>
      </vt:variant>
      <vt:variant>
        <vt:i4>0</vt:i4>
      </vt:variant>
      <vt:variant>
        <vt:i4>5</vt:i4>
      </vt:variant>
      <vt:variant>
        <vt:lpwstr/>
      </vt:variant>
      <vt:variant>
        <vt:lpwstr>_Toc158803381</vt:lpwstr>
      </vt:variant>
      <vt:variant>
        <vt:i4>1114170</vt:i4>
      </vt:variant>
      <vt:variant>
        <vt:i4>236</vt:i4>
      </vt:variant>
      <vt:variant>
        <vt:i4>0</vt:i4>
      </vt:variant>
      <vt:variant>
        <vt:i4>5</vt:i4>
      </vt:variant>
      <vt:variant>
        <vt:lpwstr/>
      </vt:variant>
      <vt:variant>
        <vt:lpwstr>_Toc158803380</vt:lpwstr>
      </vt:variant>
      <vt:variant>
        <vt:i4>2031664</vt:i4>
      </vt:variant>
      <vt:variant>
        <vt:i4>230</vt:i4>
      </vt:variant>
      <vt:variant>
        <vt:i4>0</vt:i4>
      </vt:variant>
      <vt:variant>
        <vt:i4>5</vt:i4>
      </vt:variant>
      <vt:variant>
        <vt:lpwstr/>
      </vt:variant>
      <vt:variant>
        <vt:lpwstr>_Toc140569700</vt:lpwstr>
      </vt:variant>
      <vt:variant>
        <vt:i4>1966138</vt:i4>
      </vt:variant>
      <vt:variant>
        <vt:i4>221</vt:i4>
      </vt:variant>
      <vt:variant>
        <vt:i4>0</vt:i4>
      </vt:variant>
      <vt:variant>
        <vt:i4>5</vt:i4>
      </vt:variant>
      <vt:variant>
        <vt:lpwstr/>
      </vt:variant>
      <vt:variant>
        <vt:lpwstr>_Toc158803379</vt:lpwstr>
      </vt:variant>
      <vt:variant>
        <vt:i4>1966138</vt:i4>
      </vt:variant>
      <vt:variant>
        <vt:i4>215</vt:i4>
      </vt:variant>
      <vt:variant>
        <vt:i4>0</vt:i4>
      </vt:variant>
      <vt:variant>
        <vt:i4>5</vt:i4>
      </vt:variant>
      <vt:variant>
        <vt:lpwstr/>
      </vt:variant>
      <vt:variant>
        <vt:lpwstr>_Toc158803378</vt:lpwstr>
      </vt:variant>
      <vt:variant>
        <vt:i4>1966138</vt:i4>
      </vt:variant>
      <vt:variant>
        <vt:i4>209</vt:i4>
      </vt:variant>
      <vt:variant>
        <vt:i4>0</vt:i4>
      </vt:variant>
      <vt:variant>
        <vt:i4>5</vt:i4>
      </vt:variant>
      <vt:variant>
        <vt:lpwstr/>
      </vt:variant>
      <vt:variant>
        <vt:lpwstr>_Toc158803377</vt:lpwstr>
      </vt:variant>
      <vt:variant>
        <vt:i4>1966138</vt:i4>
      </vt:variant>
      <vt:variant>
        <vt:i4>203</vt:i4>
      </vt:variant>
      <vt:variant>
        <vt:i4>0</vt:i4>
      </vt:variant>
      <vt:variant>
        <vt:i4>5</vt:i4>
      </vt:variant>
      <vt:variant>
        <vt:lpwstr/>
      </vt:variant>
      <vt:variant>
        <vt:lpwstr>_Toc158803376</vt:lpwstr>
      </vt:variant>
      <vt:variant>
        <vt:i4>1966138</vt:i4>
      </vt:variant>
      <vt:variant>
        <vt:i4>197</vt:i4>
      </vt:variant>
      <vt:variant>
        <vt:i4>0</vt:i4>
      </vt:variant>
      <vt:variant>
        <vt:i4>5</vt:i4>
      </vt:variant>
      <vt:variant>
        <vt:lpwstr/>
      </vt:variant>
      <vt:variant>
        <vt:lpwstr>_Toc158803375</vt:lpwstr>
      </vt:variant>
      <vt:variant>
        <vt:i4>1966138</vt:i4>
      </vt:variant>
      <vt:variant>
        <vt:i4>191</vt:i4>
      </vt:variant>
      <vt:variant>
        <vt:i4>0</vt:i4>
      </vt:variant>
      <vt:variant>
        <vt:i4>5</vt:i4>
      </vt:variant>
      <vt:variant>
        <vt:lpwstr/>
      </vt:variant>
      <vt:variant>
        <vt:lpwstr>_Toc158803374</vt:lpwstr>
      </vt:variant>
      <vt:variant>
        <vt:i4>1966138</vt:i4>
      </vt:variant>
      <vt:variant>
        <vt:i4>185</vt:i4>
      </vt:variant>
      <vt:variant>
        <vt:i4>0</vt:i4>
      </vt:variant>
      <vt:variant>
        <vt:i4>5</vt:i4>
      </vt:variant>
      <vt:variant>
        <vt:lpwstr/>
      </vt:variant>
      <vt:variant>
        <vt:lpwstr>_Toc158803373</vt:lpwstr>
      </vt:variant>
      <vt:variant>
        <vt:i4>1966138</vt:i4>
      </vt:variant>
      <vt:variant>
        <vt:i4>179</vt:i4>
      </vt:variant>
      <vt:variant>
        <vt:i4>0</vt:i4>
      </vt:variant>
      <vt:variant>
        <vt:i4>5</vt:i4>
      </vt:variant>
      <vt:variant>
        <vt:lpwstr/>
      </vt:variant>
      <vt:variant>
        <vt:lpwstr>_Toc158803372</vt:lpwstr>
      </vt:variant>
      <vt:variant>
        <vt:i4>1966138</vt:i4>
      </vt:variant>
      <vt:variant>
        <vt:i4>173</vt:i4>
      </vt:variant>
      <vt:variant>
        <vt:i4>0</vt:i4>
      </vt:variant>
      <vt:variant>
        <vt:i4>5</vt:i4>
      </vt:variant>
      <vt:variant>
        <vt:lpwstr/>
      </vt:variant>
      <vt:variant>
        <vt:lpwstr>_Toc158803371</vt:lpwstr>
      </vt:variant>
      <vt:variant>
        <vt:i4>1966138</vt:i4>
      </vt:variant>
      <vt:variant>
        <vt:i4>167</vt:i4>
      </vt:variant>
      <vt:variant>
        <vt:i4>0</vt:i4>
      </vt:variant>
      <vt:variant>
        <vt:i4>5</vt:i4>
      </vt:variant>
      <vt:variant>
        <vt:lpwstr/>
      </vt:variant>
      <vt:variant>
        <vt:lpwstr>_Toc158803370</vt:lpwstr>
      </vt:variant>
      <vt:variant>
        <vt:i4>2031674</vt:i4>
      </vt:variant>
      <vt:variant>
        <vt:i4>161</vt:i4>
      </vt:variant>
      <vt:variant>
        <vt:i4>0</vt:i4>
      </vt:variant>
      <vt:variant>
        <vt:i4>5</vt:i4>
      </vt:variant>
      <vt:variant>
        <vt:lpwstr/>
      </vt:variant>
      <vt:variant>
        <vt:lpwstr>_Toc158803369</vt:lpwstr>
      </vt:variant>
      <vt:variant>
        <vt:i4>2031674</vt:i4>
      </vt:variant>
      <vt:variant>
        <vt:i4>155</vt:i4>
      </vt:variant>
      <vt:variant>
        <vt:i4>0</vt:i4>
      </vt:variant>
      <vt:variant>
        <vt:i4>5</vt:i4>
      </vt:variant>
      <vt:variant>
        <vt:lpwstr/>
      </vt:variant>
      <vt:variant>
        <vt:lpwstr>_Toc158803368</vt:lpwstr>
      </vt:variant>
      <vt:variant>
        <vt:i4>2031674</vt:i4>
      </vt:variant>
      <vt:variant>
        <vt:i4>149</vt:i4>
      </vt:variant>
      <vt:variant>
        <vt:i4>0</vt:i4>
      </vt:variant>
      <vt:variant>
        <vt:i4>5</vt:i4>
      </vt:variant>
      <vt:variant>
        <vt:lpwstr/>
      </vt:variant>
      <vt:variant>
        <vt:lpwstr>_Toc158803367</vt:lpwstr>
      </vt:variant>
      <vt:variant>
        <vt:i4>2031674</vt:i4>
      </vt:variant>
      <vt:variant>
        <vt:i4>143</vt:i4>
      </vt:variant>
      <vt:variant>
        <vt:i4>0</vt:i4>
      </vt:variant>
      <vt:variant>
        <vt:i4>5</vt:i4>
      </vt:variant>
      <vt:variant>
        <vt:lpwstr/>
      </vt:variant>
      <vt:variant>
        <vt:lpwstr>_Toc158803366</vt:lpwstr>
      </vt:variant>
      <vt:variant>
        <vt:i4>2031674</vt:i4>
      </vt:variant>
      <vt:variant>
        <vt:i4>137</vt:i4>
      </vt:variant>
      <vt:variant>
        <vt:i4>0</vt:i4>
      </vt:variant>
      <vt:variant>
        <vt:i4>5</vt:i4>
      </vt:variant>
      <vt:variant>
        <vt:lpwstr/>
      </vt:variant>
      <vt:variant>
        <vt:lpwstr>_Toc158803365</vt:lpwstr>
      </vt:variant>
      <vt:variant>
        <vt:i4>2031674</vt:i4>
      </vt:variant>
      <vt:variant>
        <vt:i4>131</vt:i4>
      </vt:variant>
      <vt:variant>
        <vt:i4>0</vt:i4>
      </vt:variant>
      <vt:variant>
        <vt:i4>5</vt:i4>
      </vt:variant>
      <vt:variant>
        <vt:lpwstr/>
      </vt:variant>
      <vt:variant>
        <vt:lpwstr>_Toc158803364</vt:lpwstr>
      </vt:variant>
      <vt:variant>
        <vt:i4>2031674</vt:i4>
      </vt:variant>
      <vt:variant>
        <vt:i4>125</vt:i4>
      </vt:variant>
      <vt:variant>
        <vt:i4>0</vt:i4>
      </vt:variant>
      <vt:variant>
        <vt:i4>5</vt:i4>
      </vt:variant>
      <vt:variant>
        <vt:lpwstr/>
      </vt:variant>
      <vt:variant>
        <vt:lpwstr>_Toc158803363</vt:lpwstr>
      </vt:variant>
      <vt:variant>
        <vt:i4>2031674</vt:i4>
      </vt:variant>
      <vt:variant>
        <vt:i4>119</vt:i4>
      </vt:variant>
      <vt:variant>
        <vt:i4>0</vt:i4>
      </vt:variant>
      <vt:variant>
        <vt:i4>5</vt:i4>
      </vt:variant>
      <vt:variant>
        <vt:lpwstr/>
      </vt:variant>
      <vt:variant>
        <vt:lpwstr>_Toc158803362</vt:lpwstr>
      </vt:variant>
      <vt:variant>
        <vt:i4>2031674</vt:i4>
      </vt:variant>
      <vt:variant>
        <vt:i4>113</vt:i4>
      </vt:variant>
      <vt:variant>
        <vt:i4>0</vt:i4>
      </vt:variant>
      <vt:variant>
        <vt:i4>5</vt:i4>
      </vt:variant>
      <vt:variant>
        <vt:lpwstr/>
      </vt:variant>
      <vt:variant>
        <vt:lpwstr>_Toc158803361</vt:lpwstr>
      </vt:variant>
      <vt:variant>
        <vt:i4>2031674</vt:i4>
      </vt:variant>
      <vt:variant>
        <vt:i4>107</vt:i4>
      </vt:variant>
      <vt:variant>
        <vt:i4>0</vt:i4>
      </vt:variant>
      <vt:variant>
        <vt:i4>5</vt:i4>
      </vt:variant>
      <vt:variant>
        <vt:lpwstr/>
      </vt:variant>
      <vt:variant>
        <vt:lpwstr>_Toc158803360</vt:lpwstr>
      </vt:variant>
      <vt:variant>
        <vt:i4>1835066</vt:i4>
      </vt:variant>
      <vt:variant>
        <vt:i4>101</vt:i4>
      </vt:variant>
      <vt:variant>
        <vt:i4>0</vt:i4>
      </vt:variant>
      <vt:variant>
        <vt:i4>5</vt:i4>
      </vt:variant>
      <vt:variant>
        <vt:lpwstr/>
      </vt:variant>
      <vt:variant>
        <vt:lpwstr>_Toc158803359</vt:lpwstr>
      </vt:variant>
      <vt:variant>
        <vt:i4>1835066</vt:i4>
      </vt:variant>
      <vt:variant>
        <vt:i4>95</vt:i4>
      </vt:variant>
      <vt:variant>
        <vt:i4>0</vt:i4>
      </vt:variant>
      <vt:variant>
        <vt:i4>5</vt:i4>
      </vt:variant>
      <vt:variant>
        <vt:lpwstr/>
      </vt:variant>
      <vt:variant>
        <vt:lpwstr>_Toc158803358</vt:lpwstr>
      </vt:variant>
      <vt:variant>
        <vt:i4>1835066</vt:i4>
      </vt:variant>
      <vt:variant>
        <vt:i4>89</vt:i4>
      </vt:variant>
      <vt:variant>
        <vt:i4>0</vt:i4>
      </vt:variant>
      <vt:variant>
        <vt:i4>5</vt:i4>
      </vt:variant>
      <vt:variant>
        <vt:lpwstr/>
      </vt:variant>
      <vt:variant>
        <vt:lpwstr>_Toc158803357</vt:lpwstr>
      </vt:variant>
      <vt:variant>
        <vt:i4>1835066</vt:i4>
      </vt:variant>
      <vt:variant>
        <vt:i4>83</vt:i4>
      </vt:variant>
      <vt:variant>
        <vt:i4>0</vt:i4>
      </vt:variant>
      <vt:variant>
        <vt:i4>5</vt:i4>
      </vt:variant>
      <vt:variant>
        <vt:lpwstr/>
      </vt:variant>
      <vt:variant>
        <vt:lpwstr>_Toc158803356</vt:lpwstr>
      </vt:variant>
      <vt:variant>
        <vt:i4>1835066</vt:i4>
      </vt:variant>
      <vt:variant>
        <vt:i4>77</vt:i4>
      </vt:variant>
      <vt:variant>
        <vt:i4>0</vt:i4>
      </vt:variant>
      <vt:variant>
        <vt:i4>5</vt:i4>
      </vt:variant>
      <vt:variant>
        <vt:lpwstr/>
      </vt:variant>
      <vt:variant>
        <vt:lpwstr>_Toc158803355</vt:lpwstr>
      </vt:variant>
      <vt:variant>
        <vt:i4>1835066</vt:i4>
      </vt:variant>
      <vt:variant>
        <vt:i4>71</vt:i4>
      </vt:variant>
      <vt:variant>
        <vt:i4>0</vt:i4>
      </vt:variant>
      <vt:variant>
        <vt:i4>5</vt:i4>
      </vt:variant>
      <vt:variant>
        <vt:lpwstr/>
      </vt:variant>
      <vt:variant>
        <vt:lpwstr>_Toc158803354</vt:lpwstr>
      </vt:variant>
      <vt:variant>
        <vt:i4>1835066</vt:i4>
      </vt:variant>
      <vt:variant>
        <vt:i4>65</vt:i4>
      </vt:variant>
      <vt:variant>
        <vt:i4>0</vt:i4>
      </vt:variant>
      <vt:variant>
        <vt:i4>5</vt:i4>
      </vt:variant>
      <vt:variant>
        <vt:lpwstr/>
      </vt:variant>
      <vt:variant>
        <vt:lpwstr>_Toc158803353</vt:lpwstr>
      </vt:variant>
      <vt:variant>
        <vt:i4>1835066</vt:i4>
      </vt:variant>
      <vt:variant>
        <vt:i4>59</vt:i4>
      </vt:variant>
      <vt:variant>
        <vt:i4>0</vt:i4>
      </vt:variant>
      <vt:variant>
        <vt:i4>5</vt:i4>
      </vt:variant>
      <vt:variant>
        <vt:lpwstr/>
      </vt:variant>
      <vt:variant>
        <vt:lpwstr>_Toc158803352</vt:lpwstr>
      </vt:variant>
      <vt:variant>
        <vt:i4>1835066</vt:i4>
      </vt:variant>
      <vt:variant>
        <vt:i4>53</vt:i4>
      </vt:variant>
      <vt:variant>
        <vt:i4>0</vt:i4>
      </vt:variant>
      <vt:variant>
        <vt:i4>5</vt:i4>
      </vt:variant>
      <vt:variant>
        <vt:lpwstr/>
      </vt:variant>
      <vt:variant>
        <vt:lpwstr>_Toc158803351</vt:lpwstr>
      </vt:variant>
      <vt:variant>
        <vt:i4>1835066</vt:i4>
      </vt:variant>
      <vt:variant>
        <vt:i4>47</vt:i4>
      </vt:variant>
      <vt:variant>
        <vt:i4>0</vt:i4>
      </vt:variant>
      <vt:variant>
        <vt:i4>5</vt:i4>
      </vt:variant>
      <vt:variant>
        <vt:lpwstr/>
      </vt:variant>
      <vt:variant>
        <vt:lpwstr>_Toc158803350</vt:lpwstr>
      </vt:variant>
      <vt:variant>
        <vt:i4>1900602</vt:i4>
      </vt:variant>
      <vt:variant>
        <vt:i4>41</vt:i4>
      </vt:variant>
      <vt:variant>
        <vt:i4>0</vt:i4>
      </vt:variant>
      <vt:variant>
        <vt:i4>5</vt:i4>
      </vt:variant>
      <vt:variant>
        <vt:lpwstr/>
      </vt:variant>
      <vt:variant>
        <vt:lpwstr>_Toc158803349</vt:lpwstr>
      </vt:variant>
      <vt:variant>
        <vt:i4>1900602</vt:i4>
      </vt:variant>
      <vt:variant>
        <vt:i4>35</vt:i4>
      </vt:variant>
      <vt:variant>
        <vt:i4>0</vt:i4>
      </vt:variant>
      <vt:variant>
        <vt:i4>5</vt:i4>
      </vt:variant>
      <vt:variant>
        <vt:lpwstr/>
      </vt:variant>
      <vt:variant>
        <vt:lpwstr>_Toc158803348</vt:lpwstr>
      </vt:variant>
      <vt:variant>
        <vt:i4>1900602</vt:i4>
      </vt:variant>
      <vt:variant>
        <vt:i4>29</vt:i4>
      </vt:variant>
      <vt:variant>
        <vt:i4>0</vt:i4>
      </vt:variant>
      <vt:variant>
        <vt:i4>5</vt:i4>
      </vt:variant>
      <vt:variant>
        <vt:lpwstr/>
      </vt:variant>
      <vt:variant>
        <vt:lpwstr>_Toc158803347</vt:lpwstr>
      </vt:variant>
      <vt:variant>
        <vt:i4>1900602</vt:i4>
      </vt:variant>
      <vt:variant>
        <vt:i4>23</vt:i4>
      </vt:variant>
      <vt:variant>
        <vt:i4>0</vt:i4>
      </vt:variant>
      <vt:variant>
        <vt:i4>5</vt:i4>
      </vt:variant>
      <vt:variant>
        <vt:lpwstr/>
      </vt:variant>
      <vt:variant>
        <vt:lpwstr>_Toc158803346</vt:lpwstr>
      </vt:variant>
      <vt:variant>
        <vt:i4>1900602</vt:i4>
      </vt:variant>
      <vt:variant>
        <vt:i4>17</vt:i4>
      </vt:variant>
      <vt:variant>
        <vt:i4>0</vt:i4>
      </vt:variant>
      <vt:variant>
        <vt:i4>5</vt:i4>
      </vt:variant>
      <vt:variant>
        <vt:lpwstr/>
      </vt:variant>
      <vt:variant>
        <vt:lpwstr>_Toc158803345</vt:lpwstr>
      </vt:variant>
      <vt:variant>
        <vt:i4>1900602</vt:i4>
      </vt:variant>
      <vt:variant>
        <vt:i4>11</vt:i4>
      </vt:variant>
      <vt:variant>
        <vt:i4>0</vt:i4>
      </vt:variant>
      <vt:variant>
        <vt:i4>5</vt:i4>
      </vt:variant>
      <vt:variant>
        <vt:lpwstr/>
      </vt:variant>
      <vt:variant>
        <vt:lpwstr>_Toc158803344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Sigurinë Rrugore 2026 – 2030 dhe të planit të veprimit 2027 – 2029</dc:title>
  <dc:creator>Giuseppe di Matteo</dc:creator>
  <cp:lastModifiedBy>Ermira Bukaci</cp:lastModifiedBy>
  <cp:revision>578</cp:revision>
  <cp:lastPrinted>2025-06-09T06:30:00Z</cp:lastPrinted>
  <dcterms:created xsi:type="dcterms:W3CDTF">2025-08-11T10:34:00Z</dcterms:created>
  <dcterms:modified xsi:type="dcterms:W3CDTF">2026-07-27T13:09:00Z</dcterms:modified>
</cp:coreProperties>
</file>