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0B" w:rsidRPr="00517D2F" w:rsidRDefault="0004560B" w:rsidP="0004560B">
      <w:pPr>
        <w:pStyle w:val="Default"/>
        <w:jc w:val="center"/>
      </w:pPr>
      <w:r w:rsidRPr="00517D2F">
        <w:rPr>
          <w:noProof/>
        </w:rPr>
        <w:drawing>
          <wp:inline distT="0" distB="0" distL="0" distR="0">
            <wp:extent cx="367883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03" cy="42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0B" w:rsidRPr="00517D2F" w:rsidRDefault="0004560B" w:rsidP="0004560B">
      <w:pPr>
        <w:pStyle w:val="Default"/>
        <w:jc w:val="center"/>
      </w:pPr>
      <w:r w:rsidRPr="00517D2F">
        <w:rPr>
          <w:b/>
          <w:bCs/>
        </w:rPr>
        <w:t>REPUBLIKA E SHQIPËRISË</w:t>
      </w:r>
    </w:p>
    <w:p w:rsidR="0004560B" w:rsidRPr="00517D2F" w:rsidRDefault="0004560B" w:rsidP="0004560B">
      <w:pPr>
        <w:pStyle w:val="Default"/>
        <w:rPr>
          <w:b/>
          <w:bCs/>
        </w:rPr>
      </w:pPr>
    </w:p>
    <w:p w:rsidR="0004560B" w:rsidRPr="00517D2F" w:rsidRDefault="0004560B" w:rsidP="0004560B">
      <w:pPr>
        <w:pStyle w:val="Default"/>
        <w:jc w:val="center"/>
      </w:pPr>
      <w:r w:rsidRPr="00517D2F">
        <w:rPr>
          <w:b/>
          <w:bCs/>
        </w:rPr>
        <w:t>KUVENDI</w:t>
      </w:r>
    </w:p>
    <w:p w:rsidR="0004560B" w:rsidRPr="00517D2F" w:rsidRDefault="0004560B" w:rsidP="0004560B">
      <w:pPr>
        <w:pStyle w:val="Default"/>
        <w:rPr>
          <w:b/>
          <w:bCs/>
        </w:rPr>
      </w:pPr>
    </w:p>
    <w:p w:rsidR="0004560B" w:rsidRPr="00517D2F" w:rsidRDefault="0004560B" w:rsidP="0004560B">
      <w:pPr>
        <w:pStyle w:val="Default"/>
        <w:rPr>
          <w:b/>
          <w:bCs/>
        </w:rPr>
      </w:pPr>
    </w:p>
    <w:p w:rsidR="0004560B" w:rsidRPr="00517D2F" w:rsidRDefault="0004560B" w:rsidP="0004560B">
      <w:pPr>
        <w:pStyle w:val="Default"/>
        <w:rPr>
          <w:b/>
          <w:bCs/>
        </w:rPr>
      </w:pPr>
    </w:p>
    <w:p w:rsidR="0004560B" w:rsidRPr="00517D2F" w:rsidRDefault="0004560B" w:rsidP="0004560B">
      <w:pPr>
        <w:pStyle w:val="Default"/>
        <w:jc w:val="center"/>
      </w:pPr>
      <w:r w:rsidRPr="00517D2F">
        <w:rPr>
          <w:b/>
          <w:bCs/>
        </w:rPr>
        <w:t>PROJEKT – LIGJ</w:t>
      </w:r>
    </w:p>
    <w:p w:rsidR="0004560B" w:rsidRPr="00517D2F" w:rsidRDefault="0004560B" w:rsidP="0004560B">
      <w:pPr>
        <w:pStyle w:val="Default"/>
        <w:jc w:val="center"/>
        <w:rPr>
          <w:b/>
          <w:bCs/>
        </w:rPr>
      </w:pPr>
    </w:p>
    <w:p w:rsidR="0004560B" w:rsidRPr="00517D2F" w:rsidRDefault="0004560B" w:rsidP="0004560B">
      <w:pPr>
        <w:pStyle w:val="Default"/>
        <w:jc w:val="center"/>
      </w:pPr>
      <w:r w:rsidRPr="00517D2F">
        <w:rPr>
          <w:b/>
          <w:bCs/>
        </w:rPr>
        <w:t>Nr. _____/2016</w:t>
      </w:r>
    </w:p>
    <w:p w:rsidR="0004560B" w:rsidRPr="00517D2F" w:rsidRDefault="0004560B" w:rsidP="0004560B">
      <w:pPr>
        <w:pStyle w:val="Default"/>
        <w:rPr>
          <w:b/>
          <w:bCs/>
        </w:rPr>
      </w:pPr>
    </w:p>
    <w:p w:rsidR="0004560B" w:rsidRPr="00517D2F" w:rsidRDefault="0004560B" w:rsidP="0004560B">
      <w:pPr>
        <w:pStyle w:val="Default"/>
        <w:rPr>
          <w:b/>
          <w:bCs/>
        </w:rPr>
      </w:pPr>
    </w:p>
    <w:p w:rsidR="0004560B" w:rsidRPr="00517D2F" w:rsidRDefault="0004560B" w:rsidP="0004560B">
      <w:pPr>
        <w:pStyle w:val="Default"/>
        <w:jc w:val="center"/>
      </w:pPr>
      <w:r w:rsidRPr="00517D2F">
        <w:rPr>
          <w:b/>
          <w:bCs/>
        </w:rPr>
        <w:t>PËR DISA SHTESA DHE NDRYSHIME NË LIGJIN NR. 10 128, DATË 11.5.2009 “PËR TREGTINË ELEKTRONIKE TE NDRYSHUAR”</w:t>
      </w:r>
      <w:r w:rsidRPr="00517D2F">
        <w:rPr>
          <w:vertAlign w:val="superscript"/>
        </w:rPr>
        <w:t>1</w:t>
      </w:r>
    </w:p>
    <w:p w:rsidR="0004560B" w:rsidRPr="00517D2F" w:rsidRDefault="0004560B" w:rsidP="0004560B">
      <w:pPr>
        <w:pStyle w:val="Default"/>
        <w:jc w:val="center"/>
      </w:pPr>
    </w:p>
    <w:p w:rsidR="0004560B" w:rsidRPr="00517D2F" w:rsidRDefault="0004560B" w:rsidP="0004560B">
      <w:pPr>
        <w:pStyle w:val="Default"/>
        <w:jc w:val="center"/>
      </w:pPr>
    </w:p>
    <w:p w:rsidR="0004560B" w:rsidRPr="00517D2F" w:rsidRDefault="0004560B" w:rsidP="0004560B">
      <w:pPr>
        <w:pStyle w:val="Default"/>
        <w:jc w:val="center"/>
      </w:pPr>
    </w:p>
    <w:p w:rsidR="0004560B" w:rsidRPr="00517D2F" w:rsidRDefault="0004560B" w:rsidP="00517D2F">
      <w:pPr>
        <w:pStyle w:val="Default"/>
        <w:jc w:val="both"/>
      </w:pPr>
      <w:r w:rsidRPr="00517D2F">
        <w:t xml:space="preserve">Në mbështetje të neneve 78 dhe 83 pika 1 të Kushtetutës, me propozimin e Këshillit të Ministrave, </w:t>
      </w:r>
    </w:p>
    <w:p w:rsidR="0004560B" w:rsidRDefault="0004560B" w:rsidP="0004560B">
      <w:pPr>
        <w:pStyle w:val="Default"/>
        <w:rPr>
          <w:b/>
          <w:bCs/>
        </w:rPr>
      </w:pPr>
    </w:p>
    <w:p w:rsidR="00517D2F" w:rsidRPr="00517D2F" w:rsidRDefault="00517D2F" w:rsidP="0004560B">
      <w:pPr>
        <w:pStyle w:val="Default"/>
        <w:rPr>
          <w:b/>
          <w:bCs/>
        </w:rPr>
      </w:pPr>
    </w:p>
    <w:p w:rsidR="0004560B" w:rsidRPr="00517D2F" w:rsidRDefault="0004560B" w:rsidP="0004560B">
      <w:pPr>
        <w:pStyle w:val="Default"/>
        <w:rPr>
          <w:b/>
          <w:bCs/>
        </w:rPr>
      </w:pPr>
    </w:p>
    <w:p w:rsidR="0004560B" w:rsidRPr="00517D2F" w:rsidRDefault="0004560B" w:rsidP="0004560B">
      <w:pPr>
        <w:pStyle w:val="Default"/>
        <w:jc w:val="center"/>
      </w:pPr>
      <w:r w:rsidRPr="00517D2F">
        <w:rPr>
          <w:b/>
          <w:bCs/>
        </w:rPr>
        <w:t>KUVENDI</w:t>
      </w:r>
    </w:p>
    <w:p w:rsidR="0004560B" w:rsidRPr="00517D2F" w:rsidRDefault="0004560B" w:rsidP="0004560B">
      <w:pPr>
        <w:pStyle w:val="Default"/>
        <w:jc w:val="center"/>
        <w:rPr>
          <w:b/>
          <w:bCs/>
        </w:rPr>
      </w:pPr>
    </w:p>
    <w:p w:rsidR="0004560B" w:rsidRPr="00517D2F" w:rsidRDefault="0004560B" w:rsidP="0004560B">
      <w:pPr>
        <w:pStyle w:val="Default"/>
        <w:jc w:val="center"/>
      </w:pPr>
      <w:r w:rsidRPr="00517D2F">
        <w:rPr>
          <w:b/>
          <w:bCs/>
        </w:rPr>
        <w:t>I REPUBLIKËS SË SHQIPËRISË</w:t>
      </w:r>
    </w:p>
    <w:p w:rsidR="0004560B" w:rsidRPr="00517D2F" w:rsidRDefault="0004560B" w:rsidP="0004560B">
      <w:pPr>
        <w:pStyle w:val="Default"/>
        <w:jc w:val="center"/>
        <w:rPr>
          <w:b/>
          <w:bCs/>
        </w:rPr>
      </w:pPr>
    </w:p>
    <w:p w:rsidR="0004560B" w:rsidRPr="00517D2F" w:rsidRDefault="0004560B" w:rsidP="0004560B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VENDOSI:</w:t>
      </w:r>
    </w:p>
    <w:p w:rsidR="0004560B" w:rsidRPr="00517D2F" w:rsidRDefault="0004560B" w:rsidP="0004560B">
      <w:pPr>
        <w:pStyle w:val="Default"/>
        <w:jc w:val="center"/>
        <w:rPr>
          <w:b/>
          <w:bCs/>
        </w:rPr>
      </w:pPr>
    </w:p>
    <w:p w:rsidR="0004560B" w:rsidRPr="00517D2F" w:rsidRDefault="0004560B" w:rsidP="0004560B">
      <w:pPr>
        <w:pStyle w:val="Default"/>
        <w:jc w:val="center"/>
      </w:pPr>
    </w:p>
    <w:p w:rsidR="0004560B" w:rsidRPr="00517D2F" w:rsidRDefault="0004560B" w:rsidP="009F3A30">
      <w:pPr>
        <w:pStyle w:val="Default"/>
        <w:jc w:val="both"/>
      </w:pPr>
      <w:r w:rsidRPr="00517D2F">
        <w:t xml:space="preserve">Në ligjin nr. 10 128, datë 11.5.2009 “Për tregtinë elektronike” të ndryshuar, bëhen këto shtesa dhe ndryshime: </w:t>
      </w:r>
    </w:p>
    <w:p w:rsidR="0004560B" w:rsidRPr="00517D2F" w:rsidRDefault="0004560B" w:rsidP="009F3A30">
      <w:pPr>
        <w:pStyle w:val="Default"/>
        <w:jc w:val="both"/>
      </w:pPr>
    </w:p>
    <w:p w:rsidR="0004560B" w:rsidRPr="00517D2F" w:rsidRDefault="0004560B" w:rsidP="0004560B">
      <w:pPr>
        <w:pStyle w:val="Default"/>
        <w:jc w:val="center"/>
      </w:pPr>
      <w:r w:rsidRPr="00517D2F">
        <w:rPr>
          <w:b/>
          <w:bCs/>
        </w:rPr>
        <w:t>Neni 1</w:t>
      </w:r>
    </w:p>
    <w:p w:rsidR="00517D2F" w:rsidRPr="00517D2F" w:rsidRDefault="00517D2F" w:rsidP="0004560B">
      <w:pPr>
        <w:pStyle w:val="Default"/>
      </w:pPr>
    </w:p>
    <w:p w:rsidR="0004560B" w:rsidRPr="00517D2F" w:rsidRDefault="0004560B" w:rsidP="0004560B">
      <w:pPr>
        <w:pStyle w:val="Default"/>
      </w:pPr>
      <w:r w:rsidRPr="00517D2F">
        <w:t xml:space="preserve">Titulli i ligjit ndryshohet si më poshtë: </w:t>
      </w:r>
    </w:p>
    <w:p w:rsidR="0004560B" w:rsidRPr="00517D2F" w:rsidRDefault="0004560B" w:rsidP="0004560B">
      <w:pPr>
        <w:pStyle w:val="Default"/>
        <w:rPr>
          <w:i/>
          <w:iCs/>
        </w:rPr>
      </w:pPr>
    </w:p>
    <w:p w:rsidR="0004560B" w:rsidRPr="00517D2F" w:rsidRDefault="0004560B" w:rsidP="0004560B">
      <w:pPr>
        <w:pStyle w:val="Default"/>
      </w:pPr>
      <w:r w:rsidRPr="00517D2F">
        <w:rPr>
          <w:i/>
          <w:iCs/>
        </w:rPr>
        <w:t xml:space="preserve">“Për tregtinë elektronike dhe shërbimet e shoqërisë së informacionit”. </w:t>
      </w:r>
    </w:p>
    <w:p w:rsidR="0004560B" w:rsidRPr="00517D2F" w:rsidRDefault="0004560B" w:rsidP="0004560B">
      <w:pPr>
        <w:pStyle w:val="Default"/>
        <w:rPr>
          <w:b/>
          <w:bCs/>
        </w:rPr>
      </w:pPr>
    </w:p>
    <w:p w:rsidR="0004560B" w:rsidRDefault="0004560B" w:rsidP="0004560B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Neni 2</w:t>
      </w:r>
    </w:p>
    <w:p w:rsidR="00517D2F" w:rsidRPr="00517D2F" w:rsidRDefault="00517D2F" w:rsidP="0004560B">
      <w:pPr>
        <w:pStyle w:val="Default"/>
        <w:jc w:val="center"/>
      </w:pPr>
    </w:p>
    <w:p w:rsidR="0004560B" w:rsidRPr="00517D2F" w:rsidRDefault="0004560B" w:rsidP="009F3A30">
      <w:pPr>
        <w:pStyle w:val="Default"/>
        <w:jc w:val="both"/>
      </w:pPr>
      <w:r w:rsidRPr="00517D2F">
        <w:t xml:space="preserve">Në pikën 2, të nenit 2, bëhen këto ndryshime: </w:t>
      </w:r>
    </w:p>
    <w:p w:rsidR="0004560B" w:rsidRPr="00517D2F" w:rsidRDefault="00517D2F" w:rsidP="009F3A30">
      <w:pPr>
        <w:pStyle w:val="Default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477D02" wp14:editId="39936648">
                <wp:simplePos x="0" y="0"/>
                <wp:positionH relativeFrom="margin">
                  <wp:posOffset>-80645</wp:posOffset>
                </wp:positionH>
                <wp:positionV relativeFrom="paragraph">
                  <wp:posOffset>908050</wp:posOffset>
                </wp:positionV>
                <wp:extent cx="6042025" cy="533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D2F" w:rsidRPr="00517D2F" w:rsidRDefault="00517D2F" w:rsidP="00517D2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517D2F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 w:rsidRPr="00517D2F">
                              <w:rPr>
                                <w:sz w:val="22"/>
                                <w:szCs w:val="22"/>
                              </w:rPr>
                              <w:t xml:space="preserve"> Ky ligj përafron pjesërisht Direktivën nr. 2000/31/KE “Mbi disa aspekte ligjore të shërbimeve të shoqërisë së informacionit, veçanërisht në tregtinë elektronike në tregun e brendshëm”. </w:t>
                            </w:r>
                          </w:p>
                          <w:p w:rsidR="00517D2F" w:rsidRPr="00517D2F" w:rsidRDefault="00517D2F" w:rsidP="00517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77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5pt;margin-top:71.5pt;width:475.75pt;height:4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dhIAIAAB0EAAAOAAAAZHJzL2Uyb0RvYy54bWysU9tu2zAMfR+wfxD0vthxk16MOEWXLsOA&#10;7gK0+wBZlm1hkqhJSuzs60vJaRp0b8P0IIgieXR4SK1uR63IXjgvwVR0PsspEYZDI01X0Z9P2w/X&#10;lPjATMMUGFHRg/D0dv3+3WqwpSigB9UIRxDE+HKwFe1DsGWWed4LzfwMrDDobMFpFtB0XdY4NiC6&#10;VlmR55fZAK6xDrjwHm/vJyddJ/y2FTx8b1svAlEVRW4h7S7tddyz9YqVnWO2l/xIg/0DC82kwUdP&#10;UPcsMLJz8i8oLbkDD22YcdAZtK3kItWA1czzN9U89syKVAuK4+1JJv//YPm3/Q9HZFPRYn5FiWEa&#10;m/QkxkA+wkiKqM9gfYlhjxYDw4jX2OdUq7cPwH95YmDTM9OJO+dg6AVrkN88ZmZnqROOjyD18BUa&#10;fIbtAiSgsXU6iodyEETHPh1OvYlUOF5e5osiL5aUcPQtLy4WeWpexsqXbOt8+CxAk3ioqMPeJ3S2&#10;f/AhsmHlS0h8zIOSzVYqlQzX1RvlyJ7hnGzTSgW8CVOGDBW9WSKPmGUg5qcR0jLgHCupK3qdxzVN&#10;VlTjk2lSSGBSTWdkosxRnqjIpE0Y6xEDo2Y1NAcUysE0r/i/8NCD+0PJgLNaUf97x5ygRH0xKPbN&#10;fLGIw52MxfKqQMOde+pzDzMcoSoaKJmOm5A+xFTRHTallUmvVyZHrjiDScbjf4lDfm6nqNdfvX4G&#10;AAD//wMAUEsDBBQABgAIAAAAIQDenoPi3wAAAAsBAAAPAAAAZHJzL2Rvd25yZXYueG1sTI/RTsJA&#10;EEXfTfyHzZj4YmBLQQq1W6ImGl9BPmDaDm1jd7bpLrT8veOTPE7uzZ1zst1kO3WhwbeODSzmESji&#10;0lUt1waO3x+zDSgfkCvsHJOBK3nY5fd3GaaVG3lPl0OolYywT9FAE0Kfau3Lhiz6ueuJJTu5wWKQ&#10;c6h1NeAo47bTcRSttcWW5UODPb03VP4cztbA6Wt8et6OxWc4JvvV+g3bpHBXYx4fptcXUIGm8F+G&#10;P3xBh1yYCnfmyqvOwGwRJ1KVYLUUKWlslxuRKQzEcRKBzjN965D/AgAA//8DAFBLAQItABQABgAI&#10;AAAAIQC2gziS/gAAAOEBAAATAAAAAAAAAAAAAAAAAAAAAABbQ29udGVudF9UeXBlc10ueG1sUEsB&#10;Ai0AFAAGAAgAAAAhADj9If/WAAAAlAEAAAsAAAAAAAAAAAAAAAAALwEAAF9yZWxzLy5yZWxzUEsB&#10;Ai0AFAAGAAgAAAAhANmgh2EgAgAAHQQAAA4AAAAAAAAAAAAAAAAALgIAAGRycy9lMm9Eb2MueG1s&#10;UEsBAi0AFAAGAAgAAAAhAN6eg+LfAAAACwEAAA8AAAAAAAAAAAAAAAAAegQAAGRycy9kb3ducmV2&#10;LnhtbFBLBQYAAAAABAAEAPMAAACGBQAAAAA=&#10;" stroked="f">
                <v:textbox>
                  <w:txbxContent>
                    <w:p w:rsidR="00517D2F" w:rsidRPr="00517D2F" w:rsidRDefault="00517D2F" w:rsidP="00517D2F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517D2F">
                        <w:rPr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 w:rsidRPr="00517D2F">
                        <w:rPr>
                          <w:sz w:val="22"/>
                          <w:szCs w:val="22"/>
                        </w:rPr>
                        <w:t xml:space="preserve"> Ky ligj përafron pjesërisht Direktivën nr. 2000/31/KE “Mbi disa aspekte ligjore të shërbimeve të shoqërisë së informacionit, veçanërisht në tregtinë elektronike në tregun e brendshëm”. </w:t>
                      </w:r>
                    </w:p>
                    <w:p w:rsidR="00517D2F" w:rsidRPr="00517D2F" w:rsidRDefault="00517D2F" w:rsidP="00517D2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E258C" wp14:editId="764358A7">
                <wp:simplePos x="0" y="0"/>
                <wp:positionH relativeFrom="column">
                  <wp:posOffset>24765</wp:posOffset>
                </wp:positionH>
                <wp:positionV relativeFrom="paragraph">
                  <wp:posOffset>921690</wp:posOffset>
                </wp:positionV>
                <wp:extent cx="2252980" cy="0"/>
                <wp:effectExtent l="0" t="0" r="330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2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B4939C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72.55pt" to="1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hzzwEAAAMEAAAOAAAAZHJzL2Uyb0RvYy54bWysU02P0zAQvSPxHyzft0mzAi1R0z10tVwQ&#10;VCz8AK8zbiz5S2PTpP+esdOmK0BCoL04GXvem3nP4839ZA07AkbtXcfXq5ozcNL32h06/v3b480d&#10;ZzEJ1wvjHXT8BJHfb9++2YyhhcYP3vSAjEhcbMfQ8SGl0FZVlANYEVc+gKND5dGKRCEeqh7FSOzW&#10;VE1dv69Gj31ALyFG2n2YD/m28CsFMn1RKkJipuPUWyorlvU5r9V2I9oDijBoeW5D/EcXVmhHRReq&#10;B5EE+4H6NyqrJfroVVpJbyuvlJZQNJCadf2LmqdBBChayJwYFpvi69HKz8c9Mt13/JYzJyxd0VNC&#10;oQ9DYjvvHBnokd1mn8YQW0rfuT2eoxj2mEVPCm3+khw2FW9Pi7cwJSZps2neNR/u6Ark5ay6AgPG&#10;9BG8Zfmn40a7LFu04vgpJipGqZeUvG1cXqM3un/UxpQgDwzsDLKjoKtO0zq3TLgXWRRlZJWFzK2X&#10;v3QyMLN+BUVWULPrUr0M4ZVTSAkuXXiNo+wMU9TBAqz/DjznZyiUAf0X8IIolb1LC9hq5/FP1a9W&#10;qDn/4sCsO1vw7PtTudRiDU1ace78KvIov4wL/Pp2tz8BAAD//wMAUEsDBBQABgAIAAAAIQCN66XM&#10;3gAAAAkBAAAPAAAAZHJzL2Rvd25yZXYueG1sTI9PS8NAEMXvgt9hGcGL2E2N6Z+YTZFALx6ENlI8&#10;bpNpNpidDdltk357RxD0OO893vxetplsJy44+NaRgvksAoFUubqlRsFHuX1cgfBBU607R6jgih42&#10;+e1NptPajbTDyz40gkvIp1qBCaFPpfSVQav9zPVI7J3cYHXgc2hkPeiRy20nn6JoIa1uiT8Y3WNh&#10;sPran62Cz+Yh3h5KKscivJ8WZroe3pJCqfu76fUFRMAp/IXhB5/RIWemoztT7UWnIF5zkOXnZA6C&#10;/ThZLUEcfxWZZ/L/gvwbAAD//wMAUEsBAi0AFAAGAAgAAAAhALaDOJL+AAAA4QEAABMAAAAAAAAA&#10;AAAAAAAAAAAAAFtDb250ZW50X1R5cGVzXS54bWxQSwECLQAUAAYACAAAACEAOP0h/9YAAACUAQAA&#10;CwAAAAAAAAAAAAAAAAAvAQAAX3JlbHMvLnJlbHNQSwECLQAUAAYACAAAACEADbRIc88BAAADBAAA&#10;DgAAAAAAAAAAAAAAAAAuAgAAZHJzL2Uyb0RvYy54bWxQSwECLQAUAAYACAAAACEAjeulzN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04560B" w:rsidRPr="00517D2F">
        <w:t xml:space="preserve">1. shkronja b), riformulohet si më poshtë: </w:t>
      </w:r>
      <w:r w:rsidR="0004560B" w:rsidRPr="00517D2F">
        <w:rPr>
          <w:i/>
          <w:iCs/>
        </w:rPr>
        <w:t xml:space="preserve">“për çështjet që lidhen me mbrojtjen e të dhënave personale, të rregulluara nga ligji i posaçëm” </w:t>
      </w:r>
    </w:p>
    <w:p w:rsidR="0004560B" w:rsidRPr="00517D2F" w:rsidRDefault="0004560B" w:rsidP="0004560B">
      <w:pPr>
        <w:pStyle w:val="Default"/>
        <w:pageBreakBefore/>
      </w:pPr>
      <w:r w:rsidRPr="00517D2F">
        <w:lastRenderedPageBreak/>
        <w:t>2.</w:t>
      </w:r>
      <w:r w:rsidR="00517D2F">
        <w:t xml:space="preserve"> N</w:t>
      </w:r>
      <w:r w:rsidRPr="00517D2F">
        <w:t>ë fund të shkronjës d) shtohet fraza “</w:t>
      </w:r>
      <w:r w:rsidRPr="00517D2F">
        <w:rPr>
          <w:i/>
          <w:iCs/>
        </w:rPr>
        <w:t xml:space="preserve">në rastet e shërbimeve të ofruara sipas nenit 5/1.” </w:t>
      </w:r>
    </w:p>
    <w:p w:rsidR="00517D2F" w:rsidRDefault="00517D2F" w:rsidP="0004560B">
      <w:pPr>
        <w:pStyle w:val="Default"/>
        <w:rPr>
          <w:b/>
          <w:bCs/>
        </w:rPr>
      </w:pPr>
    </w:p>
    <w:p w:rsidR="0004560B" w:rsidRPr="00517D2F" w:rsidRDefault="0004560B" w:rsidP="00517D2F">
      <w:pPr>
        <w:pStyle w:val="Default"/>
        <w:jc w:val="center"/>
      </w:pPr>
      <w:r w:rsidRPr="00517D2F">
        <w:rPr>
          <w:b/>
          <w:bCs/>
        </w:rPr>
        <w:t>Neni 3</w:t>
      </w:r>
    </w:p>
    <w:p w:rsidR="0004560B" w:rsidRPr="00517D2F" w:rsidRDefault="0004560B" w:rsidP="0004560B">
      <w:pPr>
        <w:pStyle w:val="Default"/>
      </w:pPr>
      <w:r w:rsidRPr="00517D2F">
        <w:t xml:space="preserve">Në nenin 3 bëhen këto ndryshime: </w:t>
      </w:r>
    </w:p>
    <w:p w:rsidR="00517D2F" w:rsidRDefault="00517D2F" w:rsidP="0004560B">
      <w:pPr>
        <w:pStyle w:val="Default"/>
      </w:pPr>
    </w:p>
    <w:p w:rsidR="0004560B" w:rsidRPr="00517D2F" w:rsidRDefault="0004560B" w:rsidP="0004560B">
      <w:pPr>
        <w:pStyle w:val="Default"/>
      </w:pPr>
      <w:r w:rsidRPr="00517D2F">
        <w:t xml:space="preserve">1. Në shkronjën a) fraza </w:t>
      </w:r>
      <w:r w:rsidRPr="00517D2F">
        <w:rPr>
          <w:i/>
          <w:iCs/>
        </w:rPr>
        <w:t>“që ofrohen përkundrejt pagesës</w:t>
      </w:r>
      <w:r w:rsidRPr="00517D2F">
        <w:t xml:space="preserve">” të zëvendësohet me frazën </w:t>
      </w:r>
      <w:r w:rsidRPr="00517D2F">
        <w:rPr>
          <w:i/>
          <w:iCs/>
        </w:rPr>
        <w:t xml:space="preserve">“që ofrohen kryesisht përkundrejt pagesës”. </w:t>
      </w:r>
    </w:p>
    <w:p w:rsidR="0004560B" w:rsidRPr="00517D2F" w:rsidRDefault="0004560B" w:rsidP="0004560B">
      <w:pPr>
        <w:pStyle w:val="Default"/>
      </w:pPr>
    </w:p>
    <w:p w:rsidR="0004560B" w:rsidRPr="00517D2F" w:rsidRDefault="0004560B" w:rsidP="0004560B">
      <w:pPr>
        <w:pStyle w:val="Default"/>
      </w:pPr>
      <w:r w:rsidRPr="00517D2F">
        <w:t xml:space="preserve">2. Paragrafi i fundit pak pikës iii) të shkronjës a) ndryshohet si më poshtë: </w:t>
      </w:r>
    </w:p>
    <w:p w:rsidR="0004560B" w:rsidRDefault="0004560B" w:rsidP="00517D2F">
      <w:pPr>
        <w:pStyle w:val="Default"/>
        <w:jc w:val="both"/>
        <w:rPr>
          <w:i/>
          <w:iCs/>
        </w:rPr>
      </w:pPr>
      <w:r w:rsidRPr="00517D2F">
        <w:rPr>
          <w:i/>
          <w:iCs/>
        </w:rPr>
        <w:t xml:space="preserve">Shërbimet e shoqërisë së informacionit përfshijnë veprimtaritë ekonomike që konsistojnë në shitjen e mallrave online, në shërbimet e ofruara pa pagesë sic janë shërbimet që ofrojnë informacion, komunikime tregtare, mjete të kërkimit të informacionit, aksesin dhe shkarkimin e të dhënave në Internet; Shërbimet e shoqërisë së informacionit përfshijnë gjithashtu shërbimet që konsistojnë në transmetimin ose ruajtjen e informacionit të siguruar nga marrësi i shërbimit përmes një rrjeti komunikimi. Veprimtaritë ekonomike ku shpërndarja e mallrave apo ofrimi i shërbimeve bëhet jo elektronikisht, apo kur shërbimi ofrohet jo me kërkesë të vetë marrësit, nuk përbëjnë shërbime të shoqërisë së informacionit. </w:t>
      </w:r>
    </w:p>
    <w:p w:rsidR="00517D2F" w:rsidRPr="00517D2F" w:rsidRDefault="00517D2F" w:rsidP="0004560B">
      <w:pPr>
        <w:pStyle w:val="Default"/>
      </w:pPr>
    </w:p>
    <w:p w:rsidR="0004560B" w:rsidRPr="00517D2F" w:rsidRDefault="0004560B" w:rsidP="0004560B">
      <w:pPr>
        <w:pStyle w:val="Default"/>
      </w:pPr>
      <w:r w:rsidRPr="00517D2F">
        <w:t xml:space="preserve">3. Shkronja ç) riformulohet si më poshtë: </w:t>
      </w:r>
    </w:p>
    <w:p w:rsidR="0004560B" w:rsidRPr="00517D2F" w:rsidRDefault="0004560B" w:rsidP="0004560B">
      <w:pPr>
        <w:pStyle w:val="Default"/>
      </w:pPr>
    </w:p>
    <w:p w:rsidR="0004560B" w:rsidRDefault="0004560B" w:rsidP="00517D2F">
      <w:pPr>
        <w:pStyle w:val="Default"/>
        <w:jc w:val="both"/>
      </w:pPr>
      <w:r w:rsidRPr="00517D2F">
        <w:rPr>
          <w:i/>
          <w:iCs/>
        </w:rPr>
        <w:t>ç) "Marrësi i shërbimit" është çdo person fizik ose juridik, i cili, për qëllime profesionale apo të ndryshme, përdor një shërbim të shoqërisë së informacionit, në mënyrë të veçantë, për qëllime të kërkimit të informacionit apo bërjen e tij të aksesueshëm. Marrësi i shërbimit përfshin si personat që ofrojnë informacion në Internet (ofruesit e përmbajtjes) ashtu dhe personat që kërkojnë informacion në Internet për qëllime private apo profesionale për të gjitha llojet e përdorimit të shërbimeve të shoqërisë së informacionit</w:t>
      </w:r>
      <w:r w:rsidRPr="00517D2F">
        <w:t xml:space="preserve">. </w:t>
      </w:r>
    </w:p>
    <w:p w:rsidR="00517D2F" w:rsidRPr="00517D2F" w:rsidRDefault="00517D2F" w:rsidP="0004560B">
      <w:pPr>
        <w:pStyle w:val="Default"/>
      </w:pPr>
    </w:p>
    <w:p w:rsidR="0004560B" w:rsidRPr="00517D2F" w:rsidRDefault="0004560B" w:rsidP="0004560B">
      <w:pPr>
        <w:pStyle w:val="Default"/>
      </w:pPr>
      <w:r w:rsidRPr="00517D2F">
        <w:t xml:space="preserve">4. Pas shkronjës j) shtohet shkronjat k), l) dhe ll) me këtë përmbajtje: </w:t>
      </w:r>
    </w:p>
    <w:p w:rsidR="0004560B" w:rsidRPr="00517D2F" w:rsidRDefault="0004560B" w:rsidP="0004560B">
      <w:pPr>
        <w:pStyle w:val="Default"/>
      </w:pPr>
    </w:p>
    <w:p w:rsidR="0004560B" w:rsidRDefault="0004560B" w:rsidP="009F3A30">
      <w:pPr>
        <w:pStyle w:val="Default"/>
        <w:jc w:val="both"/>
        <w:rPr>
          <w:i/>
          <w:iCs/>
        </w:rPr>
      </w:pPr>
      <w:r w:rsidRPr="00517D2F">
        <w:rPr>
          <w:i/>
          <w:iCs/>
        </w:rPr>
        <w:t xml:space="preserve">k)“Autoritet përgjegjës” në kuptim të këtij ligji është autoriteti/et që në bazë të legjislacionit në fuqi ka kompetencë parandalimin, monitorimin dhe mbikqyrjen e veprimtarisë së paligjshme në fushën e krimit kibernetik. </w:t>
      </w:r>
    </w:p>
    <w:p w:rsidR="00517D2F" w:rsidRPr="00517D2F" w:rsidRDefault="00517D2F" w:rsidP="009F3A30">
      <w:pPr>
        <w:pStyle w:val="Default"/>
        <w:jc w:val="both"/>
      </w:pPr>
    </w:p>
    <w:p w:rsidR="0004560B" w:rsidRPr="00517D2F" w:rsidRDefault="0004560B" w:rsidP="009F3A30">
      <w:pPr>
        <w:pStyle w:val="Default"/>
        <w:jc w:val="both"/>
      </w:pPr>
      <w:r w:rsidRPr="00517D2F">
        <w:rPr>
          <w:i/>
          <w:iCs/>
        </w:rPr>
        <w:t xml:space="preserve">l)”Ofrues i shërbimeve ndërmjetëse” është çdo person fizik apo juridik që në funksion të ofrimit të shërbimeve të informacionit, kryen një ose disa nga aktivitetet e përcaktuara në nenet 15, deri në 18 të këtij ligji.” </w:t>
      </w:r>
    </w:p>
    <w:p w:rsidR="00517D2F" w:rsidRDefault="00517D2F" w:rsidP="009F3A30">
      <w:pPr>
        <w:pStyle w:val="Default"/>
        <w:jc w:val="both"/>
        <w:rPr>
          <w:i/>
          <w:iCs/>
        </w:rPr>
      </w:pPr>
    </w:p>
    <w:p w:rsidR="0004560B" w:rsidRPr="00517D2F" w:rsidRDefault="0004560B" w:rsidP="009F3A30">
      <w:pPr>
        <w:pStyle w:val="Default"/>
        <w:jc w:val="both"/>
      </w:pPr>
      <w:r w:rsidRPr="00517D2F">
        <w:rPr>
          <w:i/>
          <w:iCs/>
        </w:rPr>
        <w:t xml:space="preserve">ll)“Përmbajtje e paligjshme” janë përmbajtjet e përcaktuara në Kodin Penal si përmbajtje të ndaluara për t’u shpërndarë me anë të sistemeve kompjuterike.” </w:t>
      </w:r>
    </w:p>
    <w:p w:rsidR="00517D2F" w:rsidRDefault="00517D2F" w:rsidP="0004560B">
      <w:pPr>
        <w:pStyle w:val="Default"/>
        <w:rPr>
          <w:b/>
          <w:bCs/>
        </w:rPr>
      </w:pPr>
    </w:p>
    <w:p w:rsidR="0004560B" w:rsidRPr="00517D2F" w:rsidRDefault="0004560B" w:rsidP="00517D2F">
      <w:pPr>
        <w:pStyle w:val="Default"/>
        <w:jc w:val="center"/>
      </w:pPr>
      <w:r w:rsidRPr="00517D2F">
        <w:rPr>
          <w:b/>
          <w:bCs/>
        </w:rPr>
        <w:t>Neni 4</w:t>
      </w:r>
    </w:p>
    <w:p w:rsidR="0004560B" w:rsidRPr="00517D2F" w:rsidRDefault="0004560B" w:rsidP="009F3A30">
      <w:pPr>
        <w:pStyle w:val="Default"/>
        <w:jc w:val="both"/>
      </w:pPr>
      <w:r w:rsidRPr="00517D2F">
        <w:t xml:space="preserve">Në nenin 5, behen keto ndryshime: </w:t>
      </w:r>
    </w:p>
    <w:p w:rsidR="00517D2F" w:rsidRDefault="00517D2F" w:rsidP="009F3A30">
      <w:pPr>
        <w:pStyle w:val="Default"/>
        <w:jc w:val="both"/>
        <w:rPr>
          <w:i/>
          <w:iCs/>
        </w:rPr>
      </w:pPr>
    </w:p>
    <w:p w:rsidR="0004560B" w:rsidRPr="00517D2F" w:rsidRDefault="0004560B" w:rsidP="009F3A30">
      <w:pPr>
        <w:pStyle w:val="Default"/>
        <w:jc w:val="both"/>
      </w:pPr>
      <w:r w:rsidRPr="00517D2F">
        <w:rPr>
          <w:i/>
          <w:iCs/>
        </w:rPr>
        <w:t xml:space="preserve">1. </w:t>
      </w:r>
      <w:r w:rsidRPr="00517D2F">
        <w:t>Në fund të shkronjes ë) të pikës 2, shtohet fraza: “</w:t>
      </w:r>
      <w:r w:rsidRPr="00517D2F">
        <w:rPr>
          <w:i/>
          <w:iCs/>
        </w:rPr>
        <w:t xml:space="preserve">duke garantuar sigurinë dhe mbrojtjen e të dhënave personale të marresve të shërbimit dhe konsumatorëve” </w:t>
      </w:r>
    </w:p>
    <w:p w:rsidR="00517D2F" w:rsidRDefault="0004560B" w:rsidP="009F3A30">
      <w:pPr>
        <w:pStyle w:val="Default"/>
        <w:jc w:val="both"/>
      </w:pPr>
      <w:r w:rsidRPr="00517D2F">
        <w:t xml:space="preserve">2. Shtohet pika 3 me këtë përmbajtje: </w:t>
      </w:r>
    </w:p>
    <w:p w:rsidR="0004560B" w:rsidRPr="00517D2F" w:rsidRDefault="00705B4E" w:rsidP="009F3A30">
      <w:pPr>
        <w:pStyle w:val="Default"/>
        <w:jc w:val="both"/>
      </w:pPr>
      <w:r>
        <w:rPr>
          <w:i/>
          <w:iCs/>
        </w:rPr>
        <w:lastRenderedPageBreak/>
        <w:t xml:space="preserve">3. </w:t>
      </w:r>
      <w:r w:rsidR="0004560B" w:rsidRPr="00517D2F">
        <w:rPr>
          <w:i/>
          <w:iCs/>
        </w:rPr>
        <w:t xml:space="preserve">Përgjegjësitë e ofruesve të shërbimeve ndërmjetëse që mundësojnë transmetimin e thjeshtë, ruajtjen e shpejtë apo hostimin e përmbajtjes së siguruar nga marrësi i shërbimit, përcaktohen në Kreun V të këtij ligji. </w:t>
      </w:r>
    </w:p>
    <w:p w:rsidR="00517D2F" w:rsidRDefault="00517D2F" w:rsidP="009F3A30">
      <w:pPr>
        <w:pStyle w:val="Default"/>
        <w:jc w:val="both"/>
        <w:rPr>
          <w:b/>
          <w:bCs/>
        </w:rPr>
      </w:pPr>
    </w:p>
    <w:p w:rsidR="0004560B" w:rsidRDefault="0004560B" w:rsidP="00517D2F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Neni 5</w:t>
      </w:r>
    </w:p>
    <w:p w:rsidR="00705B4E" w:rsidRPr="00517D2F" w:rsidRDefault="00705B4E" w:rsidP="00517D2F">
      <w:pPr>
        <w:pStyle w:val="Default"/>
        <w:jc w:val="center"/>
      </w:pPr>
    </w:p>
    <w:p w:rsidR="0004560B" w:rsidRPr="00517D2F" w:rsidRDefault="0004560B" w:rsidP="009F3A30">
      <w:pPr>
        <w:pStyle w:val="Default"/>
        <w:jc w:val="both"/>
      </w:pPr>
      <w:r w:rsidRPr="00517D2F">
        <w:t xml:space="preserve">Në fund të nenit 7, shtohet pika 4 me këtë përmbajtje: </w:t>
      </w:r>
    </w:p>
    <w:p w:rsidR="0004560B" w:rsidRDefault="0004560B" w:rsidP="009F3A30">
      <w:pPr>
        <w:pStyle w:val="Default"/>
        <w:jc w:val="both"/>
        <w:rPr>
          <w:i/>
          <w:iCs/>
        </w:rPr>
      </w:pPr>
      <w:r w:rsidRPr="00517D2F">
        <w:rPr>
          <w:i/>
          <w:iCs/>
        </w:rPr>
        <w:t xml:space="preserve">“4. Në rast mos respektimi të detyrimeve të pikës 1 të parashikuara në këtë nen, marrësi i shërbimit, ka të drejtë të ankohet pranë autoriteteve zbatuese për mbrojtjen e të drejtave të konsumatorit dhe/ose tek Komisioneri për të Drejtën e Informimit dhe Mbrojtjen e të Dhënave Personale sipas rastit të shkeljes së konstatuar”. </w:t>
      </w:r>
    </w:p>
    <w:p w:rsidR="00517D2F" w:rsidRPr="00517D2F" w:rsidRDefault="00517D2F" w:rsidP="0004560B">
      <w:pPr>
        <w:pStyle w:val="Default"/>
      </w:pPr>
    </w:p>
    <w:p w:rsidR="0004560B" w:rsidRDefault="0004560B" w:rsidP="00517D2F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Neni 6</w:t>
      </w:r>
    </w:p>
    <w:p w:rsidR="00705B4E" w:rsidRPr="00517D2F" w:rsidRDefault="00705B4E" w:rsidP="00517D2F">
      <w:pPr>
        <w:pStyle w:val="Default"/>
        <w:jc w:val="center"/>
      </w:pPr>
    </w:p>
    <w:p w:rsidR="00705B4E" w:rsidRDefault="0004560B" w:rsidP="009F3A30">
      <w:pPr>
        <w:pStyle w:val="Default"/>
        <w:jc w:val="both"/>
      </w:pPr>
      <w:r w:rsidRPr="00517D2F">
        <w:t>Në fund të nenit 9, shtohen pikat 4 dhe 5 si më poshtë:</w:t>
      </w:r>
    </w:p>
    <w:p w:rsidR="0004560B" w:rsidRPr="00517D2F" w:rsidRDefault="0004560B" w:rsidP="009F3A30">
      <w:pPr>
        <w:pStyle w:val="Default"/>
        <w:jc w:val="both"/>
      </w:pPr>
      <w:r w:rsidRPr="00517D2F">
        <w:t xml:space="preserve"> </w:t>
      </w:r>
    </w:p>
    <w:p w:rsidR="0004560B" w:rsidRPr="00517D2F" w:rsidRDefault="0004560B" w:rsidP="009F3A30">
      <w:pPr>
        <w:pStyle w:val="Default"/>
        <w:jc w:val="both"/>
      </w:pPr>
      <w:r w:rsidRPr="00517D2F">
        <w:rPr>
          <w:i/>
          <w:iCs/>
        </w:rPr>
        <w:t xml:space="preserve">4. Në rast mos respektimi të regjistrit të përjashtimit nga ofruesi i shërbimit apo dërgimit të komunikimeve tregtare pa marrë miratimin paraprak të marrësit të shërbimit, ky i fundit ka të drejtë të ankohet pranë Komisionerit për të Drejtën e Informimit dhe Mbrojtjen e të Dhënave Personale. </w:t>
      </w:r>
    </w:p>
    <w:p w:rsidR="00705B4E" w:rsidRDefault="00705B4E" w:rsidP="009F3A30">
      <w:pPr>
        <w:pStyle w:val="Default"/>
        <w:jc w:val="both"/>
        <w:rPr>
          <w:i/>
          <w:iCs/>
        </w:rPr>
      </w:pPr>
    </w:p>
    <w:p w:rsidR="0004560B" w:rsidRPr="00517D2F" w:rsidRDefault="0004560B" w:rsidP="009F3A30">
      <w:pPr>
        <w:pStyle w:val="Default"/>
        <w:jc w:val="both"/>
      </w:pPr>
      <w:r w:rsidRPr="00517D2F">
        <w:rPr>
          <w:i/>
          <w:iCs/>
        </w:rPr>
        <w:t xml:space="preserve">5. Rregulla të hollësishme në lidhje me regjistrin e përjashtimeve për komunikimet e pakërkuara prej marrësve të shërbimeve, persona fizikë, përcaktohen me Udhëzim të Komisionierit për të Drejtën e Informimit dhe të mbrojtjes së të dhënave personale. </w:t>
      </w:r>
    </w:p>
    <w:p w:rsidR="00705B4E" w:rsidRDefault="00705B4E" w:rsidP="0004560B">
      <w:pPr>
        <w:pStyle w:val="Default"/>
        <w:rPr>
          <w:b/>
          <w:bCs/>
        </w:rPr>
      </w:pPr>
    </w:p>
    <w:p w:rsidR="0004560B" w:rsidRDefault="0004560B" w:rsidP="00705B4E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Neni 7</w:t>
      </w:r>
    </w:p>
    <w:p w:rsidR="009F3A30" w:rsidRPr="00517D2F" w:rsidRDefault="009F3A30" w:rsidP="00705B4E">
      <w:pPr>
        <w:pStyle w:val="Default"/>
        <w:jc w:val="center"/>
      </w:pPr>
    </w:p>
    <w:p w:rsidR="0004560B" w:rsidRPr="00517D2F" w:rsidRDefault="0004560B" w:rsidP="0004560B">
      <w:pPr>
        <w:pStyle w:val="Default"/>
      </w:pPr>
      <w:r w:rsidRPr="00517D2F">
        <w:t xml:space="preserve">Neni 17 riformulohet si më poshtë: </w:t>
      </w:r>
    </w:p>
    <w:p w:rsidR="00705B4E" w:rsidRDefault="00705B4E" w:rsidP="0004560B">
      <w:pPr>
        <w:pStyle w:val="Default"/>
        <w:rPr>
          <w:i/>
          <w:iCs/>
        </w:rPr>
      </w:pPr>
    </w:p>
    <w:p w:rsidR="0004560B" w:rsidRPr="00517D2F" w:rsidRDefault="0004560B" w:rsidP="00705B4E">
      <w:pPr>
        <w:pStyle w:val="Default"/>
        <w:jc w:val="center"/>
      </w:pPr>
      <w:r w:rsidRPr="00517D2F">
        <w:rPr>
          <w:i/>
          <w:iCs/>
        </w:rPr>
        <w:t>Neni 17</w:t>
      </w:r>
    </w:p>
    <w:p w:rsidR="0004560B" w:rsidRDefault="0004560B" w:rsidP="00705B4E">
      <w:pPr>
        <w:pStyle w:val="Default"/>
        <w:jc w:val="center"/>
        <w:rPr>
          <w:i/>
          <w:iCs/>
        </w:rPr>
      </w:pPr>
      <w:r w:rsidRPr="00517D2F">
        <w:rPr>
          <w:i/>
          <w:iCs/>
        </w:rPr>
        <w:t>Hosting</w:t>
      </w:r>
    </w:p>
    <w:p w:rsidR="00705B4E" w:rsidRPr="00517D2F" w:rsidRDefault="00705B4E" w:rsidP="00705B4E">
      <w:pPr>
        <w:pStyle w:val="Default"/>
        <w:jc w:val="center"/>
      </w:pPr>
    </w:p>
    <w:p w:rsidR="0004560B" w:rsidRPr="00517D2F" w:rsidRDefault="0004560B" w:rsidP="009F3A30">
      <w:pPr>
        <w:pStyle w:val="Default"/>
        <w:jc w:val="both"/>
      </w:pPr>
      <w:r w:rsidRPr="00517D2F">
        <w:rPr>
          <w:i/>
          <w:iCs/>
        </w:rPr>
        <w:t xml:space="preserve">1. Ofruesi i shërbimit të shoqërisë së informacionit që kryen hostimin e të dhënave apo ruajtjen e informacionit të siguruar nga marrësi i shërbimit, nuk është përgjegjës për përmbajtjen e informacionit nëse: </w:t>
      </w:r>
    </w:p>
    <w:p w:rsidR="0004560B" w:rsidRPr="00517D2F" w:rsidRDefault="0004560B" w:rsidP="009F3A30">
      <w:pPr>
        <w:pStyle w:val="Default"/>
        <w:jc w:val="both"/>
      </w:pPr>
    </w:p>
    <w:p w:rsidR="0004560B" w:rsidRPr="00517D2F" w:rsidRDefault="0004560B" w:rsidP="009F3A30">
      <w:pPr>
        <w:pStyle w:val="Default"/>
        <w:numPr>
          <w:ilvl w:val="0"/>
          <w:numId w:val="3"/>
        </w:numPr>
        <w:spacing w:after="27"/>
        <w:jc w:val="both"/>
      </w:pPr>
      <w:r w:rsidRPr="00517D2F">
        <w:rPr>
          <w:i/>
          <w:iCs/>
        </w:rPr>
        <w:t xml:space="preserve">nuk ka dijeni për veprimtari ose përmbajtje të paligjshme, nuk është në dijeni të fakteve a rrethanave prej të cilave rrjedh aktiviteti apo përmbajtja e paligjshme, si dhe për dëme të pretenduara. </w:t>
      </w:r>
    </w:p>
    <w:p w:rsidR="0004560B" w:rsidRPr="00705B4E" w:rsidRDefault="0004560B" w:rsidP="009F3A30">
      <w:pPr>
        <w:pStyle w:val="Default"/>
        <w:numPr>
          <w:ilvl w:val="0"/>
          <w:numId w:val="3"/>
        </w:numPr>
        <w:spacing w:after="27"/>
        <w:jc w:val="both"/>
      </w:pPr>
      <w:r w:rsidRPr="00517D2F">
        <w:rPr>
          <w:i/>
          <w:iCs/>
        </w:rPr>
        <w:t xml:space="preserve">me vënien në dijeni për një veprimtari apo përmbajtje të paligjshme, vepron me shpejtësi për të hequr ose çaktivizuar aksesin në informacion si më poshtë: </w:t>
      </w:r>
    </w:p>
    <w:p w:rsidR="00705B4E" w:rsidRPr="00517D2F" w:rsidRDefault="00705B4E" w:rsidP="009F3A30">
      <w:pPr>
        <w:pStyle w:val="Default"/>
        <w:spacing w:after="27"/>
        <w:ind w:left="720"/>
        <w:jc w:val="both"/>
      </w:pPr>
    </w:p>
    <w:p w:rsidR="0004560B" w:rsidRPr="00517D2F" w:rsidRDefault="0004560B" w:rsidP="009F3A30">
      <w:pPr>
        <w:pStyle w:val="Default"/>
        <w:numPr>
          <w:ilvl w:val="0"/>
          <w:numId w:val="4"/>
        </w:numPr>
        <w:spacing w:after="27"/>
        <w:jc w:val="both"/>
      </w:pPr>
      <w:r w:rsidRPr="00517D2F">
        <w:rPr>
          <w:i/>
          <w:iCs/>
        </w:rPr>
        <w:t xml:space="preserve">brenda 24 orëve nga marrja e vendimit të gjykatës apo kërkesës së autoritetit përgjegjës heq ose çaktivizon aksesin në informacion; </w:t>
      </w:r>
    </w:p>
    <w:p w:rsidR="0004560B" w:rsidRPr="00517D2F" w:rsidRDefault="0004560B" w:rsidP="009F3A30">
      <w:pPr>
        <w:pStyle w:val="Default"/>
        <w:numPr>
          <w:ilvl w:val="0"/>
          <w:numId w:val="4"/>
        </w:numPr>
        <w:jc w:val="both"/>
      </w:pPr>
      <w:r w:rsidRPr="00517D2F">
        <w:rPr>
          <w:i/>
          <w:iCs/>
        </w:rPr>
        <w:t xml:space="preserve">brenda 48 orëve nga marrja e njoftimit nga një palë e cënuar, ofruesi i shërbimit përcjell njoftimin tek autoritetet përgjegjëse, sipas pikës 2 të nenit </w:t>
      </w:r>
      <w:r w:rsidRPr="00517D2F">
        <w:rPr>
          <w:i/>
          <w:iCs/>
        </w:rPr>
        <w:lastRenderedPageBreak/>
        <w:t xml:space="preserve">20 të këtij ligji dhe çaktivizon aksesin në informacion, deri në marrjen e vendimit nga autoriteti përgjegjës. Me marrjen e vendimit nga autoriteti përgjegjës apo gjykata, ofruesi i shërbimit rikthen aksesin apo heq përmbajtjen sipas vendimit përkatës. </w:t>
      </w:r>
    </w:p>
    <w:p w:rsidR="0004560B" w:rsidRPr="00517D2F" w:rsidRDefault="0004560B" w:rsidP="009F3A30">
      <w:pPr>
        <w:pStyle w:val="Default"/>
        <w:jc w:val="both"/>
      </w:pPr>
    </w:p>
    <w:p w:rsidR="0004560B" w:rsidRPr="00517D2F" w:rsidRDefault="0004560B" w:rsidP="009F3A30">
      <w:pPr>
        <w:pStyle w:val="Default"/>
        <w:jc w:val="both"/>
      </w:pPr>
      <w:r w:rsidRPr="00517D2F">
        <w:rPr>
          <w:i/>
          <w:iCs/>
        </w:rPr>
        <w:t xml:space="preserve">4. Ofruesi i shërbimit nuk përjashtohet nga përgjegjësia sipas pikës 1 të këtij neni në rast se marrësi i shërbimit vepron në emër ose nën kontrollin e ofruesit të shërbimit. </w:t>
      </w:r>
    </w:p>
    <w:p w:rsidR="00705B4E" w:rsidRDefault="00705B4E" w:rsidP="0004560B">
      <w:pPr>
        <w:pStyle w:val="Default"/>
        <w:rPr>
          <w:b/>
          <w:bCs/>
        </w:rPr>
      </w:pPr>
    </w:p>
    <w:p w:rsidR="0004560B" w:rsidRDefault="0004560B" w:rsidP="00705B4E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Neni 8</w:t>
      </w:r>
    </w:p>
    <w:p w:rsidR="00705B4E" w:rsidRPr="00517D2F" w:rsidRDefault="00705B4E" w:rsidP="00705B4E">
      <w:pPr>
        <w:pStyle w:val="Default"/>
        <w:jc w:val="center"/>
      </w:pPr>
    </w:p>
    <w:p w:rsidR="0004560B" w:rsidRDefault="0004560B" w:rsidP="009F3A30">
      <w:pPr>
        <w:pStyle w:val="Default"/>
        <w:jc w:val="both"/>
      </w:pPr>
      <w:r w:rsidRPr="00517D2F">
        <w:t xml:space="preserve">Pas pikës 1, të nenit 20 shtohen pikat 1/1 dhe 1/2 me këtë përmbajtje: </w:t>
      </w:r>
    </w:p>
    <w:p w:rsidR="00705B4E" w:rsidRPr="00517D2F" w:rsidRDefault="00705B4E" w:rsidP="009F3A30">
      <w:pPr>
        <w:pStyle w:val="Default"/>
        <w:jc w:val="both"/>
      </w:pPr>
    </w:p>
    <w:p w:rsidR="0004560B" w:rsidRPr="00517D2F" w:rsidRDefault="0004560B" w:rsidP="009F3A30">
      <w:pPr>
        <w:pStyle w:val="Default"/>
        <w:jc w:val="both"/>
      </w:pPr>
      <w:r w:rsidRPr="00517D2F">
        <w:t>1/1</w:t>
      </w:r>
      <w:r w:rsidRPr="00517D2F">
        <w:rPr>
          <w:i/>
          <w:iCs/>
        </w:rPr>
        <w:t xml:space="preserve">“Ofruesit e shërbimit të shoqërisë së informacionit që ruajnë apo hostojnë informacionin e marrësit të shërbimit janë të detyruar të ofrojnë në faqen e tyre rubrikën për raportim të një materiali apo informacioni të paligjshëm të ruajtuar apo hostuar prej tyre, si dhe të hartojnë dhe publikojnë në faqet e tyre të internetit rregullat e administrimit të pëmbajtjes të siguruar nga marrësi i shërbimeve përfshirë rregullat për rastet e heqjes, çaktivizimit të aksesit në përmbajtjen e paligjshme”. </w:t>
      </w:r>
    </w:p>
    <w:p w:rsidR="00705B4E" w:rsidRDefault="00705B4E" w:rsidP="009F3A30">
      <w:pPr>
        <w:pStyle w:val="Default"/>
        <w:jc w:val="both"/>
        <w:rPr>
          <w:i/>
          <w:iCs/>
        </w:rPr>
      </w:pPr>
    </w:p>
    <w:p w:rsidR="0004560B" w:rsidRPr="00517D2F" w:rsidRDefault="0004560B" w:rsidP="009F3A30">
      <w:pPr>
        <w:pStyle w:val="Default"/>
        <w:jc w:val="both"/>
      </w:pPr>
      <w:r w:rsidRPr="00517D2F">
        <w:rPr>
          <w:i/>
          <w:iCs/>
        </w:rPr>
        <w:t xml:space="preserve">1/2 “Raportimi sipas pikës 1/1 duhet të përmbajë emrin e plotë dhe adresën e raportuesit, specifikim të informacionit apo materialit që konsiderohet i paligjshëm, adresën e saktë të vendndodhjes/ruajtjes (URL) së tyre dhe argumentat dhe dispozitat ligjore ku bazohet raportimi për paligjshmeërinë. Raportuesi është përgjegjes për kompensimin e dëmit të shkaktuar në rastin e një raportimi abuziv apo të rremë.” </w:t>
      </w:r>
    </w:p>
    <w:p w:rsidR="00705B4E" w:rsidRDefault="00705B4E" w:rsidP="009F3A30">
      <w:pPr>
        <w:pStyle w:val="Default"/>
        <w:jc w:val="both"/>
        <w:rPr>
          <w:b/>
          <w:bCs/>
        </w:rPr>
      </w:pPr>
    </w:p>
    <w:p w:rsidR="0004560B" w:rsidRDefault="0004560B" w:rsidP="00705B4E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Neni 9</w:t>
      </w:r>
    </w:p>
    <w:p w:rsidR="00705B4E" w:rsidRPr="00517D2F" w:rsidRDefault="00705B4E" w:rsidP="00705B4E">
      <w:pPr>
        <w:pStyle w:val="Default"/>
        <w:jc w:val="center"/>
      </w:pPr>
    </w:p>
    <w:p w:rsidR="0004560B" w:rsidRDefault="0004560B" w:rsidP="009F3A30">
      <w:pPr>
        <w:pStyle w:val="Default"/>
        <w:jc w:val="both"/>
      </w:pPr>
      <w:r w:rsidRPr="00517D2F">
        <w:t xml:space="preserve">Pika 2 e nenit 21 riformulohet si më poshtë: </w:t>
      </w:r>
    </w:p>
    <w:p w:rsidR="00705B4E" w:rsidRPr="00517D2F" w:rsidRDefault="00705B4E" w:rsidP="009F3A30">
      <w:pPr>
        <w:pStyle w:val="Default"/>
        <w:jc w:val="both"/>
      </w:pPr>
    </w:p>
    <w:p w:rsidR="0004560B" w:rsidRPr="00517D2F" w:rsidRDefault="0004560B" w:rsidP="009F3A30">
      <w:pPr>
        <w:pStyle w:val="Default"/>
        <w:spacing w:after="27"/>
        <w:jc w:val="both"/>
      </w:pPr>
      <w:r w:rsidRPr="00517D2F">
        <w:rPr>
          <w:i/>
          <w:iCs/>
        </w:rPr>
        <w:t xml:space="preserve">2. Për ndjekjen dhe zbatimin e detyrimeve, të përcaktuara në këtë ligj, ngarkohen: </w:t>
      </w:r>
    </w:p>
    <w:p w:rsidR="0004560B" w:rsidRPr="00517D2F" w:rsidRDefault="0004560B" w:rsidP="009F3A30">
      <w:pPr>
        <w:pStyle w:val="Default"/>
        <w:numPr>
          <w:ilvl w:val="0"/>
          <w:numId w:val="1"/>
        </w:numPr>
        <w:spacing w:after="27"/>
        <w:jc w:val="both"/>
      </w:pPr>
      <w:r w:rsidRPr="00517D2F">
        <w:rPr>
          <w:i/>
          <w:iCs/>
        </w:rPr>
        <w:t xml:space="preserve">ministri përgjegjës për shoqërinë e informacionit, i cili koordinon krijimin e pikave të kontaktit sipas nenit 21/1 të këtij ligji dhe është pika kryesore e kontakit me Komisionin Europian, për çështjet e shoqërisë së informacionit. </w:t>
      </w:r>
    </w:p>
    <w:p w:rsidR="0004560B" w:rsidRPr="00517D2F" w:rsidRDefault="0004560B" w:rsidP="009F3A30">
      <w:pPr>
        <w:pStyle w:val="Default"/>
        <w:numPr>
          <w:ilvl w:val="0"/>
          <w:numId w:val="1"/>
        </w:numPr>
        <w:spacing w:after="27"/>
        <w:jc w:val="both"/>
      </w:pPr>
      <w:r w:rsidRPr="00517D2F">
        <w:rPr>
          <w:i/>
          <w:iCs/>
        </w:rPr>
        <w:t xml:space="preserve">Komisioni për mbrojtjen e Konsumatorit, sipas legjislacionit në fuqi për mbrojtjen e konsumatorit si dhe, </w:t>
      </w:r>
    </w:p>
    <w:p w:rsidR="0004560B" w:rsidRPr="00517D2F" w:rsidRDefault="0004560B" w:rsidP="009F3A30">
      <w:pPr>
        <w:pStyle w:val="Default"/>
        <w:numPr>
          <w:ilvl w:val="0"/>
          <w:numId w:val="1"/>
        </w:numPr>
        <w:jc w:val="both"/>
      </w:pPr>
      <w:r w:rsidRPr="00517D2F">
        <w:rPr>
          <w:i/>
          <w:iCs/>
        </w:rPr>
        <w:t xml:space="preserve">Komisioneri për të Drejtën e Informimit dhe Mbrojtjen e të Dhënave Personale sipas legjislacionit në fuqi për mbrojtjen e të dhënave personale. </w:t>
      </w:r>
    </w:p>
    <w:p w:rsidR="0004560B" w:rsidRPr="00517D2F" w:rsidRDefault="0004560B" w:rsidP="009F3A30">
      <w:pPr>
        <w:pStyle w:val="Default"/>
        <w:jc w:val="both"/>
      </w:pPr>
    </w:p>
    <w:p w:rsidR="0004560B" w:rsidRDefault="0004560B" w:rsidP="00705B4E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Neni 10</w:t>
      </w:r>
    </w:p>
    <w:p w:rsidR="00705B4E" w:rsidRPr="00517D2F" w:rsidRDefault="00705B4E" w:rsidP="00705B4E">
      <w:pPr>
        <w:pStyle w:val="Default"/>
        <w:jc w:val="center"/>
      </w:pPr>
    </w:p>
    <w:p w:rsidR="0004560B" w:rsidRDefault="0004560B" w:rsidP="009F3A30">
      <w:pPr>
        <w:pStyle w:val="Default"/>
        <w:jc w:val="both"/>
        <w:rPr>
          <w:i/>
          <w:iCs/>
        </w:rPr>
      </w:pPr>
      <w:r w:rsidRPr="00517D2F">
        <w:rPr>
          <w:i/>
          <w:iCs/>
        </w:rPr>
        <w:t xml:space="preserve">Në pikën 1 të nenit 21/1, pas fjalisë së parë shtohet fjalia,si më poshtë: </w:t>
      </w:r>
    </w:p>
    <w:p w:rsidR="00705B4E" w:rsidRPr="00517D2F" w:rsidRDefault="00705B4E" w:rsidP="009F3A30">
      <w:pPr>
        <w:pStyle w:val="Default"/>
        <w:jc w:val="both"/>
      </w:pPr>
    </w:p>
    <w:p w:rsidR="0004560B" w:rsidRPr="00517D2F" w:rsidRDefault="0004560B" w:rsidP="009F3A30">
      <w:pPr>
        <w:pStyle w:val="Default"/>
        <w:jc w:val="both"/>
      </w:pPr>
      <w:r w:rsidRPr="00517D2F">
        <w:rPr>
          <w:i/>
          <w:iCs/>
        </w:rPr>
        <w:t xml:space="preserve">“Ministri përgjegjës për shoqërinë e informacionit, pas konsultimit me autoritetet zbatuese, nxjerr udhëzimin përkatës për mënyrën e funksionimit dhe bashkëpunimit të pikave të kontaktit.” </w:t>
      </w:r>
    </w:p>
    <w:p w:rsidR="00705B4E" w:rsidRDefault="00705B4E" w:rsidP="009F3A30">
      <w:pPr>
        <w:pStyle w:val="Default"/>
        <w:jc w:val="both"/>
        <w:rPr>
          <w:b/>
          <w:bCs/>
        </w:rPr>
      </w:pPr>
    </w:p>
    <w:p w:rsidR="00705B4E" w:rsidRDefault="00705B4E" w:rsidP="009F3A30">
      <w:pPr>
        <w:pStyle w:val="Default"/>
        <w:jc w:val="both"/>
        <w:rPr>
          <w:b/>
          <w:bCs/>
        </w:rPr>
      </w:pPr>
    </w:p>
    <w:p w:rsidR="00705B4E" w:rsidRDefault="0004560B" w:rsidP="00705B4E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lastRenderedPageBreak/>
        <w:t>Neni 11</w:t>
      </w:r>
    </w:p>
    <w:p w:rsidR="00705B4E" w:rsidRDefault="00705B4E" w:rsidP="00705B4E">
      <w:pPr>
        <w:pStyle w:val="Default"/>
        <w:jc w:val="center"/>
        <w:rPr>
          <w:b/>
          <w:bCs/>
        </w:rPr>
      </w:pPr>
    </w:p>
    <w:p w:rsidR="0004560B" w:rsidRPr="00517D2F" w:rsidRDefault="0004560B" w:rsidP="00705B4E">
      <w:pPr>
        <w:pStyle w:val="Default"/>
      </w:pPr>
      <w:r w:rsidRPr="00517D2F">
        <w:t xml:space="preserve">Në fund të pikës 1, të nenit 22 shtohet shkronjat ë) dhe f) me këtë përmbajtje: </w:t>
      </w:r>
    </w:p>
    <w:p w:rsidR="00705B4E" w:rsidRDefault="00705B4E" w:rsidP="0004560B">
      <w:pPr>
        <w:pStyle w:val="Default"/>
        <w:rPr>
          <w:i/>
          <w:iCs/>
        </w:rPr>
      </w:pPr>
    </w:p>
    <w:p w:rsidR="0004560B" w:rsidRPr="00517D2F" w:rsidRDefault="0004560B" w:rsidP="0004560B">
      <w:pPr>
        <w:pStyle w:val="Default"/>
      </w:pPr>
      <w:r w:rsidRPr="00517D2F">
        <w:rPr>
          <w:i/>
          <w:iCs/>
        </w:rPr>
        <w:t xml:space="preserve">ë) nuk respektojnë detyrimet e pikës 2 të nenit 5. </w:t>
      </w:r>
    </w:p>
    <w:p w:rsidR="0004560B" w:rsidRPr="00517D2F" w:rsidRDefault="0004560B" w:rsidP="0004560B">
      <w:pPr>
        <w:pStyle w:val="Default"/>
      </w:pPr>
      <w:r w:rsidRPr="00517D2F">
        <w:rPr>
          <w:i/>
          <w:iCs/>
        </w:rPr>
        <w:t>f) nuk veprojn</w:t>
      </w:r>
      <w:r w:rsidRPr="00517D2F">
        <w:t xml:space="preserve">ë </w:t>
      </w:r>
      <w:r w:rsidRPr="00517D2F">
        <w:rPr>
          <w:i/>
          <w:iCs/>
        </w:rPr>
        <w:t xml:space="preserve">sipas nenit 18 të këtij ligji. </w:t>
      </w:r>
    </w:p>
    <w:p w:rsidR="00705B4E" w:rsidRDefault="00705B4E" w:rsidP="0004560B">
      <w:pPr>
        <w:pStyle w:val="Default"/>
        <w:rPr>
          <w:b/>
          <w:bCs/>
        </w:rPr>
      </w:pPr>
    </w:p>
    <w:p w:rsidR="0004560B" w:rsidRDefault="0004560B" w:rsidP="00705B4E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Neni 12</w:t>
      </w:r>
    </w:p>
    <w:p w:rsidR="00705B4E" w:rsidRPr="00517D2F" w:rsidRDefault="00705B4E" w:rsidP="00705B4E">
      <w:pPr>
        <w:pStyle w:val="Default"/>
        <w:jc w:val="center"/>
      </w:pPr>
    </w:p>
    <w:p w:rsidR="0004560B" w:rsidRPr="00517D2F" w:rsidRDefault="0004560B" w:rsidP="0004560B">
      <w:pPr>
        <w:pStyle w:val="Default"/>
      </w:pPr>
      <w:r w:rsidRPr="00517D2F">
        <w:t xml:space="preserve">Neni 24, “Zgjidhja e mosmarrëveshjeve” riformulohet si më poshtë: </w:t>
      </w:r>
    </w:p>
    <w:p w:rsidR="00705B4E" w:rsidRDefault="00705B4E" w:rsidP="0004560B">
      <w:pPr>
        <w:pStyle w:val="Default"/>
        <w:rPr>
          <w:i/>
          <w:iCs/>
        </w:rPr>
      </w:pPr>
    </w:p>
    <w:p w:rsidR="0004560B" w:rsidRPr="00517D2F" w:rsidRDefault="0004560B" w:rsidP="00705B4E">
      <w:pPr>
        <w:pStyle w:val="Default"/>
        <w:jc w:val="center"/>
      </w:pPr>
      <w:r w:rsidRPr="00517D2F">
        <w:rPr>
          <w:i/>
          <w:iCs/>
        </w:rPr>
        <w:t>Neni 24</w:t>
      </w:r>
    </w:p>
    <w:p w:rsidR="0004560B" w:rsidRDefault="0004560B" w:rsidP="00705B4E">
      <w:pPr>
        <w:pStyle w:val="Default"/>
        <w:jc w:val="center"/>
        <w:rPr>
          <w:i/>
          <w:iCs/>
        </w:rPr>
      </w:pPr>
      <w:r w:rsidRPr="00517D2F">
        <w:rPr>
          <w:i/>
          <w:iCs/>
        </w:rPr>
        <w:t>Zgjidhja e mosmarrëveshjeve</w:t>
      </w:r>
    </w:p>
    <w:p w:rsidR="00705B4E" w:rsidRPr="00517D2F" w:rsidRDefault="00705B4E" w:rsidP="00705B4E">
      <w:pPr>
        <w:pStyle w:val="Default"/>
        <w:jc w:val="center"/>
      </w:pPr>
    </w:p>
    <w:p w:rsidR="0004560B" w:rsidRPr="00517D2F" w:rsidRDefault="0004560B" w:rsidP="009F3A30">
      <w:pPr>
        <w:pStyle w:val="Default"/>
        <w:numPr>
          <w:ilvl w:val="0"/>
          <w:numId w:val="6"/>
        </w:numPr>
        <w:jc w:val="both"/>
      </w:pPr>
      <w:r w:rsidRPr="00517D2F">
        <w:rPr>
          <w:i/>
          <w:iCs/>
        </w:rPr>
        <w:t xml:space="preserve">Mosmarrëveshjet ndërmjet palëve, që lindin nga hyrja në marrëdhënie me njëri-tjetrin, për shkak të ofrimit dhe të pranimit të shërbimeve në distancë, zgjidhen me ndërmjetësim sipas legjislacionit në fuqi për ndërmjetësimin, nga gjykata e arbitrazhit, sipas klauzolave të arbitrazhit, në përputhje me legjislacionin në fuqi. </w:t>
      </w:r>
    </w:p>
    <w:p w:rsidR="0004560B" w:rsidRPr="00517D2F" w:rsidRDefault="0004560B" w:rsidP="009F3A30">
      <w:pPr>
        <w:pStyle w:val="Default"/>
        <w:numPr>
          <w:ilvl w:val="0"/>
          <w:numId w:val="6"/>
        </w:numPr>
        <w:jc w:val="both"/>
      </w:pPr>
      <w:r w:rsidRPr="00517D2F">
        <w:rPr>
          <w:i/>
          <w:iCs/>
        </w:rPr>
        <w:t xml:space="preserve">Në rast mungese të marrëveshjes për ndërmjetësim ose për arbitrazh, mosmarrëveshja zgjidhet nga gjykata e rrethit gjyqësor. </w:t>
      </w:r>
    </w:p>
    <w:p w:rsidR="0004560B" w:rsidRPr="00517D2F" w:rsidRDefault="0004560B" w:rsidP="009F3A30">
      <w:pPr>
        <w:pStyle w:val="Default"/>
        <w:numPr>
          <w:ilvl w:val="0"/>
          <w:numId w:val="6"/>
        </w:numPr>
        <w:jc w:val="both"/>
      </w:pPr>
      <w:r w:rsidRPr="00517D2F">
        <w:rPr>
          <w:i/>
          <w:iCs/>
        </w:rPr>
        <w:t xml:space="preserve">Ftesa për ndërmjetësim, e paraqitur nga një palë në mosmarrëveshje, nuk e pengon automatikisht këtë palë që të iniciojë fillimin e një procesi gjyqësor apo arbitrazhi në lidhje me këtë mosmarrëveshje, për shkak të kalimit të afateve të paraqitjes së padisë. </w:t>
      </w:r>
    </w:p>
    <w:p w:rsidR="00705B4E" w:rsidRDefault="00705B4E" w:rsidP="009F3A30">
      <w:pPr>
        <w:pStyle w:val="Default"/>
        <w:jc w:val="both"/>
        <w:rPr>
          <w:b/>
          <w:bCs/>
        </w:rPr>
      </w:pPr>
      <w:bookmarkStart w:id="0" w:name="_GoBack"/>
      <w:bookmarkEnd w:id="0"/>
    </w:p>
    <w:p w:rsidR="0004560B" w:rsidRDefault="0004560B" w:rsidP="00705B4E">
      <w:pPr>
        <w:pStyle w:val="Default"/>
        <w:jc w:val="center"/>
        <w:rPr>
          <w:b/>
          <w:bCs/>
        </w:rPr>
      </w:pPr>
      <w:r w:rsidRPr="00517D2F">
        <w:rPr>
          <w:b/>
          <w:bCs/>
        </w:rPr>
        <w:t>Neni 13</w:t>
      </w:r>
    </w:p>
    <w:p w:rsidR="00705B4E" w:rsidRPr="00517D2F" w:rsidRDefault="00705B4E" w:rsidP="00705B4E">
      <w:pPr>
        <w:pStyle w:val="Default"/>
        <w:jc w:val="center"/>
      </w:pPr>
    </w:p>
    <w:p w:rsidR="0004560B" w:rsidRPr="00517D2F" w:rsidRDefault="0004560B" w:rsidP="0004560B">
      <w:pPr>
        <w:pStyle w:val="Default"/>
      </w:pPr>
      <w:r w:rsidRPr="00517D2F">
        <w:t xml:space="preserve">Ky ligj hyn në fuqi 15 ditë pas botimit në fletoren zyrtare. </w:t>
      </w:r>
    </w:p>
    <w:p w:rsidR="00705B4E" w:rsidRDefault="00705B4E" w:rsidP="00705B4E">
      <w:pPr>
        <w:pStyle w:val="Default"/>
        <w:rPr>
          <w:b/>
          <w:bCs/>
        </w:rPr>
      </w:pPr>
    </w:p>
    <w:p w:rsidR="00705B4E" w:rsidRDefault="00705B4E" w:rsidP="00705B4E">
      <w:pPr>
        <w:pStyle w:val="Default"/>
        <w:rPr>
          <w:b/>
          <w:bCs/>
        </w:rPr>
      </w:pPr>
    </w:p>
    <w:p w:rsidR="00705B4E" w:rsidRDefault="00705B4E" w:rsidP="00705B4E">
      <w:pPr>
        <w:pStyle w:val="Default"/>
        <w:rPr>
          <w:b/>
          <w:bCs/>
        </w:rPr>
      </w:pPr>
    </w:p>
    <w:p w:rsidR="00705B4E" w:rsidRDefault="00705B4E" w:rsidP="00705B4E">
      <w:pPr>
        <w:pStyle w:val="Default"/>
        <w:rPr>
          <w:b/>
          <w:bCs/>
        </w:rPr>
      </w:pPr>
    </w:p>
    <w:p w:rsidR="00705B4E" w:rsidRDefault="00705B4E" w:rsidP="00705B4E">
      <w:pPr>
        <w:pStyle w:val="Default"/>
        <w:rPr>
          <w:b/>
          <w:bCs/>
        </w:rPr>
      </w:pPr>
    </w:p>
    <w:p w:rsidR="0004560B" w:rsidRPr="00705B4E" w:rsidRDefault="00705B4E" w:rsidP="00705B4E">
      <w:pPr>
        <w:pStyle w:val="Default"/>
        <w:ind w:left="4320" w:firstLine="720"/>
      </w:pPr>
      <w:r>
        <w:rPr>
          <w:b/>
          <w:bCs/>
        </w:rPr>
        <w:t xml:space="preserve">                     </w:t>
      </w:r>
      <w:r w:rsidR="0004560B" w:rsidRPr="00705B4E">
        <w:rPr>
          <w:b/>
          <w:bCs/>
        </w:rPr>
        <w:t xml:space="preserve">KRYETARI </w:t>
      </w:r>
    </w:p>
    <w:p w:rsidR="00705B4E" w:rsidRDefault="00705B4E" w:rsidP="00705B4E">
      <w:pPr>
        <w:spacing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04560B" w:rsidRPr="00705B4E" w:rsidRDefault="00705B4E" w:rsidP="00705B4E">
      <w:pPr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4560B" w:rsidRPr="00705B4E">
        <w:rPr>
          <w:rFonts w:ascii="Times New Roman" w:hAnsi="Times New Roman" w:cs="Times New Roman"/>
          <w:b/>
          <w:bCs/>
          <w:sz w:val="24"/>
          <w:szCs w:val="24"/>
        </w:rPr>
        <w:t>ILIR META</w:t>
      </w:r>
    </w:p>
    <w:p w:rsidR="0004560B" w:rsidRPr="00517D2F" w:rsidRDefault="0004560B" w:rsidP="0004560B">
      <w:pPr>
        <w:spacing w:line="240" w:lineRule="auto"/>
        <w:rPr>
          <w:sz w:val="24"/>
          <w:szCs w:val="24"/>
        </w:rPr>
      </w:pPr>
    </w:p>
    <w:p w:rsidR="0004560B" w:rsidRPr="00517D2F" w:rsidRDefault="0004560B" w:rsidP="0004560B">
      <w:pPr>
        <w:spacing w:line="240" w:lineRule="auto"/>
        <w:rPr>
          <w:sz w:val="24"/>
          <w:szCs w:val="24"/>
        </w:rPr>
      </w:pPr>
    </w:p>
    <w:sectPr w:rsidR="0004560B" w:rsidRPr="0051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5C6" w:rsidRDefault="00D325C6" w:rsidP="0004560B">
      <w:pPr>
        <w:spacing w:after="0" w:line="240" w:lineRule="auto"/>
      </w:pPr>
      <w:r>
        <w:separator/>
      </w:r>
    </w:p>
  </w:endnote>
  <w:endnote w:type="continuationSeparator" w:id="0">
    <w:p w:rsidR="00D325C6" w:rsidRDefault="00D325C6" w:rsidP="0004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5C6" w:rsidRDefault="00D325C6" w:rsidP="0004560B">
      <w:pPr>
        <w:spacing w:after="0" w:line="240" w:lineRule="auto"/>
      </w:pPr>
      <w:r>
        <w:separator/>
      </w:r>
    </w:p>
  </w:footnote>
  <w:footnote w:type="continuationSeparator" w:id="0">
    <w:p w:rsidR="00D325C6" w:rsidRDefault="00D325C6" w:rsidP="0004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6795B"/>
    <w:multiLevelType w:val="hybridMultilevel"/>
    <w:tmpl w:val="B1F6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25F0D"/>
    <w:multiLevelType w:val="hybridMultilevel"/>
    <w:tmpl w:val="7FD0C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36FF"/>
    <w:multiLevelType w:val="hybridMultilevel"/>
    <w:tmpl w:val="0890DE3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C6F615A"/>
    <w:multiLevelType w:val="hybridMultilevel"/>
    <w:tmpl w:val="FB883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64393"/>
    <w:multiLevelType w:val="hybridMultilevel"/>
    <w:tmpl w:val="2304D7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80C4C"/>
    <w:multiLevelType w:val="hybridMultilevel"/>
    <w:tmpl w:val="E8FE0F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0B"/>
    <w:rsid w:val="0004560B"/>
    <w:rsid w:val="00150525"/>
    <w:rsid w:val="00517D2F"/>
    <w:rsid w:val="00705B4E"/>
    <w:rsid w:val="009F3A30"/>
    <w:rsid w:val="00B865E5"/>
    <w:rsid w:val="00D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768FD9-2E7F-4AE2-AF3A-631226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5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60B"/>
  </w:style>
  <w:style w:type="paragraph" w:styleId="Footer">
    <w:name w:val="footer"/>
    <w:basedOn w:val="Normal"/>
    <w:link w:val="FooterChar"/>
    <w:uiPriority w:val="99"/>
    <w:unhideWhenUsed/>
    <w:rsid w:val="0004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Florion Serjani</dc:creator>
  <cp:keywords/>
  <dc:description/>
  <cp:lastModifiedBy>Florion Serjani</cp:lastModifiedBy>
  <cp:revision>2</cp:revision>
  <dcterms:created xsi:type="dcterms:W3CDTF">2016-03-17T21:20:00Z</dcterms:created>
  <dcterms:modified xsi:type="dcterms:W3CDTF">2016-03-17T21:49:00Z</dcterms:modified>
</cp:coreProperties>
</file>