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VENDIM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Nr.40,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11.1.2012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DISA NDRYSHIME DHE SHTESA NË VENDIMIN NR.411, DATË 19.5.2010 TË KËSHILLIT TË MINISTRAVE "PËR KRITERET, PROCEDURAT DHE TIPIN E FORMULARIT TË LEJES SË LEGALIZIMIT"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100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28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nr.9482,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3.4.2006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Kryeministrit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I.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nr.411,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19.5.2010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bëhen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shtesat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mëposhtme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vijon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"2.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ALUIZNI-t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qarqeve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pas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dokumentacionit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vlerësimit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përmbushjes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jo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përmendura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objektin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informal/</w:t>
      </w:r>
      <w:proofErr w:type="spellStart"/>
      <w:r>
        <w:rPr>
          <w:rFonts w:ascii="Verdana" w:hAnsi="Verdana"/>
          <w:color w:val="000000"/>
          <w:sz w:val="17"/>
          <w:szCs w:val="17"/>
        </w:rPr>
        <w:t>shtesën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vendosin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kualifikimin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përjashtimin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i </w:t>
      </w:r>
      <w:proofErr w:type="spellStart"/>
      <w:r>
        <w:rPr>
          <w:rFonts w:ascii="Verdana" w:hAnsi="Verdana"/>
          <w:color w:val="000000"/>
          <w:sz w:val="17"/>
          <w:szCs w:val="17"/>
        </w:rPr>
        <w:t>cili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shoqërohet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aktin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përkatës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argumentuar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administrohet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pjesë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përbërëse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dosjes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 </w:t>
      </w:r>
      <w:proofErr w:type="spellStart"/>
      <w:r>
        <w:rPr>
          <w:rFonts w:ascii="Verdana" w:hAnsi="Verdana"/>
          <w:color w:val="000000"/>
          <w:sz w:val="17"/>
          <w:szCs w:val="17"/>
        </w:rPr>
        <w:t>bëhen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shtesat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vijon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a)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fund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"a" </w:t>
      </w:r>
      <w:proofErr w:type="spellStart"/>
      <w:r>
        <w:rPr>
          <w:rFonts w:ascii="Verdana" w:hAnsi="Verdana"/>
          <w:color w:val="000000"/>
          <w:sz w:val="17"/>
          <w:szCs w:val="17"/>
        </w:rPr>
        <w:t>shtohen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fjalët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"…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atyre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përjashtohen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b)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"dh"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vijon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"dh) Brenda 30 (</w:t>
      </w:r>
      <w:proofErr w:type="spellStart"/>
      <w:r>
        <w:rPr>
          <w:rFonts w:ascii="Verdana" w:hAnsi="Verdana"/>
          <w:color w:val="000000"/>
          <w:sz w:val="17"/>
          <w:szCs w:val="17"/>
        </w:rPr>
        <w:t>tridhjetë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ditëve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data e </w:t>
      </w:r>
      <w:proofErr w:type="spellStart"/>
      <w:r>
        <w:rPr>
          <w:rFonts w:ascii="Verdana" w:hAnsi="Verdana"/>
          <w:color w:val="000000"/>
          <w:sz w:val="17"/>
          <w:szCs w:val="17"/>
        </w:rPr>
        <w:t>shlyerjes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pagesës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"ç"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lëshojnë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pajisin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objektin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informal/</w:t>
      </w:r>
      <w:proofErr w:type="spellStart"/>
      <w:r>
        <w:rPr>
          <w:rFonts w:ascii="Verdana" w:hAnsi="Verdana"/>
          <w:color w:val="000000"/>
          <w:sz w:val="17"/>
          <w:szCs w:val="17"/>
        </w:rPr>
        <w:t>shtesën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>;".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c) Pas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"dh" </w:t>
      </w:r>
      <w:proofErr w:type="spellStart"/>
      <w:r>
        <w:rPr>
          <w:rFonts w:ascii="Verdana" w:hAnsi="Verdana"/>
          <w:color w:val="000000"/>
          <w:sz w:val="17"/>
          <w:szCs w:val="17"/>
        </w:rPr>
        <w:t>shtohet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shkronja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"e", me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përmbajtje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"e) </w:t>
      </w:r>
      <w:proofErr w:type="spellStart"/>
      <w:r>
        <w:rPr>
          <w:rFonts w:ascii="Verdana" w:hAnsi="Verdana"/>
          <w:color w:val="000000"/>
          <w:sz w:val="17"/>
          <w:szCs w:val="17"/>
        </w:rPr>
        <w:t>Publikojnë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median e </w:t>
      </w:r>
      <w:proofErr w:type="spellStart"/>
      <w:r>
        <w:rPr>
          <w:rFonts w:ascii="Verdana" w:hAnsi="Verdana"/>
          <w:color w:val="000000"/>
          <w:sz w:val="17"/>
          <w:szCs w:val="17"/>
        </w:rPr>
        <w:t>shkruar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faqen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internetit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listat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emërore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objektet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cilave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pajisen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përcjellin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njësive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qeverisjes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njoftim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publikim</w:t>
      </w:r>
      <w:proofErr w:type="spellEnd"/>
      <w:r>
        <w:rPr>
          <w:rFonts w:ascii="Verdana" w:hAnsi="Verdana"/>
          <w:color w:val="000000"/>
          <w:sz w:val="17"/>
          <w:szCs w:val="17"/>
        </w:rPr>
        <w:t>;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vijon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"4. </w:t>
      </w:r>
      <w:proofErr w:type="spellStart"/>
      <w:r>
        <w:rPr>
          <w:rFonts w:ascii="Verdana" w:hAnsi="Verdana"/>
          <w:color w:val="000000"/>
          <w:sz w:val="17"/>
          <w:szCs w:val="17"/>
        </w:rPr>
        <w:t>Poseduesit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objektit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interesuara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brenda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muaji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data e </w:t>
      </w:r>
      <w:proofErr w:type="spellStart"/>
      <w:r>
        <w:rPr>
          <w:rFonts w:ascii="Verdana" w:hAnsi="Verdana"/>
          <w:color w:val="000000"/>
          <w:sz w:val="17"/>
          <w:szCs w:val="17"/>
        </w:rPr>
        <w:t>publikimit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listës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emërore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përmendur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mund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bëjnë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ankim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administrativ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Qendrore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 </w:t>
      </w:r>
      <w:proofErr w:type="spellStart"/>
      <w:r>
        <w:rPr>
          <w:rFonts w:ascii="Verdana" w:hAnsi="Verdana"/>
          <w:color w:val="000000"/>
          <w:sz w:val="17"/>
          <w:szCs w:val="17"/>
        </w:rPr>
        <w:t>ndaj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vendimit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lejes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përkatëse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qarqeve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procedurës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përcaktuar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nr.8485,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12.5.1999 "</w:t>
      </w:r>
      <w:proofErr w:type="spellStart"/>
      <w:r>
        <w:rPr>
          <w:rFonts w:ascii="Verdana" w:hAnsi="Verdana"/>
          <w:color w:val="000000"/>
          <w:sz w:val="17"/>
          <w:szCs w:val="17"/>
        </w:rPr>
        <w:t>Kodi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Procedurave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Administrative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>".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4.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fund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6 </w:t>
      </w:r>
      <w:proofErr w:type="spellStart"/>
      <w:r>
        <w:rPr>
          <w:rFonts w:ascii="Verdana" w:hAnsi="Verdana"/>
          <w:color w:val="000000"/>
          <w:sz w:val="17"/>
          <w:szCs w:val="17"/>
        </w:rPr>
        <w:t>shtohet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fjali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me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përmbajtje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"Brenda 30 (</w:t>
      </w:r>
      <w:proofErr w:type="spellStart"/>
      <w:r>
        <w:rPr>
          <w:rFonts w:ascii="Verdana" w:hAnsi="Verdana"/>
          <w:color w:val="000000"/>
          <w:sz w:val="17"/>
          <w:szCs w:val="17"/>
        </w:rPr>
        <w:t>tridhjetë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ditëve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data e </w:t>
      </w:r>
      <w:proofErr w:type="spellStart"/>
      <w:r>
        <w:rPr>
          <w:rFonts w:ascii="Verdana" w:hAnsi="Verdana"/>
          <w:color w:val="000000"/>
          <w:sz w:val="17"/>
          <w:szCs w:val="17"/>
        </w:rPr>
        <w:t>marrjes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njoftimit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poseduesi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mund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ankohet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ndaj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përjashtimit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Qendrore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II. </w:t>
      </w:r>
      <w:proofErr w:type="spellStart"/>
      <w:r>
        <w:rPr>
          <w:rFonts w:ascii="Verdana" w:hAnsi="Verdana"/>
          <w:color w:val="000000"/>
          <w:sz w:val="17"/>
          <w:szCs w:val="17"/>
        </w:rPr>
        <w:t>Drejtoritë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ALUIZNI-t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qarqeve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brenda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30 (</w:t>
      </w:r>
      <w:proofErr w:type="spellStart"/>
      <w:r>
        <w:rPr>
          <w:rFonts w:ascii="Verdana" w:hAnsi="Verdana"/>
          <w:color w:val="000000"/>
          <w:sz w:val="17"/>
          <w:szCs w:val="17"/>
        </w:rPr>
        <w:t>tridhjetë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000000"/>
          <w:sz w:val="17"/>
          <w:szCs w:val="17"/>
        </w:rPr>
        <w:t>ditëve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hyrja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përfundojnë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shqyrtimin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dokumentacionit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depozituar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objektet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lastRenderedPageBreak/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shtesat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bazë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vlerësimit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përmbushjes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jo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kërkuara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nxjerrin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përkatëse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kualifikimin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përjashtimin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III. </w:t>
      </w:r>
      <w:proofErr w:type="spellStart"/>
      <w:r>
        <w:rPr>
          <w:rFonts w:ascii="Verdana" w:hAnsi="Verdana"/>
          <w:color w:val="000000"/>
          <w:sz w:val="17"/>
          <w:szCs w:val="17"/>
        </w:rPr>
        <w:t>Ngarkohen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Punëve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Transportit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njësitë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qeverisjes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zbatimin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KRYEMINISTRI</w:t>
      </w:r>
    </w:p>
    <w:p w:rsidR="00DA4A01" w:rsidRDefault="00DA4A01" w:rsidP="00DA4A01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Sali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Berisha</w:t>
      </w:r>
      <w:proofErr w:type="spellEnd"/>
    </w:p>
    <w:p w:rsidR="003B245D" w:rsidRDefault="003B245D">
      <w:bookmarkStart w:id="0" w:name="_GoBack"/>
      <w:bookmarkEnd w:id="0"/>
    </w:p>
    <w:sectPr w:rsidR="003B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01"/>
    <w:rsid w:val="003B245D"/>
    <w:rsid w:val="00D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Anxhelina Zhidro</dc:creator>
  <cp:lastModifiedBy>Anxhelina Zhidro</cp:lastModifiedBy>
  <cp:revision>1</cp:revision>
  <dcterms:created xsi:type="dcterms:W3CDTF">2015-10-16T06:39:00Z</dcterms:created>
  <dcterms:modified xsi:type="dcterms:W3CDTF">2015-10-16T06:39:00Z</dcterms:modified>
</cp:coreProperties>
</file>